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Arial" w:cs="Arial" w:eastAsia="Arial" w:hAnsi="Arial"/>
          <w:sz w:val="25"/>
          <w:szCs w:val="25"/>
          <w:b w:val="1"/>
          <w:bCs w:val="1"/>
          <w:color w:val="auto"/>
        </w:rPr>
        <w:drawing>
          <wp:anchor simplePos="0" relativeHeight="251657728" behindDoc="1" locked="0" layoutInCell="0" allowOverlap="1">
            <wp:simplePos x="0" y="0"/>
            <wp:positionH relativeFrom="page">
              <wp:posOffset>157480</wp:posOffset>
            </wp:positionH>
            <wp:positionV relativeFrom="page">
              <wp:posOffset>346075</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363220</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t>UNITED STATES</w:t>
      </w:r>
    </w:p>
    <w:p>
      <w:pPr>
        <w:spacing w:after="0" w:line="38" w:lineRule="exact"/>
        <w:rPr>
          <w:sz w:val="24"/>
          <w:szCs w:val="24"/>
          <w:color w:val="auto"/>
        </w:rPr>
      </w:pPr>
    </w:p>
    <w:p>
      <w:pPr>
        <w:jc w:val="center"/>
        <w:ind w:right="-19"/>
        <w:spacing w:after="0"/>
        <w:rPr>
          <w:sz w:val="20"/>
          <w:szCs w:val="20"/>
          <w:color w:val="auto"/>
        </w:rPr>
      </w:pPr>
      <w:r>
        <w:rPr>
          <w:rFonts w:ascii="Arial" w:cs="Arial" w:eastAsia="Arial" w:hAnsi="Arial"/>
          <w:sz w:val="25"/>
          <w:szCs w:val="25"/>
          <w:b w:val="1"/>
          <w:bCs w:val="1"/>
          <w:color w:val="auto"/>
        </w:rPr>
        <w:t>SECURITIES AND EXCHANGE COMMISSION</w:t>
      </w:r>
    </w:p>
    <w:p>
      <w:pPr>
        <w:spacing w:after="0" w:line="45" w:lineRule="exact"/>
        <w:rPr>
          <w:sz w:val="24"/>
          <w:szCs w:val="24"/>
          <w:color w:val="auto"/>
        </w:rPr>
      </w:pPr>
    </w:p>
    <w:p>
      <w:pPr>
        <w:jc w:val="center"/>
        <w:ind w:right="-19"/>
        <w:spacing w:after="0"/>
        <w:rPr>
          <w:sz w:val="20"/>
          <w:szCs w:val="20"/>
          <w:color w:val="auto"/>
        </w:rPr>
      </w:pPr>
      <w:r>
        <w:rPr>
          <w:rFonts w:ascii="Arial" w:cs="Arial" w:eastAsia="Arial" w:hAnsi="Arial"/>
          <w:sz w:val="16"/>
          <w:szCs w:val="16"/>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3349625</wp:posOffset>
            </wp:positionH>
            <wp:positionV relativeFrom="paragraph">
              <wp:posOffset>80645</wp:posOffset>
            </wp:positionV>
            <wp:extent cx="55753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57530" cy="8890"/>
                    </a:xfrm>
                    <a:prstGeom prst="rect">
                      <a:avLst/>
                    </a:prstGeom>
                    <a:noFill/>
                  </pic:spPr>
                </pic:pic>
              </a:graphicData>
            </a:graphic>
          </wp:anchor>
        </w:drawing>
      </w:r>
    </w:p>
    <w:p>
      <w:pPr>
        <w:spacing w:after="0" w:line="152" w:lineRule="exact"/>
        <w:rPr>
          <w:sz w:val="24"/>
          <w:szCs w:val="24"/>
          <w:color w:val="auto"/>
        </w:rPr>
      </w:pPr>
    </w:p>
    <w:p>
      <w:pPr>
        <w:jc w:val="center"/>
        <w:ind w:right="-19"/>
        <w:spacing w:after="0"/>
        <w:rPr>
          <w:sz w:val="20"/>
          <w:szCs w:val="20"/>
          <w:color w:val="auto"/>
        </w:rPr>
      </w:pPr>
      <w:r>
        <w:rPr>
          <w:rFonts w:ascii="Arial" w:cs="Arial" w:eastAsia="Arial" w:hAnsi="Arial"/>
          <w:sz w:val="25"/>
          <w:szCs w:val="25"/>
          <w:b w:val="1"/>
          <w:bCs w:val="1"/>
          <w:color w:val="auto"/>
        </w:rPr>
        <w:t>FORM 10-K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3349625</wp:posOffset>
            </wp:positionH>
            <wp:positionV relativeFrom="paragraph">
              <wp:posOffset>72390</wp:posOffset>
            </wp:positionV>
            <wp:extent cx="55753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57530" cy="8890"/>
                    </a:xfrm>
                    <a:prstGeom prst="rect">
                      <a:avLst/>
                    </a:prstGeom>
                    <a:noFill/>
                  </pic:spPr>
                </pic:pic>
              </a:graphicData>
            </a:graphic>
          </wp:anchor>
        </w:drawing>
      </w:r>
    </w:p>
    <w:p>
      <w:pPr>
        <w:spacing w:after="0" w:line="138" w:lineRule="exact"/>
        <w:rPr>
          <w:sz w:val="24"/>
          <w:szCs w:val="24"/>
          <w:color w:val="auto"/>
        </w:rPr>
      </w:pPr>
    </w:p>
    <w:p>
      <w:pPr>
        <w:spacing w:after="0"/>
        <w:rPr>
          <w:sz w:val="20"/>
          <w:szCs w:val="20"/>
          <w:color w:val="auto"/>
        </w:rPr>
      </w:pPr>
      <w:r>
        <w:rPr>
          <w:rFonts w:ascii="Arial" w:cs="Arial" w:eastAsia="Arial" w:hAnsi="Arial"/>
          <w:sz w:val="14"/>
          <w:szCs w:val="14"/>
          <w:b w:val="1"/>
          <w:bCs w:val="1"/>
          <w:color w:val="auto"/>
        </w:rPr>
        <w:t>(Mark One)</w:t>
      </w:r>
    </w:p>
    <w:p>
      <w:pPr>
        <w:spacing w:after="0" w:line="5" w:lineRule="exact"/>
        <w:rPr>
          <w:sz w:val="24"/>
          <w:szCs w:val="24"/>
          <w:color w:val="auto"/>
        </w:rPr>
      </w:pPr>
    </w:p>
    <w:p>
      <w:pPr>
        <w:ind w:left="4020" w:right="2020" w:hanging="4012"/>
        <w:spacing w:after="0" w:line="305" w:lineRule="auto"/>
        <w:tabs>
          <w:tab w:leader="none" w:pos="608" w:val="left"/>
        </w:tabs>
        <w:numPr>
          <w:ilvl w:val="0"/>
          <w:numId w:val="1"/>
        </w:numPr>
        <w:rPr>
          <w:rFonts w:ascii="MS PGothic" w:cs="MS PGothic" w:eastAsia="MS PGothic" w:hAnsi="MS PGothic"/>
          <w:sz w:val="18"/>
          <w:szCs w:val="18"/>
          <w:color w:val="auto"/>
        </w:rPr>
      </w:pPr>
      <w:r>
        <w:rPr>
          <w:rFonts w:ascii="Arial" w:cs="Arial" w:eastAsia="Arial" w:hAnsi="Arial"/>
          <w:sz w:val="18"/>
          <w:szCs w:val="18"/>
          <w:b w:val="1"/>
          <w:bCs w:val="1"/>
          <w:color w:val="auto"/>
        </w:rPr>
        <w:t>ANNUAL REPORT PURSUANT TO SECTION 13 OR 15(d) OF THE SECURITIES EXCHANGE ACT OF 1934 For the fiscal year ended December 31, 2017</w:t>
      </w:r>
    </w:p>
    <w:p>
      <w:pPr>
        <w:ind w:left="5580"/>
        <w:spacing w:after="0"/>
        <w:rPr>
          <w:rFonts w:ascii="MS PGothic" w:cs="MS PGothic" w:eastAsia="MS PGothic" w:hAnsi="MS PGothic"/>
          <w:sz w:val="18"/>
          <w:szCs w:val="18"/>
          <w:color w:val="auto"/>
        </w:rPr>
      </w:pPr>
      <w:r>
        <w:rPr>
          <w:rFonts w:ascii="Arial" w:cs="Arial" w:eastAsia="Arial" w:hAnsi="Arial"/>
          <w:sz w:val="18"/>
          <w:szCs w:val="18"/>
          <w:b w:val="1"/>
          <w:bCs w:val="1"/>
          <w:color w:val="auto"/>
        </w:rPr>
        <w:t>OR</w:t>
      </w:r>
    </w:p>
    <w:p>
      <w:pPr>
        <w:spacing w:after="0" w:line="63" w:lineRule="exact"/>
        <w:rPr>
          <w:sz w:val="24"/>
          <w:szCs w:val="24"/>
          <w:color w:val="auto"/>
        </w:rPr>
      </w:pPr>
    </w:p>
    <w:p>
      <w:pPr>
        <w:ind w:left="600" w:hanging="592"/>
        <w:spacing w:after="0"/>
        <w:tabs>
          <w:tab w:leader="none" w:pos="600" w:val="left"/>
        </w:tabs>
        <w:numPr>
          <w:ilvl w:val="0"/>
          <w:numId w:val="2"/>
        </w:numPr>
        <w:rPr>
          <w:rFonts w:ascii="MS PGothic" w:cs="MS PGothic" w:eastAsia="MS PGothic" w:hAnsi="MS PGothic"/>
          <w:sz w:val="17"/>
          <w:szCs w:val="17"/>
          <w:color w:val="auto"/>
        </w:rPr>
      </w:pPr>
      <w:r>
        <w:rPr>
          <w:rFonts w:ascii="Arial" w:cs="Arial" w:eastAsia="Arial" w:hAnsi="Arial"/>
          <w:sz w:val="17"/>
          <w:szCs w:val="17"/>
          <w:b w:val="1"/>
          <w:bCs w:val="1"/>
          <w:color w:val="auto"/>
        </w:rPr>
        <w:t>TRANSITION REPORT PURSUANT TO SECTION 13 OR 15(d) OF THE SECURITIES EXCHANGE ACT OF 1934 FOR THE</w:t>
      </w:r>
    </w:p>
    <w:p>
      <w:pPr>
        <w:spacing w:after="0" w:line="41" w:lineRule="exact"/>
        <w:rPr>
          <w:sz w:val="24"/>
          <w:szCs w:val="24"/>
          <w:color w:val="auto"/>
        </w:rPr>
      </w:pPr>
    </w:p>
    <w:p>
      <w:pPr>
        <w:ind w:left="600"/>
        <w:spacing w:after="0"/>
        <w:tabs>
          <w:tab w:leader="none" w:pos="4060" w:val="left"/>
        </w:tabs>
        <w:rPr>
          <w:sz w:val="20"/>
          <w:szCs w:val="20"/>
          <w:color w:val="auto"/>
        </w:rPr>
      </w:pPr>
      <w:r>
        <w:rPr>
          <w:rFonts w:ascii="Arial" w:cs="Arial" w:eastAsia="Arial" w:hAnsi="Arial"/>
          <w:sz w:val="18"/>
          <w:szCs w:val="18"/>
          <w:b w:val="1"/>
          <w:bCs w:val="1"/>
          <w:color w:val="auto"/>
        </w:rPr>
        <w:t>TRANSITION PERIOD FROM</w:t>
      </w:r>
      <w:r>
        <w:rPr>
          <w:sz w:val="20"/>
          <w:szCs w:val="20"/>
          <w:color w:val="auto"/>
        </w:rPr>
        <w:tab/>
      </w:r>
      <w:r>
        <w:rPr>
          <w:rFonts w:ascii="Arial" w:cs="Arial" w:eastAsia="Arial" w:hAnsi="Arial"/>
          <w:sz w:val="17"/>
          <w:szCs w:val="17"/>
          <w:b w:val="1"/>
          <w:bCs w:val="1"/>
          <w:color w:val="auto"/>
        </w:rPr>
        <w:t>TO</w:t>
      </w:r>
    </w:p>
    <w:p>
      <w:pPr>
        <w:spacing w:after="0" w:line="43"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Commission File Number 001-38238</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3349625</wp:posOffset>
            </wp:positionH>
            <wp:positionV relativeFrom="paragraph">
              <wp:posOffset>68580</wp:posOffset>
            </wp:positionV>
            <wp:extent cx="55753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557530" cy="8890"/>
                    </a:xfrm>
                    <a:prstGeom prst="rect">
                      <a:avLst/>
                    </a:prstGeom>
                    <a:noFill/>
                  </pic:spPr>
                </pic:pic>
              </a:graphicData>
            </a:graphic>
          </wp:anchor>
        </w:drawing>
      </w:r>
    </w:p>
    <w:p>
      <w:pPr>
        <w:spacing w:after="0" w:line="124" w:lineRule="exact"/>
        <w:rPr>
          <w:sz w:val="24"/>
          <w:szCs w:val="24"/>
          <w:color w:val="auto"/>
        </w:rPr>
      </w:pPr>
    </w:p>
    <w:p>
      <w:pPr>
        <w:jc w:val="center"/>
        <w:ind w:right="-19"/>
        <w:spacing w:after="0"/>
        <w:rPr>
          <w:sz w:val="20"/>
          <w:szCs w:val="20"/>
          <w:color w:val="auto"/>
        </w:rPr>
      </w:pPr>
      <w:r>
        <w:rPr>
          <w:rFonts w:ascii="Arial" w:cs="Arial" w:eastAsia="Arial" w:hAnsi="Arial"/>
          <w:sz w:val="29"/>
          <w:szCs w:val="29"/>
          <w:b w:val="1"/>
          <w:bCs w:val="1"/>
          <w:color w:val="auto"/>
        </w:rPr>
        <w:t>Restoration Robotics, Inc.</w:t>
      </w:r>
    </w:p>
    <w:p>
      <w:pPr>
        <w:spacing w:after="0" w:line="72"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3349625</wp:posOffset>
            </wp:positionH>
            <wp:positionV relativeFrom="paragraph">
              <wp:posOffset>77470</wp:posOffset>
            </wp:positionV>
            <wp:extent cx="55753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557530" cy="8890"/>
                    </a:xfrm>
                    <a:prstGeom prst="rect">
                      <a:avLst/>
                    </a:prstGeom>
                    <a:noFill/>
                  </pic:spPr>
                </pic:pic>
              </a:graphicData>
            </a:graphic>
          </wp:anchor>
        </w:drawing>
      </w:r>
    </w:p>
    <w:p>
      <w:pPr>
        <w:sectPr>
          <w:pgSz w:w="11900" w:h="16838" w:orient="portrait"/>
          <w:cols w:equalWidth="0" w:num="1">
            <w:col w:w="11400"/>
          </w:cols>
          <w:pgMar w:left="240" w:top="616" w:right="259" w:bottom="1440" w:gutter="0" w:footer="0" w:header="0"/>
        </w:sectPr>
      </w:pPr>
    </w:p>
    <w:p>
      <w:pPr>
        <w:spacing w:after="0" w:line="185" w:lineRule="exact"/>
        <w:rPr>
          <w:sz w:val="24"/>
          <w:szCs w:val="24"/>
          <w:color w:val="auto"/>
        </w:rPr>
      </w:pPr>
    </w:p>
    <w:p>
      <w:pPr>
        <w:ind w:left="2500"/>
        <w:spacing w:after="0"/>
        <w:rPr>
          <w:sz w:val="20"/>
          <w:szCs w:val="20"/>
          <w:color w:val="auto"/>
        </w:rPr>
      </w:pPr>
      <w:r>
        <w:rPr>
          <w:rFonts w:ascii="Arial" w:cs="Arial" w:eastAsia="Arial" w:hAnsi="Arial"/>
          <w:sz w:val="16"/>
          <w:szCs w:val="16"/>
          <w:b w:val="1"/>
          <w:bCs w:val="1"/>
          <w:color w:val="auto"/>
        </w:rPr>
        <w:t>Delaware</w:t>
      </w:r>
    </w:p>
    <w:p>
      <w:pPr>
        <w:spacing w:after="0" w:line="20" w:lineRule="exact"/>
        <w:rPr>
          <w:sz w:val="24"/>
          <w:szCs w:val="24"/>
          <w:color w:val="auto"/>
        </w:rPr>
      </w:pPr>
      <w:r>
        <w:rPr>
          <w:sz w:val="24"/>
          <w:szCs w:val="24"/>
          <w:color w:val="auto"/>
        </w:rPr>
        <w:br w:type="column"/>
      </w:r>
    </w:p>
    <w:p>
      <w:pPr>
        <w:spacing w:after="0" w:line="165" w:lineRule="exact"/>
        <w:rPr>
          <w:sz w:val="24"/>
          <w:szCs w:val="24"/>
          <w:color w:val="auto"/>
        </w:rPr>
      </w:pPr>
    </w:p>
    <w:p>
      <w:pPr>
        <w:spacing w:after="0"/>
        <w:rPr>
          <w:sz w:val="20"/>
          <w:szCs w:val="20"/>
          <w:color w:val="auto"/>
        </w:rPr>
      </w:pPr>
      <w:r>
        <w:rPr>
          <w:rFonts w:ascii="Arial" w:cs="Arial" w:eastAsia="Arial" w:hAnsi="Arial"/>
          <w:sz w:val="16"/>
          <w:szCs w:val="16"/>
          <w:b w:val="1"/>
          <w:bCs w:val="1"/>
          <w:color w:val="auto"/>
        </w:rPr>
        <w:t>06-1681204</w:t>
      </w:r>
    </w:p>
    <w:p>
      <w:pPr>
        <w:spacing w:after="0" w:line="43" w:lineRule="exact"/>
        <w:rPr>
          <w:sz w:val="24"/>
          <w:szCs w:val="24"/>
          <w:color w:val="auto"/>
        </w:rPr>
      </w:pPr>
    </w:p>
    <w:p>
      <w:pPr>
        <w:sectPr>
          <w:pgSz w:w="11900" w:h="16838" w:orient="portrait"/>
          <w:cols w:equalWidth="0" w:num="2">
            <w:col w:w="7420" w:space="720"/>
            <w:col w:w="3260"/>
          </w:cols>
          <w:pgMar w:left="240" w:top="616" w:right="259" w:bottom="1440" w:gutter="0" w:footer="0" w:header="0"/>
          <w:type w:val="continuous"/>
        </w:sectPr>
      </w:pPr>
    </w:p>
    <w:p>
      <w:pPr>
        <w:spacing w:after="0" w:line="7" w:lineRule="exact"/>
        <w:rPr>
          <w:sz w:val="24"/>
          <w:szCs w:val="24"/>
          <w:color w:val="auto"/>
        </w:rPr>
      </w:pPr>
    </w:p>
    <w:p>
      <w:pPr>
        <w:ind w:left="2080"/>
        <w:spacing w:after="0"/>
        <w:rPr>
          <w:sz w:val="20"/>
          <w:szCs w:val="20"/>
          <w:color w:val="auto"/>
        </w:rPr>
      </w:pPr>
      <w:r>
        <w:rPr>
          <w:rFonts w:ascii="Arial" w:cs="Arial" w:eastAsia="Arial" w:hAnsi="Arial"/>
          <w:sz w:val="11"/>
          <w:szCs w:val="11"/>
          <w:b w:val="1"/>
          <w:bCs w:val="1"/>
          <w:color w:val="auto"/>
        </w:rPr>
        <w:t>(State or other jurisdiction of</w:t>
      </w:r>
    </w:p>
    <w:p>
      <w:pPr>
        <w:spacing w:after="0" w:line="4" w:lineRule="exact"/>
        <w:rPr>
          <w:sz w:val="24"/>
          <w:szCs w:val="24"/>
          <w:color w:val="auto"/>
        </w:rPr>
      </w:pPr>
    </w:p>
    <w:p>
      <w:pPr>
        <w:ind w:left="2040"/>
        <w:spacing w:after="0"/>
        <w:rPr>
          <w:sz w:val="20"/>
          <w:szCs w:val="20"/>
          <w:color w:val="auto"/>
        </w:rPr>
      </w:pPr>
      <w:r>
        <w:rPr>
          <w:rFonts w:ascii="Arial" w:cs="Arial" w:eastAsia="Arial" w:hAnsi="Arial"/>
          <w:sz w:val="11"/>
          <w:szCs w:val="11"/>
          <w:b w:val="1"/>
          <w:bCs w:val="1"/>
          <w:color w:val="auto"/>
        </w:rPr>
        <w:t>incorporation or organization)</w:t>
      </w:r>
    </w:p>
    <w:p>
      <w:pPr>
        <w:spacing w:after="0" w:line="20" w:lineRule="exact"/>
        <w:rPr>
          <w:sz w:val="24"/>
          <w:szCs w:val="24"/>
          <w:color w:val="auto"/>
        </w:rPr>
      </w:pPr>
      <w:r>
        <w:rPr>
          <w:sz w:val="24"/>
          <w:szCs w:val="24"/>
          <w:color w:val="auto"/>
        </w:rPr>
        <w:br w:type="column"/>
      </w:r>
    </w:p>
    <w:p>
      <w:pPr>
        <w:ind w:left="40"/>
        <w:spacing w:after="0"/>
        <w:rPr>
          <w:sz w:val="20"/>
          <w:szCs w:val="20"/>
          <w:color w:val="auto"/>
        </w:rPr>
      </w:pPr>
      <w:r>
        <w:rPr>
          <w:rFonts w:ascii="Arial" w:cs="Arial" w:eastAsia="Arial" w:hAnsi="Arial"/>
          <w:sz w:val="12"/>
          <w:szCs w:val="12"/>
          <w:b w:val="1"/>
          <w:bCs w:val="1"/>
          <w:color w:val="auto"/>
        </w:rPr>
        <w:t>(I.R.S. Employer</w:t>
      </w:r>
    </w:p>
    <w:p>
      <w:pPr>
        <w:spacing w:after="0"/>
        <w:rPr>
          <w:sz w:val="20"/>
          <w:szCs w:val="20"/>
          <w:color w:val="auto"/>
        </w:rPr>
      </w:pPr>
      <w:r>
        <w:rPr>
          <w:rFonts w:ascii="Arial" w:cs="Arial" w:eastAsia="Arial" w:hAnsi="Arial"/>
          <w:sz w:val="11"/>
          <w:szCs w:val="11"/>
          <w:b w:val="1"/>
          <w:bCs w:val="1"/>
          <w:color w:val="auto"/>
        </w:rPr>
        <w:t>Identification No.)</w:t>
      </w:r>
    </w:p>
    <w:p>
      <w:pPr>
        <w:spacing w:after="0" w:line="62" w:lineRule="exact"/>
        <w:rPr>
          <w:sz w:val="24"/>
          <w:szCs w:val="24"/>
          <w:color w:val="auto"/>
        </w:rPr>
      </w:pPr>
    </w:p>
    <w:p>
      <w:pPr>
        <w:sectPr>
          <w:pgSz w:w="11900" w:h="16838" w:orient="portrait"/>
          <w:cols w:equalWidth="0" w:num="2">
            <w:col w:w="7360" w:space="720"/>
            <w:col w:w="3320"/>
          </w:cols>
          <w:pgMar w:left="240" w:top="616" w:right="259" w:bottom="1440" w:gutter="0" w:footer="0" w:header="0"/>
          <w:type w:val="continuous"/>
        </w:sectPr>
      </w:pPr>
    </w:p>
    <w:p>
      <w:pPr>
        <w:jc w:val="center"/>
        <w:ind w:right="-19"/>
        <w:spacing w:after="0"/>
        <w:rPr>
          <w:sz w:val="20"/>
          <w:szCs w:val="20"/>
          <w:color w:val="auto"/>
        </w:rPr>
      </w:pPr>
      <w:r>
        <w:rPr>
          <w:rFonts w:ascii="Arial" w:cs="Arial" w:eastAsia="Arial" w:hAnsi="Arial"/>
          <w:sz w:val="17"/>
          <w:szCs w:val="17"/>
          <w:b w:val="1"/>
          <w:bCs w:val="1"/>
          <w:color w:val="auto"/>
        </w:rPr>
        <w:t>128 Baytech Drive</w:t>
      </w:r>
    </w:p>
    <w:p>
      <w:pPr>
        <w:spacing w:after="0" w:line="39" w:lineRule="exact"/>
        <w:rPr>
          <w:sz w:val="24"/>
          <w:szCs w:val="24"/>
          <w:color w:val="auto"/>
        </w:rPr>
      </w:pPr>
    </w:p>
    <w:p>
      <w:pPr>
        <w:jc w:val="center"/>
        <w:ind w:right="-19"/>
        <w:spacing w:after="0"/>
        <w:rPr>
          <w:sz w:val="20"/>
          <w:szCs w:val="20"/>
          <w:color w:val="auto"/>
        </w:rPr>
      </w:pPr>
      <w:r>
        <w:rPr>
          <w:rFonts w:ascii="Arial" w:cs="Arial" w:eastAsia="Arial" w:hAnsi="Arial"/>
          <w:sz w:val="15"/>
          <w:szCs w:val="15"/>
          <w:b w:val="1"/>
          <w:bCs w:val="1"/>
          <w:color w:val="auto"/>
        </w:rPr>
        <w:t>San Jose, CA 95134</w:t>
      </w:r>
    </w:p>
    <w:p>
      <w:pPr>
        <w:spacing w:after="0" w:line="44"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(408) 883-6888</w:t>
      </w:r>
    </w:p>
    <w:p>
      <w:pPr>
        <w:sectPr>
          <w:pgSz w:w="11900" w:h="16838" w:orient="portrait"/>
          <w:cols w:equalWidth="0" w:num="1">
            <w:col w:w="11400"/>
          </w:cols>
          <w:pgMar w:left="240" w:top="616" w:right="259" w:bottom="1440" w:gutter="0" w:footer="0" w:header="0"/>
          <w:type w:val="continuous"/>
        </w:sectPr>
      </w:pPr>
    </w:p>
    <w:p>
      <w:pPr>
        <w:spacing w:after="0" w:line="64" w:lineRule="exact"/>
        <w:rPr>
          <w:sz w:val="24"/>
          <w:szCs w:val="24"/>
          <w:color w:val="auto"/>
        </w:rPr>
      </w:pPr>
    </w:p>
    <w:p>
      <w:pPr>
        <w:jc w:val="center"/>
        <w:ind w:right="-19"/>
        <w:spacing w:after="0"/>
        <w:rPr>
          <w:sz w:val="20"/>
          <w:szCs w:val="20"/>
          <w:color w:val="auto"/>
        </w:rPr>
      </w:pPr>
      <w:r>
        <w:rPr>
          <w:rFonts w:ascii="Arial" w:cs="Arial" w:eastAsia="Arial" w:hAnsi="Arial"/>
          <w:sz w:val="11"/>
          <w:szCs w:val="11"/>
          <w:b w:val="1"/>
          <w:bCs w:val="1"/>
          <w:color w:val="auto"/>
        </w:rPr>
        <w:t>(Address, including zip code, and telephone number, including area code, of registrant’s principal executive offices)</w:t>
      </w:r>
    </w:p>
    <w:p>
      <w:pPr>
        <w:spacing w:after="0" w:line="72" w:lineRule="exact"/>
        <w:rPr>
          <w:sz w:val="24"/>
          <w:szCs w:val="24"/>
          <w:color w:val="auto"/>
        </w:rPr>
      </w:pPr>
    </w:p>
    <w:p>
      <w:pPr>
        <w:jc w:val="center"/>
        <w:ind w:right="-19"/>
        <w:spacing w:after="0"/>
        <w:rPr>
          <w:sz w:val="20"/>
          <w:szCs w:val="20"/>
          <w:color w:val="auto"/>
        </w:rPr>
      </w:pPr>
      <w:r>
        <w:rPr>
          <w:rFonts w:ascii="Arial" w:cs="Arial" w:eastAsia="Arial" w:hAnsi="Arial"/>
          <w:sz w:val="15"/>
          <w:szCs w:val="15"/>
          <w:b w:val="1"/>
          <w:bCs w:val="1"/>
          <w:color w:val="auto"/>
        </w:rPr>
        <w:t>Securities registered pursuant to Section 12(b) of the Act:</w:t>
      </w:r>
    </w:p>
    <w:p>
      <w:pPr>
        <w:sectPr>
          <w:pgSz w:w="11900" w:h="16838" w:orient="portrait"/>
          <w:cols w:equalWidth="0" w:num="1">
            <w:col w:w="11400"/>
          </w:cols>
          <w:pgMar w:left="240" w:top="616" w:right="259" w:bottom="1440" w:gutter="0" w:footer="0" w:header="0"/>
          <w:type w:val="continuous"/>
        </w:sectPr>
      </w:pPr>
    </w:p>
    <w:p>
      <w:pPr>
        <w:spacing w:after="0" w:line="35" w:lineRule="exact"/>
        <w:rPr>
          <w:sz w:val="24"/>
          <w:szCs w:val="24"/>
          <w:color w:val="auto"/>
        </w:rPr>
      </w:pPr>
    </w:p>
    <w:p>
      <w:pPr>
        <w:ind w:left="2260"/>
        <w:spacing w:after="0"/>
        <w:rPr>
          <w:sz w:val="20"/>
          <w:szCs w:val="20"/>
          <w:color w:val="auto"/>
        </w:rPr>
      </w:pPr>
      <w:r>
        <w:rPr>
          <w:rFonts w:ascii="Arial" w:cs="Arial" w:eastAsia="Arial" w:hAnsi="Arial"/>
          <w:sz w:val="12"/>
          <w:szCs w:val="12"/>
          <w:b w:val="1"/>
          <w:bCs w:val="1"/>
          <w:color w:val="auto"/>
        </w:rPr>
        <w:t>Title of Each Class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-78740</wp:posOffset>
            </wp:positionV>
            <wp:extent cx="889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-61595</wp:posOffset>
            </wp:positionV>
            <wp:extent cx="889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8890" cy="889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15" w:lineRule="exact"/>
        <w:rPr>
          <w:sz w:val="24"/>
          <w:szCs w:val="24"/>
          <w:color w:val="auto"/>
        </w:rPr>
      </w:pPr>
    </w:p>
    <w:p>
      <w:pPr>
        <w:spacing w:after="0"/>
        <w:rPr>
          <w:sz w:val="20"/>
          <w:szCs w:val="20"/>
          <w:color w:val="auto"/>
        </w:rPr>
      </w:pPr>
      <w:r>
        <w:rPr>
          <w:rFonts w:ascii="Arial" w:cs="Arial" w:eastAsia="Arial" w:hAnsi="Arial"/>
          <w:sz w:val="12"/>
          <w:szCs w:val="12"/>
          <w:b w:val="1"/>
          <w:bCs w:val="1"/>
          <w:color w:val="auto"/>
        </w:rPr>
        <w:t>Name of Each Exchange on Which Registered</w:t>
      </w:r>
    </w:p>
    <w:p>
      <w:pPr>
        <w:spacing w:after="0" w:line="32" w:lineRule="exact"/>
        <w:rPr>
          <w:sz w:val="24"/>
          <w:szCs w:val="24"/>
          <w:color w:val="auto"/>
        </w:rPr>
      </w:pPr>
    </w:p>
    <w:p>
      <w:pPr>
        <w:sectPr>
          <w:pgSz w:w="11900" w:h="16838" w:orient="portrait"/>
          <w:cols w:equalWidth="0" w:num="2">
            <w:col w:w="6580" w:space="720"/>
            <w:col w:w="4100"/>
          </w:cols>
          <w:pgMar w:left="240" w:top="616" w:right="259" w:bottom="1440" w:gutter="0" w:footer="0" w:header="0"/>
          <w:type w:val="continuous"/>
        </w:sectPr>
      </w:pPr>
    </w:p>
    <w:p>
      <w:pPr>
        <w:ind w:left="1360"/>
        <w:spacing w:after="0"/>
        <w:tabs>
          <w:tab w:leader="none" w:pos="7580" w:val="left"/>
        </w:tabs>
        <w:rPr>
          <w:sz w:val="20"/>
          <w:szCs w:val="20"/>
          <w:color w:val="auto"/>
        </w:rPr>
      </w:pPr>
      <w:r>
        <w:rPr>
          <w:rFonts w:ascii="Arial" w:cs="Arial" w:eastAsia="Arial" w:hAnsi="Arial"/>
          <w:sz w:val="15"/>
          <w:szCs w:val="15"/>
          <w:b w:val="1"/>
          <w:bCs w:val="1"/>
          <w:color w:val="auto"/>
        </w:rPr>
        <w:t>Common Stock, $0.0001 par value per share</w:t>
      </w:r>
      <w:r>
        <w:rPr>
          <w:sz w:val="20"/>
          <w:szCs w:val="20"/>
          <w:color w:val="auto"/>
        </w:rPr>
        <w:tab/>
      </w:r>
      <w:r>
        <w:rPr>
          <w:rFonts w:ascii="Arial" w:cs="Arial" w:eastAsia="Arial" w:hAnsi="Arial"/>
          <w:sz w:val="14"/>
          <w:szCs w:val="14"/>
          <w:b w:val="1"/>
          <w:bCs w:val="1"/>
          <w:color w:val="auto"/>
        </w:rPr>
        <w:t>The Nasdaq Stock Market, Inc.</w:t>
      </w:r>
    </w:p>
    <w:p>
      <w:pPr>
        <w:sectPr>
          <w:pgSz w:w="11900" w:h="16838" w:orient="portrait"/>
          <w:cols w:equalWidth="0" w:num="1">
            <w:col w:w="11400"/>
          </w:cols>
          <w:pgMar w:left="240" w:top="616" w:right="259" w:bottom="1440" w:gutter="0" w:footer="0" w:header="0"/>
          <w:type w:val="continuous"/>
        </w:sectPr>
      </w:pPr>
    </w:p>
    <w:p>
      <w:pPr>
        <w:spacing w:after="0" w:line="31" w:lineRule="exact"/>
        <w:rPr>
          <w:sz w:val="24"/>
          <w:szCs w:val="24"/>
          <w:color w:val="auto"/>
        </w:rPr>
      </w:pPr>
    </w:p>
    <w:p>
      <w:pPr>
        <w:jc w:val="center"/>
        <w:ind w:right="-19"/>
        <w:spacing w:after="0"/>
        <w:rPr>
          <w:sz w:val="20"/>
          <w:szCs w:val="20"/>
          <w:color w:val="auto"/>
        </w:rPr>
      </w:pPr>
      <w:r>
        <w:rPr>
          <w:rFonts w:ascii="Arial" w:cs="Arial" w:eastAsia="Arial" w:hAnsi="Arial"/>
          <w:sz w:val="15"/>
          <w:szCs w:val="15"/>
          <w:b w:val="1"/>
          <w:bCs w:val="1"/>
          <w:color w:val="auto"/>
        </w:rPr>
        <w:t>Securities Registered Pursuant to Section 12(g) of the Act: None</w:t>
      </w:r>
    </w:p>
    <w:p>
      <w:pPr>
        <w:spacing w:after="0" w:line="28" w:lineRule="exact"/>
        <w:rPr>
          <w:sz w:val="24"/>
          <w:szCs w:val="24"/>
          <w:color w:val="auto"/>
        </w:rPr>
      </w:pPr>
    </w:p>
    <w:p>
      <w:pPr>
        <w:ind w:right="3240"/>
        <w:spacing w:after="0" w:line="228" w:lineRule="exact"/>
        <w:rPr>
          <w:sz w:val="20"/>
          <w:szCs w:val="20"/>
          <w:color w:val="auto"/>
        </w:rPr>
      </w:pPr>
      <w:r>
        <w:rPr>
          <w:rFonts w:ascii="Arial" w:cs="Arial" w:eastAsia="Arial" w:hAnsi="Arial"/>
          <w:sz w:val="14"/>
          <w:szCs w:val="14"/>
          <w:color w:val="auto"/>
        </w:rPr>
        <w:t xml:space="preserve">Indicate by check mark if the Registrant is a well-known seasoned issuer, as defined in Rule 405 of the Securities Act. YES </w:t>
      </w:r>
      <w:r>
        <w:rPr>
          <w:rFonts w:ascii="MS PGothic" w:cs="MS PGothic" w:eastAsia="MS PGothic" w:hAnsi="MS PGothic"/>
          <w:sz w:val="13"/>
          <w:szCs w:val="13"/>
          <w:color w:val="auto"/>
        </w:rPr>
        <w:t>☐</w:t>
      </w:r>
      <w:r>
        <w:rPr>
          <w:rFonts w:ascii="Arial" w:cs="Arial" w:eastAsia="Arial" w:hAnsi="Arial"/>
          <w:sz w:val="14"/>
          <w:szCs w:val="14"/>
          <w:color w:val="auto"/>
        </w:rPr>
        <w:t xml:space="preserve"> NO </w:t>
      </w:r>
      <w:r>
        <w:rPr>
          <w:rFonts w:ascii="MS PGothic" w:cs="MS PGothic" w:eastAsia="MS PGothic" w:hAnsi="MS PGothic"/>
          <w:sz w:val="13"/>
          <w:szCs w:val="13"/>
          <w:color w:val="auto"/>
        </w:rPr>
        <w:t>☒</w:t>
      </w:r>
      <w:r>
        <w:rPr>
          <w:rFonts w:ascii="Arial" w:cs="Arial" w:eastAsia="Arial" w:hAnsi="Arial"/>
          <w:sz w:val="14"/>
          <w:szCs w:val="14"/>
          <w:color w:val="auto"/>
        </w:rPr>
        <w:t xml:space="preserve"> Indicate by check mark if the Registrant is not required to file reports pursuant to Section 13 or 15(d) of the Act. YES </w:t>
      </w:r>
      <w:r>
        <w:rPr>
          <w:rFonts w:ascii="MS PGothic" w:cs="MS PGothic" w:eastAsia="MS PGothic" w:hAnsi="MS PGothic"/>
          <w:sz w:val="13"/>
          <w:szCs w:val="13"/>
          <w:color w:val="auto"/>
        </w:rPr>
        <w:t>☐</w:t>
      </w:r>
      <w:r>
        <w:rPr>
          <w:rFonts w:ascii="Arial" w:cs="Arial" w:eastAsia="Arial" w:hAnsi="Arial"/>
          <w:sz w:val="14"/>
          <w:szCs w:val="14"/>
          <w:color w:val="auto"/>
        </w:rPr>
        <w:t xml:space="preserve"> NO </w:t>
      </w:r>
      <w:r>
        <w:rPr>
          <w:rFonts w:ascii="MS PGothic" w:cs="MS PGothic" w:eastAsia="MS PGothic" w:hAnsi="MS PGothic"/>
          <w:sz w:val="13"/>
          <w:szCs w:val="13"/>
          <w:color w:val="auto"/>
        </w:rPr>
        <w:t>☒</w:t>
      </w:r>
    </w:p>
    <w:p>
      <w:pPr>
        <w:spacing w:after="0" w:line="24" w:lineRule="exact"/>
        <w:rPr>
          <w:sz w:val="24"/>
          <w:szCs w:val="24"/>
          <w:color w:val="auto"/>
        </w:rPr>
      </w:pPr>
    </w:p>
    <w:p>
      <w:pPr>
        <w:ind w:right="20"/>
        <w:spacing w:after="0" w:line="184" w:lineRule="exact"/>
        <w:rPr>
          <w:sz w:val="20"/>
          <w:szCs w:val="20"/>
          <w:color w:val="auto"/>
        </w:rPr>
      </w:pPr>
      <w:r>
        <w:rPr>
          <w:rFonts w:ascii="Arial" w:cs="Arial" w:eastAsia="Arial" w:hAnsi="Arial"/>
          <w:sz w:val="14"/>
          <w:szCs w:val="14"/>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3"/>
          <w:szCs w:val="13"/>
          <w:color w:val="auto"/>
        </w:rPr>
        <w:t>☒</w:t>
      </w:r>
      <w:r>
        <w:rPr>
          <w:rFonts w:ascii="Arial" w:cs="Arial" w:eastAsia="Arial" w:hAnsi="Arial"/>
          <w:sz w:val="14"/>
          <w:szCs w:val="14"/>
          <w:color w:val="auto"/>
        </w:rPr>
        <w:t xml:space="preserve"> NO </w:t>
      </w:r>
      <w:r>
        <w:rPr>
          <w:rFonts w:ascii="MS PGothic" w:cs="MS PGothic" w:eastAsia="MS PGothic" w:hAnsi="MS PGothic"/>
          <w:sz w:val="13"/>
          <w:szCs w:val="13"/>
          <w:color w:val="auto"/>
        </w:rPr>
        <w:t>☐</w:t>
      </w:r>
    </w:p>
    <w:p>
      <w:pPr>
        <w:spacing w:after="0" w:line="24" w:lineRule="exact"/>
        <w:rPr>
          <w:sz w:val="24"/>
          <w:szCs w:val="24"/>
          <w:color w:val="auto"/>
        </w:rPr>
      </w:pPr>
    </w:p>
    <w:p>
      <w:pPr>
        <w:jc w:val="both"/>
        <w:ind w:right="180"/>
        <w:spacing w:after="0" w:line="177" w:lineRule="exact"/>
        <w:rPr>
          <w:sz w:val="20"/>
          <w:szCs w:val="20"/>
          <w:color w:val="auto"/>
        </w:rPr>
      </w:pPr>
      <w:r>
        <w:rPr>
          <w:rFonts w:ascii="Arial" w:cs="Arial" w:eastAsia="Arial" w:hAnsi="Arial"/>
          <w:sz w:val="15"/>
          <w:szCs w:val="15"/>
          <w:color w:val="auto"/>
        </w:rPr>
        <w:t xml:space="preserve">Indicate by check mark whether the Registrant has submitted electronically and posted on its corporate Web site, if any, every Interactive Data File required to be submitted and posted pursuant to Rule 405 of Regulation S-T (§232.405 of this chapter) during the preceding 12 months (or for such shorter period that the Registrant was required to submit and post such files). YES </w:t>
      </w:r>
      <w:r>
        <w:rPr>
          <w:rFonts w:ascii="MS PGothic" w:cs="MS PGothic" w:eastAsia="MS PGothic" w:hAnsi="MS PGothic"/>
          <w:sz w:val="14"/>
          <w:szCs w:val="14"/>
          <w:color w:val="auto"/>
        </w:rPr>
        <w:t>☒</w:t>
      </w:r>
      <w:r>
        <w:rPr>
          <w:rFonts w:ascii="Arial" w:cs="Arial" w:eastAsia="Arial" w:hAnsi="Arial"/>
          <w:sz w:val="15"/>
          <w:szCs w:val="15"/>
          <w:color w:val="auto"/>
        </w:rPr>
        <w:t xml:space="preserve"> NO </w:t>
      </w:r>
      <w:r>
        <w:rPr>
          <w:rFonts w:ascii="MS PGothic" w:cs="MS PGothic" w:eastAsia="MS PGothic" w:hAnsi="MS PGothic"/>
          <w:sz w:val="14"/>
          <w:szCs w:val="14"/>
          <w:color w:val="auto"/>
        </w:rPr>
        <w:t>☐</w:t>
      </w:r>
    </w:p>
    <w:p>
      <w:pPr>
        <w:spacing w:after="0" w:line="23" w:lineRule="exact"/>
        <w:rPr>
          <w:sz w:val="24"/>
          <w:szCs w:val="24"/>
          <w:color w:val="auto"/>
        </w:rPr>
      </w:pPr>
    </w:p>
    <w:p>
      <w:pPr>
        <w:ind w:right="100"/>
        <w:spacing w:after="0" w:line="184" w:lineRule="exact"/>
        <w:rPr>
          <w:sz w:val="20"/>
          <w:szCs w:val="20"/>
          <w:color w:val="auto"/>
        </w:rPr>
      </w:pPr>
      <w:r>
        <w:rPr>
          <w:rFonts w:ascii="Arial" w:cs="Arial" w:eastAsia="Arial" w:hAnsi="Arial"/>
          <w:sz w:val="15"/>
          <w:szCs w:val="15"/>
          <w:color w:val="auto"/>
        </w:rPr>
        <w:t xml:space="preserve">Indicate by check mark if disclosure of delinquent filers pursuant to Item 405 of Regulation S-K (§229.405) is not contained herein, and will not be contained, to the best of Registrant’s knowledge, in definitive proxy or information statements incorporated by reference in Part III of this Form 10-K or any amendment to this Form 10-K. </w:t>
      </w:r>
      <w:r>
        <w:rPr>
          <w:rFonts w:ascii="MS PGothic" w:cs="MS PGothic" w:eastAsia="MS PGothic" w:hAnsi="MS PGothic"/>
          <w:sz w:val="14"/>
          <w:szCs w:val="14"/>
          <w:color w:val="auto"/>
        </w:rPr>
        <w:t>☒</w:t>
      </w:r>
    </w:p>
    <w:p>
      <w:pPr>
        <w:spacing w:after="0" w:line="24" w:lineRule="exact"/>
        <w:rPr>
          <w:sz w:val="24"/>
          <w:szCs w:val="24"/>
          <w:color w:val="auto"/>
        </w:rPr>
      </w:pPr>
    </w:p>
    <w:p>
      <w:pPr>
        <w:ind w:right="20"/>
        <w:spacing w:after="0" w:line="272" w:lineRule="auto"/>
        <w:rPr>
          <w:sz w:val="20"/>
          <w:szCs w:val="20"/>
          <w:color w:val="auto"/>
        </w:rPr>
      </w:pPr>
      <w:r>
        <w:rPr>
          <w:rFonts w:ascii="Arial" w:cs="Arial" w:eastAsia="Arial" w:hAnsi="Arial"/>
          <w:sz w:val="14"/>
          <w:szCs w:val="14"/>
          <w:color w:val="auto"/>
        </w:rPr>
        <w:t>Indicate by check mark whether the registrant is a large accelerated filer, an accelerated filer, a non-accelerated filer, smaller reporting company, or an emerging growth company. See the definitions of “large accelerated filer,” “accelerated filer,” “smaller reporting company,” and “emerging growth company” in Rule 12b-2 of the Exchange Act.</w:t>
      </w:r>
    </w:p>
    <w:tbl>
      <w:tblPr>
        <w:tblLayout w:type="fixed"/>
        <w:tblInd w:w="0" w:type="dxa"/>
        <w:tblCellMar>
          <w:top w:w="0" w:type="dxa"/>
          <w:left w:w="0" w:type="dxa"/>
          <w:bottom w:w="0" w:type="dxa"/>
          <w:right w:w="0" w:type="dxa"/>
        </w:tblCellMar>
      </w:tblPr>
      <w:tr>
        <w:trPr>
          <w:trHeight w:val="254"/>
        </w:trPr>
        <w:tc>
          <w:tcPr>
            <w:tcW w:w="2320" w:type="dxa"/>
            <w:vAlign w:val="bottom"/>
          </w:tcPr>
          <w:p>
            <w:pPr>
              <w:spacing w:after="0"/>
              <w:rPr>
                <w:sz w:val="20"/>
                <w:szCs w:val="20"/>
                <w:color w:val="auto"/>
              </w:rPr>
            </w:pPr>
            <w:r>
              <w:rPr>
                <w:rFonts w:ascii="Arial" w:cs="Arial" w:eastAsia="Arial" w:hAnsi="Arial"/>
                <w:sz w:val="16"/>
                <w:szCs w:val="16"/>
                <w:color w:val="auto"/>
              </w:rPr>
              <w:t>Large accelerated filer</w:t>
            </w:r>
          </w:p>
        </w:tc>
        <w:tc>
          <w:tcPr>
            <w:tcW w:w="5060" w:type="dxa"/>
            <w:vAlign w:val="bottom"/>
          </w:tcPr>
          <w:p>
            <w:pPr>
              <w:ind w:left="560"/>
              <w:spacing w:after="0" w:line="161" w:lineRule="exact"/>
              <w:rPr>
                <w:sz w:val="20"/>
                <w:szCs w:val="20"/>
                <w:color w:val="auto"/>
              </w:rPr>
            </w:pPr>
            <w:r>
              <w:rPr>
                <w:rFonts w:ascii="MS PGothic" w:cs="MS PGothic" w:eastAsia="MS PGothic" w:hAnsi="MS PGothic"/>
                <w:sz w:val="16"/>
                <w:szCs w:val="16"/>
                <w:color w:val="auto"/>
              </w:rPr>
              <w:t>☐</w:t>
            </w:r>
          </w:p>
        </w:tc>
        <w:tc>
          <w:tcPr>
            <w:tcW w:w="3400" w:type="dxa"/>
            <w:vAlign w:val="bottom"/>
          </w:tcPr>
          <w:p>
            <w:pPr>
              <w:ind w:left="1320"/>
              <w:spacing w:after="0"/>
              <w:rPr>
                <w:sz w:val="20"/>
                <w:szCs w:val="20"/>
                <w:color w:val="auto"/>
              </w:rPr>
            </w:pPr>
            <w:r>
              <w:rPr>
                <w:rFonts w:ascii="Arial" w:cs="Arial" w:eastAsia="Arial" w:hAnsi="Arial"/>
                <w:sz w:val="16"/>
                <w:szCs w:val="16"/>
                <w:color w:val="auto"/>
              </w:rPr>
              <w:t>Accelerated filer</w:t>
            </w:r>
          </w:p>
        </w:tc>
        <w:tc>
          <w:tcPr>
            <w:tcW w:w="440" w:type="dxa"/>
            <w:vAlign w:val="bottom"/>
          </w:tcPr>
          <w:p>
            <w:pPr>
              <w:ind w:left="300"/>
              <w:spacing w:after="0" w:line="161" w:lineRule="exact"/>
              <w:rPr>
                <w:sz w:val="20"/>
                <w:szCs w:val="20"/>
                <w:color w:val="auto"/>
              </w:rPr>
            </w:pPr>
            <w:r>
              <w:rPr>
                <w:rFonts w:ascii="MS PGothic" w:cs="MS PGothic" w:eastAsia="MS PGothic" w:hAnsi="MS PGothic"/>
                <w:sz w:val="16"/>
                <w:szCs w:val="16"/>
                <w:color w:val="auto"/>
                <w:w w:val="74"/>
              </w:rPr>
              <w:t>☐</w:t>
            </w:r>
          </w:p>
        </w:tc>
      </w:tr>
      <w:tr>
        <w:trPr>
          <w:trHeight w:val="270"/>
        </w:trPr>
        <w:tc>
          <w:tcPr>
            <w:tcW w:w="2320" w:type="dxa"/>
            <w:vAlign w:val="bottom"/>
          </w:tcPr>
          <w:p>
            <w:pPr>
              <w:spacing w:after="0"/>
              <w:rPr>
                <w:sz w:val="20"/>
                <w:szCs w:val="20"/>
                <w:color w:val="auto"/>
              </w:rPr>
            </w:pPr>
            <w:r>
              <w:rPr>
                <w:rFonts w:ascii="Arial" w:cs="Arial" w:eastAsia="Arial" w:hAnsi="Arial"/>
                <w:sz w:val="16"/>
                <w:szCs w:val="16"/>
                <w:color w:val="auto"/>
              </w:rPr>
              <w:t>Non-accelerated filer</w:t>
            </w:r>
          </w:p>
        </w:tc>
        <w:tc>
          <w:tcPr>
            <w:tcW w:w="5060" w:type="dxa"/>
            <w:vAlign w:val="bottom"/>
          </w:tcPr>
          <w:p>
            <w:pPr>
              <w:ind w:left="560"/>
              <w:spacing w:after="0" w:line="184" w:lineRule="exact"/>
              <w:rPr>
                <w:sz w:val="20"/>
                <w:szCs w:val="20"/>
                <w:color w:val="auto"/>
              </w:rPr>
            </w:pPr>
            <w:r>
              <w:rPr>
                <w:rFonts w:ascii="MS PGothic" w:cs="MS PGothic" w:eastAsia="MS PGothic" w:hAnsi="MS PGothic"/>
                <w:sz w:val="16"/>
                <w:szCs w:val="16"/>
                <w:color w:val="auto"/>
              </w:rPr>
              <w:t>☒</w:t>
            </w:r>
            <w:r>
              <w:rPr>
                <w:rFonts w:ascii="Arial" w:cs="Arial" w:eastAsia="Arial" w:hAnsi="Arial"/>
                <w:sz w:val="16"/>
                <w:szCs w:val="16"/>
                <w:color w:val="auto"/>
              </w:rPr>
              <w:t xml:space="preserve"> (Do not check if a smaller reporting company)</w:t>
            </w:r>
          </w:p>
        </w:tc>
        <w:tc>
          <w:tcPr>
            <w:tcW w:w="3400" w:type="dxa"/>
            <w:vAlign w:val="bottom"/>
          </w:tcPr>
          <w:p>
            <w:pPr>
              <w:ind w:left="1320"/>
              <w:spacing w:after="0"/>
              <w:rPr>
                <w:sz w:val="20"/>
                <w:szCs w:val="20"/>
                <w:color w:val="auto"/>
              </w:rPr>
            </w:pPr>
            <w:r>
              <w:rPr>
                <w:rFonts w:ascii="Arial" w:cs="Arial" w:eastAsia="Arial" w:hAnsi="Arial"/>
                <w:sz w:val="16"/>
                <w:szCs w:val="16"/>
                <w:color w:val="auto"/>
              </w:rPr>
              <w:t>Smaller reporting company</w:t>
            </w:r>
          </w:p>
        </w:tc>
        <w:tc>
          <w:tcPr>
            <w:tcW w:w="440" w:type="dxa"/>
            <w:vAlign w:val="bottom"/>
          </w:tcPr>
          <w:p>
            <w:pPr>
              <w:ind w:left="300"/>
              <w:spacing w:after="0" w:line="161" w:lineRule="exact"/>
              <w:rPr>
                <w:sz w:val="20"/>
                <w:szCs w:val="20"/>
                <w:color w:val="auto"/>
              </w:rPr>
            </w:pPr>
            <w:r>
              <w:rPr>
                <w:rFonts w:ascii="MS PGothic" w:cs="MS PGothic" w:eastAsia="MS PGothic" w:hAnsi="MS PGothic"/>
                <w:sz w:val="16"/>
                <w:szCs w:val="16"/>
                <w:color w:val="auto"/>
                <w:w w:val="74"/>
              </w:rPr>
              <w:t>☐</w:t>
            </w:r>
          </w:p>
        </w:tc>
      </w:tr>
      <w:tr>
        <w:trPr>
          <w:trHeight w:val="270"/>
        </w:trPr>
        <w:tc>
          <w:tcPr>
            <w:tcW w:w="2320" w:type="dxa"/>
            <w:vAlign w:val="bottom"/>
          </w:tcPr>
          <w:p>
            <w:pPr>
              <w:spacing w:after="0"/>
              <w:rPr>
                <w:sz w:val="20"/>
                <w:szCs w:val="20"/>
                <w:color w:val="auto"/>
              </w:rPr>
            </w:pPr>
            <w:r>
              <w:rPr>
                <w:rFonts w:ascii="Arial" w:cs="Arial" w:eastAsia="Arial" w:hAnsi="Arial"/>
                <w:sz w:val="16"/>
                <w:szCs w:val="16"/>
                <w:color w:val="auto"/>
              </w:rPr>
              <w:t>Emerging growth company</w:t>
            </w:r>
          </w:p>
        </w:tc>
        <w:tc>
          <w:tcPr>
            <w:tcW w:w="5060" w:type="dxa"/>
            <w:vAlign w:val="bottom"/>
          </w:tcPr>
          <w:p>
            <w:pPr>
              <w:ind w:left="560"/>
              <w:spacing w:after="0" w:line="161" w:lineRule="exact"/>
              <w:rPr>
                <w:sz w:val="20"/>
                <w:szCs w:val="20"/>
                <w:color w:val="auto"/>
              </w:rPr>
            </w:pPr>
            <w:r>
              <w:rPr>
                <w:rFonts w:ascii="MS PGothic" w:cs="MS PGothic" w:eastAsia="MS PGothic" w:hAnsi="MS PGothic"/>
                <w:sz w:val="16"/>
                <w:szCs w:val="16"/>
                <w:color w:val="auto"/>
              </w:rPr>
              <w:t>☒</w:t>
            </w:r>
          </w:p>
        </w:tc>
        <w:tc>
          <w:tcPr>
            <w:tcW w:w="3400" w:type="dxa"/>
            <w:vAlign w:val="bottom"/>
          </w:tcPr>
          <w:p>
            <w:pPr>
              <w:spacing w:after="0"/>
              <w:rPr>
                <w:sz w:val="23"/>
                <w:szCs w:val="23"/>
                <w:color w:val="auto"/>
              </w:rPr>
            </w:pPr>
          </w:p>
        </w:tc>
        <w:tc>
          <w:tcPr>
            <w:tcW w:w="440" w:type="dxa"/>
            <w:vAlign w:val="bottom"/>
          </w:tcPr>
          <w:p>
            <w:pPr>
              <w:spacing w:after="0"/>
              <w:rPr>
                <w:sz w:val="23"/>
                <w:szCs w:val="23"/>
                <w:color w:val="auto"/>
              </w:rPr>
            </w:pPr>
          </w:p>
        </w:tc>
      </w:tr>
    </w:tbl>
    <w:p>
      <w:pPr>
        <w:spacing w:after="0" w:line="42" w:lineRule="exact"/>
        <w:rPr>
          <w:sz w:val="24"/>
          <w:szCs w:val="24"/>
          <w:color w:val="auto"/>
        </w:rPr>
      </w:pPr>
    </w:p>
    <w:p>
      <w:pPr>
        <w:ind w:right="60"/>
        <w:spacing w:after="0" w:line="184" w:lineRule="exact"/>
        <w:rPr>
          <w:sz w:val="20"/>
          <w:szCs w:val="20"/>
          <w:color w:val="auto"/>
        </w:rPr>
      </w:pPr>
      <w:r>
        <w:rPr>
          <w:rFonts w:ascii="Arial" w:cs="Arial" w:eastAsia="Arial" w:hAnsi="Arial"/>
          <w:sz w:val="15"/>
          <w:szCs w:val="15"/>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4"/>
          <w:szCs w:val="14"/>
          <w:color w:val="auto"/>
        </w:rPr>
        <w:t>☐</w:t>
      </w:r>
    </w:p>
    <w:p>
      <w:pPr>
        <w:spacing w:after="0" w:line="4" w:lineRule="exact"/>
        <w:rPr>
          <w:sz w:val="24"/>
          <w:szCs w:val="24"/>
          <w:color w:val="auto"/>
        </w:rPr>
      </w:pPr>
    </w:p>
    <w:p>
      <w:pPr>
        <w:spacing w:after="0" w:line="173" w:lineRule="exact"/>
        <w:rPr>
          <w:sz w:val="20"/>
          <w:szCs w:val="20"/>
          <w:color w:val="auto"/>
        </w:rPr>
      </w:pPr>
      <w:r>
        <w:rPr>
          <w:rFonts w:ascii="Arial" w:cs="Arial" w:eastAsia="Arial" w:hAnsi="Arial"/>
          <w:sz w:val="15"/>
          <w:szCs w:val="15"/>
          <w:color w:val="auto"/>
        </w:rPr>
        <w:t xml:space="preserve">Indicate by check mark whether the Registrant is a shell company (as defined in Rule 12b-2 of the Exchange Act). YES </w:t>
      </w:r>
      <w:r>
        <w:rPr>
          <w:rFonts w:ascii="MS PGothic" w:cs="MS PGothic" w:eastAsia="MS PGothic" w:hAnsi="MS PGothic"/>
          <w:sz w:val="14"/>
          <w:szCs w:val="14"/>
          <w:color w:val="auto"/>
        </w:rPr>
        <w:t>☐</w:t>
      </w:r>
      <w:r>
        <w:rPr>
          <w:rFonts w:ascii="Arial" w:cs="Arial" w:eastAsia="Arial" w:hAnsi="Arial"/>
          <w:sz w:val="15"/>
          <w:szCs w:val="15"/>
          <w:color w:val="auto"/>
        </w:rPr>
        <w:t xml:space="preserve"> NO </w:t>
      </w:r>
      <w:r>
        <w:rPr>
          <w:rFonts w:ascii="MS PGothic" w:cs="MS PGothic" w:eastAsia="MS PGothic" w:hAnsi="MS PGothic"/>
          <w:sz w:val="14"/>
          <w:szCs w:val="14"/>
          <w:color w:val="auto"/>
        </w:rPr>
        <w:t>☒</w:t>
      </w:r>
    </w:p>
    <w:p>
      <w:pPr>
        <w:spacing w:after="0" w:line="76" w:lineRule="exact"/>
        <w:rPr>
          <w:sz w:val="24"/>
          <w:szCs w:val="24"/>
          <w:color w:val="auto"/>
        </w:rPr>
      </w:pPr>
    </w:p>
    <w:p>
      <w:pPr>
        <w:ind w:right="460"/>
        <w:spacing w:after="0" w:line="255" w:lineRule="auto"/>
        <w:rPr>
          <w:sz w:val="20"/>
          <w:szCs w:val="20"/>
          <w:color w:val="auto"/>
        </w:rPr>
      </w:pPr>
      <w:r>
        <w:rPr>
          <w:rFonts w:ascii="Arial" w:cs="Arial" w:eastAsia="Arial" w:hAnsi="Arial"/>
          <w:sz w:val="15"/>
          <w:szCs w:val="15"/>
          <w:color w:val="auto"/>
        </w:rPr>
        <w:t>The aggregate market value of the voting and non-voting common equity held by non-affiliates of the Registrant, based on the closing price of the shares of common stock on The Nasdaq Global Market on February 26, 2018, was $106,858,458.</w:t>
      </w:r>
    </w:p>
    <w:p>
      <w:pPr>
        <w:spacing w:after="0" w:line="12" w:lineRule="exact"/>
        <w:rPr>
          <w:sz w:val="24"/>
          <w:szCs w:val="24"/>
          <w:color w:val="auto"/>
        </w:rPr>
      </w:pPr>
    </w:p>
    <w:p>
      <w:pPr>
        <w:spacing w:after="0"/>
        <w:rPr>
          <w:sz w:val="20"/>
          <w:szCs w:val="20"/>
          <w:color w:val="auto"/>
        </w:rPr>
      </w:pPr>
      <w:r>
        <w:rPr>
          <w:rFonts w:ascii="Arial" w:cs="Arial" w:eastAsia="Arial" w:hAnsi="Arial"/>
          <w:sz w:val="15"/>
          <w:szCs w:val="15"/>
          <w:color w:val="auto"/>
        </w:rPr>
        <w:t>The number of shares of Registrant’s Common Stock outstanding as of December 31, 2017 was 28,940,282.</w:t>
      </w:r>
    </w:p>
    <w:p>
      <w:pPr>
        <w:spacing w:after="0" w:line="44" w:lineRule="exact"/>
        <w:rPr>
          <w:sz w:val="24"/>
          <w:szCs w:val="24"/>
          <w:color w:val="auto"/>
        </w:rPr>
      </w:pPr>
    </w:p>
    <w:p>
      <w:pPr>
        <w:ind w:left="3820"/>
        <w:spacing w:after="0"/>
        <w:rPr>
          <w:sz w:val="20"/>
          <w:szCs w:val="20"/>
          <w:color w:val="auto"/>
        </w:rPr>
      </w:pPr>
      <w:r>
        <w:rPr>
          <w:rFonts w:ascii="Arial" w:cs="Arial" w:eastAsia="Arial" w:hAnsi="Arial"/>
          <w:sz w:val="15"/>
          <w:szCs w:val="15"/>
          <w:color w:val="auto"/>
        </w:rPr>
        <w:t>DOCUMENTS TO BE INCORPORATED BY REFERENCE</w:t>
      </w:r>
    </w:p>
    <w:p>
      <w:pPr>
        <w:spacing w:after="0" w:line="44" w:lineRule="exact"/>
        <w:rPr>
          <w:sz w:val="24"/>
          <w:szCs w:val="24"/>
          <w:color w:val="auto"/>
        </w:rPr>
      </w:pPr>
    </w:p>
    <w:p>
      <w:pPr>
        <w:spacing w:after="0"/>
        <w:rPr>
          <w:sz w:val="20"/>
          <w:szCs w:val="20"/>
          <w:color w:val="auto"/>
        </w:rPr>
      </w:pPr>
      <w:r>
        <w:rPr>
          <w:rFonts w:ascii="Arial" w:cs="Arial" w:eastAsia="Arial" w:hAnsi="Arial"/>
          <w:sz w:val="15"/>
          <w:szCs w:val="15"/>
          <w:color w:val="auto"/>
        </w:rPr>
        <w:t>Certain information required in Items 10, 11, 12, 13 and 14 of Part III of this Annual Report on Form 10-K (the "Annual Report") is incorporated by reference from our definitive Proxy Statement for our 2018 Annual Meeting of Stockholders (our "Proxy Statement") which will be filed with the Securities and Exchange Commission (the "SEC") within 120 days after the close of the fiscal year ended December 31, 2017.</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40005</wp:posOffset>
            </wp:positionV>
            <wp:extent cx="72466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57150</wp:posOffset>
            </wp:positionV>
            <wp:extent cx="724662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490220</wp:posOffset>
            </wp:positionV>
            <wp:extent cx="7289165"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616" w:right="259" w:bottom="1440" w:gutter="0" w:footer="0" w:header="0"/>
          <w:type w:val="continuous"/>
        </w:sectPr>
      </w:pPr>
    </w:p>
    <w:bookmarkStart w:id="1" w:name="page2"/>
    <w:bookmarkEnd w:id="1"/>
    <w:tbl>
      <w:tblPr>
        <w:tblLayout w:type="fixed"/>
        <w:tblInd w:w="0" w:type="dxa"/>
        <w:tblCellMar>
          <w:top w:w="0" w:type="dxa"/>
          <w:left w:w="0" w:type="dxa"/>
          <w:bottom w:w="0" w:type="dxa"/>
          <w:right w:w="0" w:type="dxa"/>
        </w:tblCellMar>
      </w:tblPr>
      <w:tr>
        <w:trPr>
          <w:trHeight w:val="234"/>
        </w:trPr>
        <w:tc>
          <w:tcPr>
            <w:tcW w:w="6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900" w:type="dxa"/>
            <w:vAlign w:val="bottom"/>
            <w:gridSpan w:val="10"/>
          </w:tcPr>
          <w:p>
            <w:pPr>
              <w:ind w:left="1000"/>
              <w:spacing w:after="0"/>
              <w:rPr>
                <w:sz w:val="20"/>
                <w:szCs w:val="20"/>
                <w:color w:val="auto"/>
              </w:rPr>
            </w:pPr>
            <w:r>
              <w:rPr>
                <w:rFonts w:ascii="Arial" w:cs="Arial" w:eastAsia="Arial" w:hAnsi="Arial"/>
                <w:sz w:val="18"/>
                <w:szCs w:val="18"/>
                <w:b w:val="1"/>
                <w:bCs w:val="1"/>
                <w:color w:val="auto"/>
              </w:rPr>
              <w:t>Table of Contents</w:t>
            </w:r>
          </w:p>
        </w:tc>
        <w:tc>
          <w:tcPr>
            <w:tcW w:w="4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65"/>
        </w:trPr>
        <w:tc>
          <w:tcPr>
            <w:tcW w:w="600" w:type="dxa"/>
            <w:vAlign w:val="bottom"/>
            <w:vMerge w:val="restart"/>
          </w:tcPr>
          <w:p>
            <w:pPr>
              <w:spacing w:after="0"/>
              <w:rPr>
                <w:rFonts w:ascii="Arial" w:cs="Arial" w:eastAsia="Arial" w:hAnsi="Arial"/>
                <w:sz w:val="18"/>
                <w:szCs w:val="18"/>
                <w:b w:val="1"/>
                <w:bCs w:val="1"/>
                <w:color w:val="0000EE"/>
                <w:w w:val="98"/>
              </w:rPr>
            </w:pPr>
            <w:hyperlink w:anchor="page4">
              <w:r>
                <w:rPr>
                  <w:rFonts w:ascii="Arial" w:cs="Arial" w:eastAsia="Arial" w:hAnsi="Arial"/>
                  <w:sz w:val="18"/>
                  <w:szCs w:val="18"/>
                  <w:b w:val="1"/>
                  <w:bCs w:val="1"/>
                  <w:color w:val="0000EE"/>
                  <w:w w:val="98"/>
                </w:rPr>
                <w:t>PART I</w:t>
              </w:r>
            </w:hyperlink>
          </w:p>
        </w:tc>
        <w:tc>
          <w:tcPr>
            <w:tcW w:w="560" w:type="dxa"/>
            <w:vAlign w:val="bottom"/>
            <w:gridSpan w:val="4"/>
            <w:vMerge w:val="restart"/>
          </w:tcPr>
          <w:p>
            <w:pPr>
              <w:spacing w:after="0"/>
              <w:rPr>
                <w:sz w:val="24"/>
                <w:szCs w:val="24"/>
                <w:color w:val="auto"/>
              </w:rPr>
            </w:pPr>
          </w:p>
        </w:tc>
        <w:tc>
          <w:tcPr>
            <w:tcW w:w="6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700" w:type="dxa"/>
            <w:vAlign w:val="bottom"/>
          </w:tcPr>
          <w:p>
            <w:pPr>
              <w:spacing w:after="0"/>
              <w:rPr>
                <w:sz w:val="24"/>
                <w:szCs w:val="24"/>
                <w:color w:val="auto"/>
              </w:rPr>
            </w:pPr>
          </w:p>
        </w:tc>
        <w:tc>
          <w:tcPr>
            <w:tcW w:w="480" w:type="dxa"/>
            <w:vAlign w:val="bottom"/>
            <w:tcBorders>
              <w:bottom w:val="single" w:sz="8" w:color="auto"/>
            </w:tcBorders>
          </w:tcPr>
          <w:p>
            <w:pPr>
              <w:jc w:val="right"/>
              <w:ind w:right="11"/>
              <w:spacing w:after="0"/>
              <w:rPr>
                <w:sz w:val="20"/>
                <w:szCs w:val="20"/>
                <w:color w:val="auto"/>
              </w:rPr>
            </w:pPr>
            <w:r>
              <w:rPr>
                <w:rFonts w:ascii="Arial" w:cs="Arial" w:eastAsia="Arial" w:hAnsi="Arial"/>
                <w:sz w:val="14"/>
                <w:szCs w:val="14"/>
                <w:b w:val="1"/>
                <w:bCs w:val="1"/>
                <w:color w:val="auto"/>
              </w:rPr>
              <w:t>Page</w:t>
            </w:r>
          </w:p>
        </w:tc>
        <w:tc>
          <w:tcPr>
            <w:tcW w:w="0" w:type="dxa"/>
            <w:vAlign w:val="bottom"/>
          </w:tcPr>
          <w:p>
            <w:pPr>
              <w:spacing w:after="0"/>
              <w:rPr>
                <w:sz w:val="1"/>
                <w:szCs w:val="1"/>
                <w:color w:val="auto"/>
              </w:rPr>
            </w:pPr>
          </w:p>
        </w:tc>
      </w:tr>
      <w:tr>
        <w:trPr>
          <w:trHeight w:val="188"/>
        </w:trPr>
        <w:tc>
          <w:tcPr>
            <w:tcW w:w="600" w:type="dxa"/>
            <w:vAlign w:val="bottom"/>
            <w:tcBorders>
              <w:bottom w:val="single" w:sz="8" w:color="0000EE"/>
            </w:tcBorders>
            <w:vMerge w:val="continue"/>
          </w:tcPr>
          <w:p>
            <w:pPr>
              <w:spacing w:after="0"/>
              <w:rPr>
                <w:sz w:val="15"/>
                <w:szCs w:val="15"/>
                <w:color w:val="auto"/>
              </w:rPr>
            </w:pPr>
          </w:p>
        </w:tc>
        <w:tc>
          <w:tcPr>
            <w:tcW w:w="560" w:type="dxa"/>
            <w:vAlign w:val="bottom"/>
            <w:gridSpan w:val="4"/>
            <w:vMerge w:val="continue"/>
          </w:tcPr>
          <w:p>
            <w:pPr>
              <w:spacing w:after="0"/>
              <w:rPr>
                <w:sz w:val="15"/>
                <w:szCs w:val="15"/>
                <w:color w:val="auto"/>
              </w:rPr>
            </w:pPr>
          </w:p>
        </w:tc>
        <w:tc>
          <w:tcPr>
            <w:tcW w:w="6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70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0"/>
        </w:trPr>
        <w:tc>
          <w:tcPr>
            <w:tcW w:w="1160" w:type="dxa"/>
            <w:vAlign w:val="bottom"/>
            <w:gridSpan w:val="5"/>
          </w:tcPr>
          <w:p>
            <w:pPr>
              <w:ind w:left="140"/>
              <w:spacing w:after="0"/>
              <w:rPr>
                <w:sz w:val="20"/>
                <w:szCs w:val="20"/>
                <w:color w:val="auto"/>
              </w:rPr>
            </w:pPr>
            <w:r>
              <w:rPr>
                <w:rFonts w:ascii="Arial" w:cs="Arial" w:eastAsia="Arial" w:hAnsi="Arial"/>
                <w:sz w:val="18"/>
                <w:szCs w:val="18"/>
                <w:color w:val="auto"/>
              </w:rPr>
              <w:t>Item 1.</w:t>
            </w:r>
          </w:p>
        </w:tc>
        <w:tc>
          <w:tcPr>
            <w:tcW w:w="9780" w:type="dxa"/>
            <w:vAlign w:val="bottom"/>
            <w:gridSpan w:val="19"/>
          </w:tcPr>
          <w:p>
            <w:pPr>
              <w:spacing w:after="0"/>
              <w:rPr>
                <w:rFonts w:ascii="Arial" w:cs="Arial" w:eastAsia="Arial" w:hAnsi="Arial"/>
                <w:sz w:val="18"/>
                <w:szCs w:val="18"/>
                <w:color w:val="0000EE"/>
              </w:rPr>
            </w:pPr>
            <w:hyperlink w:anchor="page4">
              <w:r>
                <w:rPr>
                  <w:rFonts w:ascii="Arial" w:cs="Arial" w:eastAsia="Arial" w:hAnsi="Arial"/>
                  <w:sz w:val="18"/>
                  <w:szCs w:val="18"/>
                  <w:color w:val="0000EE"/>
                </w:rPr>
                <w:t>Business</w:t>
              </w:r>
            </w:hyperlink>
          </w:p>
        </w:tc>
        <w:tc>
          <w:tcPr>
            <w:tcW w:w="480" w:type="dxa"/>
            <w:vAlign w:val="bottom"/>
          </w:tcPr>
          <w:p>
            <w:pPr>
              <w:jc w:val="right"/>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0"/>
        </w:trPr>
        <w:tc>
          <w:tcPr>
            <w:tcW w:w="66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640" w:type="dxa"/>
            <w:vAlign w:val="bottom"/>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1160" w:type="dxa"/>
            <w:vAlign w:val="bottom"/>
            <w:gridSpan w:val="5"/>
          </w:tcPr>
          <w:p>
            <w:pPr>
              <w:ind w:left="140"/>
              <w:spacing w:after="0"/>
              <w:rPr>
                <w:sz w:val="20"/>
                <w:szCs w:val="20"/>
                <w:color w:val="auto"/>
              </w:rPr>
            </w:pPr>
            <w:r>
              <w:rPr>
                <w:rFonts w:ascii="Arial" w:cs="Arial" w:eastAsia="Arial" w:hAnsi="Arial"/>
                <w:sz w:val="18"/>
                <w:szCs w:val="18"/>
                <w:color w:val="auto"/>
              </w:rPr>
              <w:t>Item 1A.</w:t>
            </w:r>
          </w:p>
        </w:tc>
        <w:tc>
          <w:tcPr>
            <w:tcW w:w="920" w:type="dxa"/>
            <w:vAlign w:val="bottom"/>
            <w:tcBorders>
              <w:bottom w:val="single" w:sz="8" w:color="0000EE"/>
            </w:tcBorders>
            <w:gridSpan w:val="3"/>
          </w:tcPr>
          <w:p>
            <w:pPr>
              <w:spacing w:after="0"/>
              <w:rPr>
                <w:rFonts w:ascii="Arial" w:cs="Arial" w:eastAsia="Arial" w:hAnsi="Arial"/>
                <w:sz w:val="18"/>
                <w:szCs w:val="18"/>
                <w:color w:val="0000EE"/>
                <w:w w:val="89"/>
              </w:rPr>
            </w:pPr>
            <w:hyperlink w:anchor="page22">
              <w:r>
                <w:rPr>
                  <w:rFonts w:ascii="Arial" w:cs="Arial" w:eastAsia="Arial" w:hAnsi="Arial"/>
                  <w:sz w:val="18"/>
                  <w:szCs w:val="18"/>
                  <w:color w:val="0000EE"/>
                  <w:w w:val="89"/>
                </w:rPr>
                <w:t>Risk Factors</w:t>
              </w:r>
            </w:hyperlink>
          </w:p>
        </w:tc>
        <w:tc>
          <w:tcPr>
            <w:tcW w:w="8860" w:type="dxa"/>
            <w:vAlign w:val="bottom"/>
            <w:gridSpan w:val="16"/>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21</w:t>
            </w:r>
          </w:p>
        </w:tc>
        <w:tc>
          <w:tcPr>
            <w:tcW w:w="0" w:type="dxa"/>
            <w:vAlign w:val="bottom"/>
          </w:tcPr>
          <w:p>
            <w:pPr>
              <w:spacing w:after="0"/>
              <w:rPr>
                <w:sz w:val="1"/>
                <w:szCs w:val="1"/>
                <w:color w:val="auto"/>
              </w:rPr>
            </w:pPr>
          </w:p>
        </w:tc>
      </w:tr>
      <w:tr>
        <w:trPr>
          <w:trHeight w:val="210"/>
        </w:trPr>
        <w:tc>
          <w:tcPr>
            <w:tcW w:w="1160" w:type="dxa"/>
            <w:vAlign w:val="bottom"/>
            <w:gridSpan w:val="5"/>
          </w:tcPr>
          <w:p>
            <w:pPr>
              <w:ind w:left="140"/>
              <w:spacing w:after="0"/>
              <w:rPr>
                <w:sz w:val="20"/>
                <w:szCs w:val="20"/>
                <w:color w:val="auto"/>
              </w:rPr>
            </w:pPr>
            <w:r>
              <w:rPr>
                <w:rFonts w:ascii="Arial" w:cs="Arial" w:eastAsia="Arial" w:hAnsi="Arial"/>
                <w:sz w:val="18"/>
                <w:szCs w:val="18"/>
                <w:color w:val="auto"/>
              </w:rPr>
              <w:t>Item 1B.</w:t>
            </w:r>
          </w:p>
        </w:tc>
        <w:tc>
          <w:tcPr>
            <w:tcW w:w="2060" w:type="dxa"/>
            <w:vAlign w:val="bottom"/>
            <w:tcBorders>
              <w:bottom w:val="single" w:sz="8" w:color="0000EE"/>
            </w:tcBorders>
            <w:gridSpan w:val="7"/>
          </w:tcPr>
          <w:p>
            <w:pPr>
              <w:spacing w:after="0"/>
              <w:rPr>
                <w:rFonts w:ascii="Arial" w:cs="Arial" w:eastAsia="Arial" w:hAnsi="Arial"/>
                <w:sz w:val="18"/>
                <w:szCs w:val="18"/>
                <w:color w:val="0000EE"/>
                <w:w w:val="90"/>
              </w:rPr>
            </w:pPr>
            <w:hyperlink w:anchor="page56">
              <w:r>
                <w:rPr>
                  <w:rFonts w:ascii="Arial" w:cs="Arial" w:eastAsia="Arial" w:hAnsi="Arial"/>
                  <w:sz w:val="18"/>
                  <w:szCs w:val="18"/>
                  <w:color w:val="0000EE"/>
                  <w:w w:val="90"/>
                </w:rPr>
                <w:t>Unresolved Staff Comments</w:t>
              </w:r>
            </w:hyperlink>
          </w:p>
        </w:tc>
        <w:tc>
          <w:tcPr>
            <w:tcW w:w="7720" w:type="dxa"/>
            <w:vAlign w:val="bottom"/>
            <w:gridSpan w:val="12"/>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55</w:t>
            </w:r>
          </w:p>
        </w:tc>
        <w:tc>
          <w:tcPr>
            <w:tcW w:w="0" w:type="dxa"/>
            <w:vAlign w:val="bottom"/>
          </w:tcPr>
          <w:p>
            <w:pPr>
              <w:spacing w:after="0"/>
              <w:rPr>
                <w:sz w:val="1"/>
                <w:szCs w:val="1"/>
                <w:color w:val="auto"/>
              </w:rPr>
            </w:pPr>
          </w:p>
        </w:tc>
      </w:tr>
      <w:tr>
        <w:trPr>
          <w:trHeight w:val="210"/>
        </w:trPr>
        <w:tc>
          <w:tcPr>
            <w:tcW w:w="1160" w:type="dxa"/>
            <w:vAlign w:val="bottom"/>
            <w:gridSpan w:val="5"/>
          </w:tcPr>
          <w:p>
            <w:pPr>
              <w:ind w:left="140"/>
              <w:spacing w:after="0"/>
              <w:rPr>
                <w:sz w:val="20"/>
                <w:szCs w:val="20"/>
                <w:color w:val="auto"/>
              </w:rPr>
            </w:pPr>
            <w:r>
              <w:rPr>
                <w:rFonts w:ascii="Arial" w:cs="Arial" w:eastAsia="Arial" w:hAnsi="Arial"/>
                <w:sz w:val="18"/>
                <w:szCs w:val="18"/>
                <w:color w:val="auto"/>
              </w:rPr>
              <w:t>Item 2.</w:t>
            </w:r>
          </w:p>
        </w:tc>
        <w:tc>
          <w:tcPr>
            <w:tcW w:w="760" w:type="dxa"/>
            <w:vAlign w:val="bottom"/>
            <w:tcBorders>
              <w:bottom w:val="single" w:sz="8" w:color="0000EE"/>
            </w:tcBorders>
            <w:gridSpan w:val="2"/>
          </w:tcPr>
          <w:p>
            <w:pPr>
              <w:spacing w:after="0"/>
              <w:rPr>
                <w:rFonts w:ascii="Arial" w:cs="Arial" w:eastAsia="Arial" w:hAnsi="Arial"/>
                <w:sz w:val="18"/>
                <w:szCs w:val="18"/>
                <w:color w:val="0000EE"/>
                <w:w w:val="87"/>
              </w:rPr>
            </w:pPr>
            <w:hyperlink w:anchor="page56">
              <w:r>
                <w:rPr>
                  <w:rFonts w:ascii="Arial" w:cs="Arial" w:eastAsia="Arial" w:hAnsi="Arial"/>
                  <w:sz w:val="18"/>
                  <w:szCs w:val="18"/>
                  <w:color w:val="0000EE"/>
                  <w:w w:val="87"/>
                </w:rPr>
                <w:t>Properties</w:t>
              </w:r>
            </w:hyperlink>
          </w:p>
        </w:tc>
        <w:tc>
          <w:tcPr>
            <w:tcW w:w="9020" w:type="dxa"/>
            <w:vAlign w:val="bottom"/>
            <w:gridSpan w:val="17"/>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55</w:t>
            </w:r>
          </w:p>
        </w:tc>
        <w:tc>
          <w:tcPr>
            <w:tcW w:w="0" w:type="dxa"/>
            <w:vAlign w:val="bottom"/>
          </w:tcPr>
          <w:p>
            <w:pPr>
              <w:spacing w:after="0"/>
              <w:rPr>
                <w:sz w:val="1"/>
                <w:szCs w:val="1"/>
                <w:color w:val="auto"/>
              </w:rPr>
            </w:pPr>
          </w:p>
        </w:tc>
      </w:tr>
      <w:tr>
        <w:trPr>
          <w:trHeight w:val="210"/>
        </w:trPr>
        <w:tc>
          <w:tcPr>
            <w:tcW w:w="1160" w:type="dxa"/>
            <w:vAlign w:val="bottom"/>
            <w:gridSpan w:val="5"/>
          </w:tcPr>
          <w:p>
            <w:pPr>
              <w:ind w:left="140"/>
              <w:spacing w:after="0"/>
              <w:rPr>
                <w:sz w:val="20"/>
                <w:szCs w:val="20"/>
                <w:color w:val="auto"/>
              </w:rPr>
            </w:pPr>
            <w:r>
              <w:rPr>
                <w:rFonts w:ascii="Arial" w:cs="Arial" w:eastAsia="Arial" w:hAnsi="Arial"/>
                <w:sz w:val="18"/>
                <w:szCs w:val="18"/>
                <w:color w:val="auto"/>
              </w:rPr>
              <w:t>Item 3.</w:t>
            </w:r>
          </w:p>
        </w:tc>
        <w:tc>
          <w:tcPr>
            <w:tcW w:w="9780" w:type="dxa"/>
            <w:vAlign w:val="bottom"/>
            <w:gridSpan w:val="19"/>
          </w:tcPr>
          <w:p>
            <w:pPr>
              <w:spacing w:after="0"/>
              <w:rPr>
                <w:rFonts w:ascii="Arial" w:cs="Arial" w:eastAsia="Arial" w:hAnsi="Arial"/>
                <w:sz w:val="18"/>
                <w:szCs w:val="18"/>
                <w:color w:val="0000EE"/>
              </w:rPr>
            </w:pPr>
            <w:hyperlink w:anchor="page56">
              <w:r>
                <w:rPr>
                  <w:rFonts w:ascii="Arial" w:cs="Arial" w:eastAsia="Arial" w:hAnsi="Arial"/>
                  <w:sz w:val="18"/>
                  <w:szCs w:val="18"/>
                  <w:color w:val="0000EE"/>
                </w:rPr>
                <w:t>Legal Proceedings</w:t>
              </w:r>
            </w:hyperlink>
          </w:p>
        </w:tc>
        <w:tc>
          <w:tcPr>
            <w:tcW w:w="480" w:type="dxa"/>
            <w:vAlign w:val="bottom"/>
          </w:tcPr>
          <w:p>
            <w:pPr>
              <w:jc w:val="right"/>
              <w:spacing w:after="0"/>
              <w:rPr>
                <w:sz w:val="20"/>
                <w:szCs w:val="20"/>
                <w:color w:val="auto"/>
              </w:rPr>
            </w:pPr>
            <w:r>
              <w:rPr>
                <w:rFonts w:ascii="Arial" w:cs="Arial" w:eastAsia="Arial" w:hAnsi="Arial"/>
                <w:sz w:val="18"/>
                <w:szCs w:val="18"/>
                <w:color w:val="auto"/>
              </w:rPr>
              <w:t>55</w:t>
            </w:r>
          </w:p>
        </w:tc>
        <w:tc>
          <w:tcPr>
            <w:tcW w:w="0" w:type="dxa"/>
            <w:vAlign w:val="bottom"/>
          </w:tcPr>
          <w:p>
            <w:pPr>
              <w:spacing w:after="0"/>
              <w:rPr>
                <w:sz w:val="1"/>
                <w:szCs w:val="1"/>
                <w:color w:val="auto"/>
              </w:rPr>
            </w:pPr>
          </w:p>
        </w:tc>
      </w:tr>
      <w:tr>
        <w:trPr>
          <w:trHeight w:val="20"/>
        </w:trPr>
        <w:tc>
          <w:tcPr>
            <w:tcW w:w="66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760" w:type="dxa"/>
            <w:vAlign w:val="bottom"/>
            <w:tcBorders>
              <w:right w:val="single" w:sz="8" w:color="0000EE"/>
            </w:tcBorders>
            <w:gridSpan w:val="2"/>
            <w:shd w:val="clear" w:color="auto" w:fill="0000EE"/>
          </w:tcPr>
          <w:p>
            <w:pPr>
              <w:spacing w:after="0" w:line="20" w:lineRule="exact"/>
              <w:rPr>
                <w:sz w:val="1"/>
                <w:szCs w:val="1"/>
                <w:color w:val="auto"/>
              </w:rPr>
            </w:pPr>
          </w:p>
        </w:tc>
        <w:tc>
          <w:tcPr>
            <w:tcW w:w="580" w:type="dxa"/>
            <w:vAlign w:val="bottom"/>
            <w:tcBorders>
              <w:right w:val="single" w:sz="8" w:color="0000EE"/>
            </w:tcBorders>
            <w:gridSpan w:val="2"/>
            <w:shd w:val="clear" w:color="auto" w:fill="0000EE"/>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90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1160" w:type="dxa"/>
            <w:vAlign w:val="bottom"/>
            <w:gridSpan w:val="5"/>
          </w:tcPr>
          <w:p>
            <w:pPr>
              <w:ind w:left="140"/>
              <w:spacing w:after="0"/>
              <w:rPr>
                <w:sz w:val="20"/>
                <w:szCs w:val="20"/>
                <w:color w:val="auto"/>
              </w:rPr>
            </w:pPr>
            <w:r>
              <w:rPr>
                <w:rFonts w:ascii="Arial" w:cs="Arial" w:eastAsia="Arial" w:hAnsi="Arial"/>
                <w:sz w:val="18"/>
                <w:szCs w:val="18"/>
                <w:color w:val="auto"/>
              </w:rPr>
              <w:t>Item 4.</w:t>
            </w:r>
          </w:p>
        </w:tc>
        <w:tc>
          <w:tcPr>
            <w:tcW w:w="9780" w:type="dxa"/>
            <w:vAlign w:val="bottom"/>
            <w:gridSpan w:val="19"/>
          </w:tcPr>
          <w:p>
            <w:pPr>
              <w:spacing w:after="0"/>
              <w:rPr>
                <w:rFonts w:ascii="Arial" w:cs="Arial" w:eastAsia="Arial" w:hAnsi="Arial"/>
                <w:sz w:val="18"/>
                <w:szCs w:val="18"/>
                <w:color w:val="0000EE"/>
              </w:rPr>
            </w:pPr>
            <w:hyperlink w:anchor="page56">
              <w:r>
                <w:rPr>
                  <w:rFonts w:ascii="Arial" w:cs="Arial" w:eastAsia="Arial" w:hAnsi="Arial"/>
                  <w:sz w:val="18"/>
                  <w:szCs w:val="18"/>
                  <w:color w:val="0000EE"/>
                </w:rPr>
                <w:t>Mine Safety Disclosures</w:t>
              </w:r>
            </w:hyperlink>
          </w:p>
        </w:tc>
        <w:tc>
          <w:tcPr>
            <w:tcW w:w="480" w:type="dxa"/>
            <w:vAlign w:val="bottom"/>
          </w:tcPr>
          <w:p>
            <w:pPr>
              <w:jc w:val="right"/>
              <w:spacing w:after="0"/>
              <w:rPr>
                <w:sz w:val="20"/>
                <w:szCs w:val="20"/>
                <w:color w:val="auto"/>
              </w:rPr>
            </w:pPr>
            <w:r>
              <w:rPr>
                <w:rFonts w:ascii="Arial" w:cs="Arial" w:eastAsia="Arial" w:hAnsi="Arial"/>
                <w:sz w:val="18"/>
                <w:szCs w:val="18"/>
                <w:color w:val="auto"/>
              </w:rPr>
              <w:t>55</w:t>
            </w:r>
          </w:p>
        </w:tc>
        <w:tc>
          <w:tcPr>
            <w:tcW w:w="0" w:type="dxa"/>
            <w:vAlign w:val="bottom"/>
          </w:tcPr>
          <w:p>
            <w:pPr>
              <w:spacing w:after="0"/>
              <w:rPr>
                <w:sz w:val="1"/>
                <w:szCs w:val="1"/>
                <w:color w:val="auto"/>
              </w:rPr>
            </w:pPr>
          </w:p>
        </w:tc>
      </w:tr>
      <w:tr>
        <w:trPr>
          <w:trHeight w:val="439"/>
        </w:trPr>
        <w:tc>
          <w:tcPr>
            <w:tcW w:w="1160" w:type="dxa"/>
            <w:vAlign w:val="bottom"/>
            <w:gridSpan w:val="5"/>
          </w:tcPr>
          <w:p>
            <w:pPr>
              <w:spacing w:after="0"/>
              <w:rPr>
                <w:rFonts w:ascii="Arial" w:cs="Arial" w:eastAsia="Arial" w:hAnsi="Arial"/>
                <w:sz w:val="18"/>
                <w:szCs w:val="18"/>
                <w:b w:val="1"/>
                <w:bCs w:val="1"/>
                <w:color w:val="0000EE"/>
              </w:rPr>
            </w:pPr>
            <w:hyperlink w:anchor="page57">
              <w:r>
                <w:rPr>
                  <w:rFonts w:ascii="Arial" w:cs="Arial" w:eastAsia="Arial" w:hAnsi="Arial"/>
                  <w:sz w:val="18"/>
                  <w:szCs w:val="18"/>
                  <w:b w:val="1"/>
                  <w:bCs w:val="1"/>
                  <w:color w:val="0000EE"/>
                </w:rPr>
                <w:t>PART II</w:t>
              </w:r>
            </w:hyperlink>
          </w:p>
        </w:tc>
        <w:tc>
          <w:tcPr>
            <w:tcW w:w="640" w:type="dxa"/>
            <w:vAlign w:val="bottom"/>
            <w:tcBorders>
              <w:top w:val="single" w:sz="8" w:color="0000EE"/>
            </w:tcBorders>
          </w:tcPr>
          <w:p>
            <w:pPr>
              <w:spacing w:after="0"/>
              <w:rPr>
                <w:sz w:val="24"/>
                <w:szCs w:val="24"/>
                <w:color w:val="auto"/>
              </w:rPr>
            </w:pPr>
          </w:p>
        </w:tc>
        <w:tc>
          <w:tcPr>
            <w:tcW w:w="120" w:type="dxa"/>
            <w:vAlign w:val="bottom"/>
            <w:tcBorders>
              <w:top w:val="single" w:sz="8" w:color="0000EE"/>
            </w:tcBorders>
          </w:tcPr>
          <w:p>
            <w:pPr>
              <w:spacing w:after="0"/>
              <w:rPr>
                <w:sz w:val="24"/>
                <w:szCs w:val="24"/>
                <w:color w:val="auto"/>
              </w:rPr>
            </w:pPr>
          </w:p>
        </w:tc>
        <w:tc>
          <w:tcPr>
            <w:tcW w:w="160" w:type="dxa"/>
            <w:vAlign w:val="bottom"/>
            <w:tcBorders>
              <w:top w:val="single" w:sz="8" w:color="0000EE"/>
            </w:tcBorders>
          </w:tcPr>
          <w:p>
            <w:pPr>
              <w:spacing w:after="0"/>
              <w:rPr>
                <w:sz w:val="24"/>
                <w:szCs w:val="24"/>
                <w:color w:val="auto"/>
              </w:rPr>
            </w:pPr>
          </w:p>
        </w:tc>
        <w:tc>
          <w:tcPr>
            <w:tcW w:w="420" w:type="dxa"/>
            <w:vAlign w:val="bottom"/>
            <w:tcBorders>
              <w:top w:val="single" w:sz="8" w:color="0000EE"/>
            </w:tcBorders>
          </w:tcPr>
          <w:p>
            <w:pPr>
              <w:spacing w:after="0"/>
              <w:rPr>
                <w:sz w:val="24"/>
                <w:szCs w:val="24"/>
                <w:color w:val="auto"/>
              </w:rPr>
            </w:pPr>
          </w:p>
        </w:tc>
        <w:tc>
          <w:tcPr>
            <w:tcW w:w="440" w:type="dxa"/>
            <w:vAlign w:val="bottom"/>
            <w:tcBorders>
              <w:top w:val="single" w:sz="8" w:color="0000EE"/>
            </w:tcBorders>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7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0"/>
        </w:trPr>
        <w:tc>
          <w:tcPr>
            <w:tcW w:w="660" w:type="dxa"/>
            <w:vAlign w:val="bottom"/>
            <w:tcBorders>
              <w:top w:val="single" w:sz="8" w:color="0000EE"/>
            </w:tcBorders>
            <w:gridSpan w:val="2"/>
          </w:tcPr>
          <w:p>
            <w:pPr>
              <w:ind w:left="140"/>
              <w:spacing w:after="0"/>
              <w:rPr>
                <w:sz w:val="20"/>
                <w:szCs w:val="20"/>
                <w:color w:val="auto"/>
              </w:rPr>
            </w:pPr>
            <w:r>
              <w:rPr>
                <w:rFonts w:ascii="Arial" w:cs="Arial" w:eastAsia="Arial" w:hAnsi="Arial"/>
                <w:sz w:val="18"/>
                <w:szCs w:val="18"/>
                <w:color w:val="auto"/>
                <w:w w:val="90"/>
              </w:rPr>
              <w:t>Item 5.</w:t>
            </w:r>
          </w:p>
        </w:tc>
        <w:tc>
          <w:tcPr>
            <w:tcW w:w="500" w:type="dxa"/>
            <w:vAlign w:val="bottom"/>
            <w:gridSpan w:val="3"/>
          </w:tcPr>
          <w:p>
            <w:pPr>
              <w:spacing w:after="0"/>
              <w:rPr>
                <w:sz w:val="18"/>
                <w:szCs w:val="18"/>
                <w:color w:val="auto"/>
              </w:rPr>
            </w:pPr>
          </w:p>
        </w:tc>
        <w:tc>
          <w:tcPr>
            <w:tcW w:w="9780" w:type="dxa"/>
            <w:vAlign w:val="bottom"/>
            <w:gridSpan w:val="19"/>
          </w:tcPr>
          <w:p>
            <w:pPr>
              <w:spacing w:after="0"/>
              <w:rPr>
                <w:rFonts w:ascii="Arial" w:cs="Arial" w:eastAsia="Arial" w:hAnsi="Arial"/>
                <w:sz w:val="18"/>
                <w:szCs w:val="18"/>
                <w:color w:val="0000EE"/>
              </w:rPr>
            </w:pPr>
            <w:hyperlink w:anchor="page57">
              <w:r>
                <w:rPr>
                  <w:rFonts w:ascii="Arial" w:cs="Arial" w:eastAsia="Arial" w:hAnsi="Arial"/>
                  <w:sz w:val="18"/>
                  <w:szCs w:val="18"/>
                  <w:color w:val="0000EE"/>
                </w:rPr>
                <w:t>Market for Registrant’s Common Equity, Related Stockholder Matters and Issuer Purchases of Equity Securities</w:t>
              </w:r>
            </w:hyperlink>
          </w:p>
        </w:tc>
        <w:tc>
          <w:tcPr>
            <w:tcW w:w="480" w:type="dxa"/>
            <w:vAlign w:val="bottom"/>
          </w:tcPr>
          <w:p>
            <w:pPr>
              <w:jc w:val="right"/>
              <w:spacing w:after="0"/>
              <w:rPr>
                <w:sz w:val="20"/>
                <w:szCs w:val="20"/>
                <w:color w:val="auto"/>
              </w:rPr>
            </w:pPr>
            <w:r>
              <w:rPr>
                <w:rFonts w:ascii="Arial" w:cs="Arial" w:eastAsia="Arial" w:hAnsi="Arial"/>
                <w:sz w:val="18"/>
                <w:szCs w:val="18"/>
                <w:color w:val="auto"/>
              </w:rPr>
              <w:t>56</w:t>
            </w:r>
          </w:p>
        </w:tc>
        <w:tc>
          <w:tcPr>
            <w:tcW w:w="0" w:type="dxa"/>
            <w:vAlign w:val="bottom"/>
          </w:tcPr>
          <w:p>
            <w:pPr>
              <w:spacing w:after="0"/>
              <w:rPr>
                <w:sz w:val="1"/>
                <w:szCs w:val="1"/>
                <w:color w:val="auto"/>
              </w:rPr>
            </w:pPr>
          </w:p>
        </w:tc>
      </w:tr>
      <w:tr>
        <w:trPr>
          <w:trHeight w:val="210"/>
        </w:trPr>
        <w:tc>
          <w:tcPr>
            <w:tcW w:w="1160" w:type="dxa"/>
            <w:vAlign w:val="bottom"/>
            <w:gridSpan w:val="5"/>
          </w:tcPr>
          <w:p>
            <w:pPr>
              <w:ind w:left="140"/>
              <w:spacing w:after="0"/>
              <w:rPr>
                <w:sz w:val="20"/>
                <w:szCs w:val="20"/>
                <w:color w:val="auto"/>
              </w:rPr>
            </w:pPr>
            <w:r>
              <w:rPr>
                <w:rFonts w:ascii="Arial" w:cs="Arial" w:eastAsia="Arial" w:hAnsi="Arial"/>
                <w:sz w:val="18"/>
                <w:szCs w:val="18"/>
                <w:color w:val="auto"/>
              </w:rPr>
              <w:t>Item 6.</w:t>
            </w:r>
          </w:p>
        </w:tc>
        <w:tc>
          <w:tcPr>
            <w:tcW w:w="2720" w:type="dxa"/>
            <w:vAlign w:val="bottom"/>
            <w:tcBorders>
              <w:top w:val="single" w:sz="8" w:color="0000EE"/>
              <w:bottom w:val="single" w:sz="8" w:color="0000EE"/>
            </w:tcBorders>
            <w:gridSpan w:val="8"/>
          </w:tcPr>
          <w:p>
            <w:pPr>
              <w:spacing w:after="0"/>
              <w:rPr>
                <w:rFonts w:ascii="Arial" w:cs="Arial" w:eastAsia="Arial" w:hAnsi="Arial"/>
                <w:sz w:val="18"/>
                <w:szCs w:val="18"/>
                <w:color w:val="0000EE"/>
                <w:w w:val="89"/>
              </w:rPr>
            </w:pPr>
            <w:hyperlink w:anchor="page59">
              <w:r>
                <w:rPr>
                  <w:rFonts w:ascii="Arial" w:cs="Arial" w:eastAsia="Arial" w:hAnsi="Arial"/>
                  <w:sz w:val="18"/>
                  <w:szCs w:val="18"/>
                  <w:color w:val="0000EE"/>
                  <w:w w:val="89"/>
                </w:rPr>
                <w:t>Selected Consolidated Financial Data</w:t>
              </w:r>
            </w:hyperlink>
          </w:p>
        </w:tc>
        <w:tc>
          <w:tcPr>
            <w:tcW w:w="5360" w:type="dxa"/>
            <w:vAlign w:val="bottom"/>
            <w:tcBorders>
              <w:top w:val="single" w:sz="8" w:color="0000EE"/>
            </w:tcBorders>
            <w:gridSpan w:val="10"/>
          </w:tcPr>
          <w:p>
            <w:pPr>
              <w:spacing w:after="0"/>
              <w:rPr>
                <w:sz w:val="18"/>
                <w:szCs w:val="18"/>
                <w:color w:val="auto"/>
              </w:rPr>
            </w:pPr>
          </w:p>
        </w:tc>
        <w:tc>
          <w:tcPr>
            <w:tcW w:w="17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58</w:t>
            </w:r>
          </w:p>
        </w:tc>
        <w:tc>
          <w:tcPr>
            <w:tcW w:w="0" w:type="dxa"/>
            <w:vAlign w:val="bottom"/>
          </w:tcPr>
          <w:p>
            <w:pPr>
              <w:spacing w:after="0"/>
              <w:rPr>
                <w:sz w:val="1"/>
                <w:szCs w:val="1"/>
                <w:color w:val="auto"/>
              </w:rPr>
            </w:pPr>
          </w:p>
        </w:tc>
      </w:tr>
      <w:tr>
        <w:trPr>
          <w:trHeight w:val="210"/>
        </w:trPr>
        <w:tc>
          <w:tcPr>
            <w:tcW w:w="1160" w:type="dxa"/>
            <w:vAlign w:val="bottom"/>
            <w:gridSpan w:val="5"/>
          </w:tcPr>
          <w:p>
            <w:pPr>
              <w:ind w:left="140"/>
              <w:spacing w:after="0"/>
              <w:rPr>
                <w:sz w:val="20"/>
                <w:szCs w:val="20"/>
                <w:color w:val="auto"/>
              </w:rPr>
            </w:pPr>
            <w:r>
              <w:rPr>
                <w:rFonts w:ascii="Arial" w:cs="Arial" w:eastAsia="Arial" w:hAnsi="Arial"/>
                <w:sz w:val="18"/>
                <w:szCs w:val="18"/>
                <w:color w:val="auto"/>
              </w:rPr>
              <w:t>Item 7.</w:t>
            </w:r>
          </w:p>
        </w:tc>
        <w:tc>
          <w:tcPr>
            <w:tcW w:w="9780" w:type="dxa"/>
            <w:vAlign w:val="bottom"/>
            <w:gridSpan w:val="19"/>
          </w:tcPr>
          <w:p>
            <w:pPr>
              <w:spacing w:after="0"/>
              <w:rPr>
                <w:rFonts w:ascii="Arial" w:cs="Arial" w:eastAsia="Arial" w:hAnsi="Arial"/>
                <w:sz w:val="18"/>
                <w:szCs w:val="18"/>
                <w:color w:val="0000EE"/>
              </w:rPr>
            </w:pPr>
            <w:hyperlink w:anchor="page60">
              <w:r>
                <w:rPr>
                  <w:rFonts w:ascii="Arial" w:cs="Arial" w:eastAsia="Arial" w:hAnsi="Arial"/>
                  <w:sz w:val="18"/>
                  <w:szCs w:val="18"/>
                  <w:color w:val="0000EE"/>
                </w:rPr>
                <w:t>Management’s Discussion and Analysis of Financial Condition and Results of Operations</w:t>
              </w:r>
            </w:hyperlink>
          </w:p>
        </w:tc>
        <w:tc>
          <w:tcPr>
            <w:tcW w:w="480" w:type="dxa"/>
            <w:vAlign w:val="bottom"/>
          </w:tcPr>
          <w:p>
            <w:pPr>
              <w:jc w:val="right"/>
              <w:spacing w:after="0"/>
              <w:rPr>
                <w:sz w:val="20"/>
                <w:szCs w:val="20"/>
                <w:color w:val="auto"/>
              </w:rPr>
            </w:pPr>
            <w:r>
              <w:rPr>
                <w:rFonts w:ascii="Arial" w:cs="Arial" w:eastAsia="Arial" w:hAnsi="Arial"/>
                <w:sz w:val="18"/>
                <w:szCs w:val="18"/>
                <w:color w:val="auto"/>
              </w:rPr>
              <w:t>59</w:t>
            </w:r>
          </w:p>
        </w:tc>
        <w:tc>
          <w:tcPr>
            <w:tcW w:w="0" w:type="dxa"/>
            <w:vAlign w:val="bottom"/>
          </w:tcPr>
          <w:p>
            <w:pPr>
              <w:spacing w:after="0"/>
              <w:rPr>
                <w:sz w:val="1"/>
                <w:szCs w:val="1"/>
                <w:color w:val="auto"/>
              </w:rPr>
            </w:pPr>
          </w:p>
        </w:tc>
      </w:tr>
      <w:tr>
        <w:trPr>
          <w:trHeight w:val="210"/>
        </w:trPr>
        <w:tc>
          <w:tcPr>
            <w:tcW w:w="1160" w:type="dxa"/>
            <w:vAlign w:val="bottom"/>
            <w:gridSpan w:val="5"/>
          </w:tcPr>
          <w:p>
            <w:pPr>
              <w:ind w:left="140"/>
              <w:spacing w:after="0"/>
              <w:rPr>
                <w:sz w:val="20"/>
                <w:szCs w:val="20"/>
                <w:color w:val="auto"/>
              </w:rPr>
            </w:pPr>
            <w:r>
              <w:rPr>
                <w:rFonts w:ascii="Arial" w:cs="Arial" w:eastAsia="Arial" w:hAnsi="Arial"/>
                <w:sz w:val="18"/>
                <w:szCs w:val="18"/>
                <w:color w:val="auto"/>
              </w:rPr>
              <w:t>Item 7A.</w:t>
            </w:r>
          </w:p>
        </w:tc>
        <w:tc>
          <w:tcPr>
            <w:tcW w:w="6460" w:type="dxa"/>
            <w:vAlign w:val="bottom"/>
            <w:tcBorders>
              <w:top w:val="single" w:sz="8" w:color="0000EE"/>
            </w:tcBorders>
            <w:gridSpan w:val="15"/>
          </w:tcPr>
          <w:p>
            <w:pPr>
              <w:spacing w:after="0"/>
              <w:rPr>
                <w:rFonts w:ascii="Arial" w:cs="Arial" w:eastAsia="Arial" w:hAnsi="Arial"/>
                <w:sz w:val="18"/>
                <w:szCs w:val="18"/>
                <w:color w:val="0000EE"/>
              </w:rPr>
            </w:pPr>
            <w:hyperlink w:anchor="page71">
              <w:r>
                <w:rPr>
                  <w:rFonts w:ascii="Arial" w:cs="Arial" w:eastAsia="Arial" w:hAnsi="Arial"/>
                  <w:sz w:val="18"/>
                  <w:szCs w:val="18"/>
                  <w:color w:val="0000EE"/>
                </w:rPr>
                <w:t>Quantitative and Qualitative Disclosures About Market Risk</w:t>
              </w:r>
            </w:hyperlink>
          </w:p>
        </w:tc>
        <w:tc>
          <w:tcPr>
            <w:tcW w:w="3320" w:type="dxa"/>
            <w:vAlign w:val="bottom"/>
            <w:gridSpan w:val="4"/>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70</w:t>
            </w:r>
          </w:p>
        </w:tc>
        <w:tc>
          <w:tcPr>
            <w:tcW w:w="0" w:type="dxa"/>
            <w:vAlign w:val="bottom"/>
          </w:tcPr>
          <w:p>
            <w:pPr>
              <w:spacing w:after="0"/>
              <w:rPr>
                <w:sz w:val="1"/>
                <w:szCs w:val="1"/>
                <w:color w:val="auto"/>
              </w:rPr>
            </w:pPr>
          </w:p>
        </w:tc>
      </w:tr>
      <w:tr>
        <w:trPr>
          <w:trHeight w:val="210"/>
        </w:trPr>
        <w:tc>
          <w:tcPr>
            <w:tcW w:w="1160" w:type="dxa"/>
            <w:vAlign w:val="bottom"/>
            <w:gridSpan w:val="5"/>
          </w:tcPr>
          <w:p>
            <w:pPr>
              <w:ind w:left="140"/>
              <w:spacing w:after="0"/>
              <w:rPr>
                <w:sz w:val="20"/>
                <w:szCs w:val="20"/>
                <w:color w:val="auto"/>
              </w:rPr>
            </w:pPr>
            <w:r>
              <w:rPr>
                <w:rFonts w:ascii="Arial" w:cs="Arial" w:eastAsia="Arial" w:hAnsi="Arial"/>
                <w:sz w:val="18"/>
                <w:szCs w:val="18"/>
                <w:color w:val="auto"/>
              </w:rPr>
              <w:t>Item 8.</w:t>
            </w:r>
          </w:p>
        </w:tc>
        <w:tc>
          <w:tcPr>
            <w:tcW w:w="4340" w:type="dxa"/>
            <w:vAlign w:val="bottom"/>
            <w:tcBorders>
              <w:top w:val="single" w:sz="8" w:color="0000EE"/>
              <w:bottom w:val="single" w:sz="8" w:color="0000EE"/>
            </w:tcBorders>
            <w:gridSpan w:val="12"/>
          </w:tcPr>
          <w:p>
            <w:pPr>
              <w:spacing w:after="0"/>
              <w:rPr>
                <w:rFonts w:ascii="Arial" w:cs="Arial" w:eastAsia="Arial" w:hAnsi="Arial"/>
                <w:sz w:val="18"/>
                <w:szCs w:val="18"/>
                <w:color w:val="0000EE"/>
                <w:w w:val="89"/>
              </w:rPr>
            </w:pPr>
            <w:hyperlink w:anchor="page72">
              <w:r>
                <w:rPr>
                  <w:rFonts w:ascii="Arial" w:cs="Arial" w:eastAsia="Arial" w:hAnsi="Arial"/>
                  <w:sz w:val="18"/>
                  <w:szCs w:val="18"/>
                  <w:color w:val="0000EE"/>
                  <w:w w:val="89"/>
                </w:rPr>
                <w:t>Consolidated Financial Statements and Supplementary Data</w:t>
              </w:r>
            </w:hyperlink>
          </w:p>
        </w:tc>
        <w:tc>
          <w:tcPr>
            <w:tcW w:w="20" w:type="dxa"/>
            <w:vAlign w:val="bottom"/>
            <w:tcBorders>
              <w:top w:val="single" w:sz="8" w:color="0000EE"/>
            </w:tcBorders>
          </w:tcPr>
          <w:p>
            <w:pPr>
              <w:spacing w:after="0"/>
              <w:rPr>
                <w:sz w:val="18"/>
                <w:szCs w:val="18"/>
                <w:color w:val="auto"/>
              </w:rPr>
            </w:pPr>
          </w:p>
        </w:tc>
        <w:tc>
          <w:tcPr>
            <w:tcW w:w="5420" w:type="dxa"/>
            <w:vAlign w:val="bottom"/>
            <w:gridSpan w:val="6"/>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71</w:t>
            </w:r>
          </w:p>
        </w:tc>
        <w:tc>
          <w:tcPr>
            <w:tcW w:w="0" w:type="dxa"/>
            <w:vAlign w:val="bottom"/>
          </w:tcPr>
          <w:p>
            <w:pPr>
              <w:spacing w:after="0"/>
              <w:rPr>
                <w:sz w:val="1"/>
                <w:szCs w:val="1"/>
                <w:color w:val="auto"/>
              </w:rPr>
            </w:pPr>
          </w:p>
        </w:tc>
      </w:tr>
      <w:tr>
        <w:trPr>
          <w:trHeight w:val="210"/>
        </w:trPr>
        <w:tc>
          <w:tcPr>
            <w:tcW w:w="1160" w:type="dxa"/>
            <w:vAlign w:val="bottom"/>
            <w:gridSpan w:val="5"/>
          </w:tcPr>
          <w:p>
            <w:pPr>
              <w:ind w:left="140"/>
              <w:spacing w:after="0"/>
              <w:rPr>
                <w:sz w:val="20"/>
                <w:szCs w:val="20"/>
                <w:color w:val="auto"/>
              </w:rPr>
            </w:pPr>
            <w:r>
              <w:rPr>
                <w:rFonts w:ascii="Arial" w:cs="Arial" w:eastAsia="Arial" w:hAnsi="Arial"/>
                <w:sz w:val="18"/>
                <w:szCs w:val="18"/>
                <w:color w:val="auto"/>
              </w:rPr>
              <w:t>Item 9.</w:t>
            </w:r>
          </w:p>
        </w:tc>
        <w:tc>
          <w:tcPr>
            <w:tcW w:w="9780" w:type="dxa"/>
            <w:vAlign w:val="bottom"/>
            <w:gridSpan w:val="19"/>
          </w:tcPr>
          <w:p>
            <w:pPr>
              <w:spacing w:after="0"/>
              <w:rPr>
                <w:rFonts w:ascii="Arial" w:cs="Arial" w:eastAsia="Arial" w:hAnsi="Arial"/>
                <w:sz w:val="18"/>
                <w:szCs w:val="18"/>
                <w:color w:val="0000EE"/>
              </w:rPr>
            </w:pPr>
            <w:hyperlink w:anchor="page101">
              <w:r>
                <w:rPr>
                  <w:rFonts w:ascii="Arial" w:cs="Arial" w:eastAsia="Arial" w:hAnsi="Arial"/>
                  <w:sz w:val="18"/>
                  <w:szCs w:val="18"/>
                  <w:color w:val="0000EE"/>
                </w:rPr>
                <w:t>Changes in and Disagreements With Accountants on Accounting and Financial Disclosure</w:t>
              </w:r>
            </w:hyperlink>
          </w:p>
        </w:tc>
        <w:tc>
          <w:tcPr>
            <w:tcW w:w="480" w:type="dxa"/>
            <w:vAlign w:val="bottom"/>
          </w:tcPr>
          <w:p>
            <w:pPr>
              <w:jc w:val="right"/>
              <w:spacing w:after="0"/>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r>
        <w:trPr>
          <w:trHeight w:val="210"/>
        </w:trPr>
        <w:tc>
          <w:tcPr>
            <w:tcW w:w="1160" w:type="dxa"/>
            <w:vAlign w:val="bottom"/>
            <w:gridSpan w:val="5"/>
          </w:tcPr>
          <w:p>
            <w:pPr>
              <w:ind w:left="140"/>
              <w:spacing w:after="0"/>
              <w:rPr>
                <w:sz w:val="20"/>
                <w:szCs w:val="20"/>
                <w:color w:val="auto"/>
              </w:rPr>
            </w:pPr>
            <w:r>
              <w:rPr>
                <w:rFonts w:ascii="Arial" w:cs="Arial" w:eastAsia="Arial" w:hAnsi="Arial"/>
                <w:sz w:val="18"/>
                <w:szCs w:val="18"/>
                <w:color w:val="auto"/>
              </w:rPr>
              <w:t>Item 9A.</w:t>
            </w:r>
          </w:p>
        </w:tc>
        <w:tc>
          <w:tcPr>
            <w:tcW w:w="1780" w:type="dxa"/>
            <w:vAlign w:val="bottom"/>
            <w:tcBorders>
              <w:top w:val="single" w:sz="8" w:color="0000EE"/>
              <w:bottom w:val="single" w:sz="8" w:color="0000EE"/>
            </w:tcBorders>
            <w:gridSpan w:val="5"/>
          </w:tcPr>
          <w:p>
            <w:pPr>
              <w:spacing w:after="0"/>
              <w:rPr>
                <w:rFonts w:ascii="Arial" w:cs="Arial" w:eastAsia="Arial" w:hAnsi="Arial"/>
                <w:sz w:val="18"/>
                <w:szCs w:val="18"/>
                <w:color w:val="0000EE"/>
                <w:w w:val="88"/>
              </w:rPr>
            </w:pPr>
            <w:hyperlink w:anchor="page101">
              <w:r>
                <w:rPr>
                  <w:rFonts w:ascii="Arial" w:cs="Arial" w:eastAsia="Arial" w:hAnsi="Arial"/>
                  <w:sz w:val="18"/>
                  <w:szCs w:val="18"/>
                  <w:color w:val="0000EE"/>
                  <w:w w:val="88"/>
                </w:rPr>
                <w:t>Controls and Procedures</w:t>
              </w:r>
            </w:hyperlink>
          </w:p>
        </w:tc>
        <w:tc>
          <w:tcPr>
            <w:tcW w:w="4740" w:type="dxa"/>
            <w:vAlign w:val="bottom"/>
            <w:tcBorders>
              <w:top w:val="single" w:sz="8" w:color="0000EE"/>
            </w:tcBorders>
            <w:gridSpan w:val="11"/>
          </w:tcPr>
          <w:p>
            <w:pPr>
              <w:spacing w:after="0"/>
              <w:rPr>
                <w:sz w:val="18"/>
                <w:szCs w:val="18"/>
                <w:color w:val="auto"/>
              </w:rPr>
            </w:pPr>
          </w:p>
        </w:tc>
        <w:tc>
          <w:tcPr>
            <w:tcW w:w="3260" w:type="dxa"/>
            <w:vAlign w:val="bottom"/>
            <w:gridSpan w:val="3"/>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r>
        <w:trPr>
          <w:trHeight w:val="210"/>
        </w:trPr>
        <w:tc>
          <w:tcPr>
            <w:tcW w:w="1160" w:type="dxa"/>
            <w:vAlign w:val="bottom"/>
            <w:gridSpan w:val="5"/>
          </w:tcPr>
          <w:p>
            <w:pPr>
              <w:ind w:left="140"/>
              <w:spacing w:after="0"/>
              <w:rPr>
                <w:sz w:val="20"/>
                <w:szCs w:val="20"/>
                <w:color w:val="auto"/>
              </w:rPr>
            </w:pPr>
            <w:r>
              <w:rPr>
                <w:rFonts w:ascii="Arial" w:cs="Arial" w:eastAsia="Arial" w:hAnsi="Arial"/>
                <w:sz w:val="18"/>
                <w:szCs w:val="18"/>
                <w:color w:val="auto"/>
              </w:rPr>
              <w:t>Item 9B.</w:t>
            </w:r>
          </w:p>
        </w:tc>
        <w:tc>
          <w:tcPr>
            <w:tcW w:w="9780" w:type="dxa"/>
            <w:vAlign w:val="bottom"/>
            <w:gridSpan w:val="19"/>
          </w:tcPr>
          <w:p>
            <w:pPr>
              <w:spacing w:after="0"/>
              <w:rPr>
                <w:rFonts w:ascii="Arial" w:cs="Arial" w:eastAsia="Arial" w:hAnsi="Arial"/>
                <w:sz w:val="18"/>
                <w:szCs w:val="18"/>
                <w:color w:val="0000EE"/>
              </w:rPr>
            </w:pPr>
            <w:hyperlink w:anchor="page101">
              <w:r>
                <w:rPr>
                  <w:rFonts w:ascii="Arial" w:cs="Arial" w:eastAsia="Arial" w:hAnsi="Arial"/>
                  <w:sz w:val="18"/>
                  <w:szCs w:val="18"/>
                  <w:color w:val="0000EE"/>
                </w:rPr>
                <w:t>Other Information</w:t>
              </w:r>
            </w:hyperlink>
          </w:p>
        </w:tc>
        <w:tc>
          <w:tcPr>
            <w:tcW w:w="480" w:type="dxa"/>
            <w:vAlign w:val="bottom"/>
          </w:tcPr>
          <w:p>
            <w:pPr>
              <w:jc w:val="right"/>
              <w:spacing w:after="0"/>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r>
        <w:trPr>
          <w:trHeight w:val="439"/>
        </w:trPr>
        <w:tc>
          <w:tcPr>
            <w:tcW w:w="740" w:type="dxa"/>
            <w:vAlign w:val="bottom"/>
            <w:tcBorders>
              <w:bottom w:val="single" w:sz="8" w:color="0000EE"/>
            </w:tcBorders>
            <w:gridSpan w:val="4"/>
          </w:tcPr>
          <w:p>
            <w:pPr>
              <w:spacing w:after="0"/>
              <w:rPr>
                <w:rFonts w:ascii="Arial" w:cs="Arial" w:eastAsia="Arial" w:hAnsi="Arial"/>
                <w:sz w:val="18"/>
                <w:szCs w:val="18"/>
                <w:b w:val="1"/>
                <w:bCs w:val="1"/>
                <w:color w:val="0000EE"/>
              </w:rPr>
            </w:pPr>
            <w:hyperlink w:anchor="page102">
              <w:r>
                <w:rPr>
                  <w:rFonts w:ascii="Arial" w:cs="Arial" w:eastAsia="Arial" w:hAnsi="Arial"/>
                  <w:sz w:val="18"/>
                  <w:szCs w:val="18"/>
                  <w:b w:val="1"/>
                  <w:bCs w:val="1"/>
                  <w:color w:val="0000EE"/>
                </w:rPr>
                <w:t>PART III</w:t>
              </w:r>
            </w:hyperlink>
          </w:p>
        </w:tc>
        <w:tc>
          <w:tcPr>
            <w:tcW w:w="420" w:type="dxa"/>
            <w:vAlign w:val="bottom"/>
          </w:tcPr>
          <w:p>
            <w:pPr>
              <w:spacing w:after="0"/>
              <w:rPr>
                <w:sz w:val="24"/>
                <w:szCs w:val="24"/>
                <w:color w:val="auto"/>
              </w:rPr>
            </w:pPr>
          </w:p>
        </w:tc>
        <w:tc>
          <w:tcPr>
            <w:tcW w:w="640" w:type="dxa"/>
            <w:vAlign w:val="bottom"/>
            <w:tcBorders>
              <w:top w:val="single" w:sz="8" w:color="0000EE"/>
            </w:tcBorders>
          </w:tcPr>
          <w:p>
            <w:pPr>
              <w:spacing w:after="0"/>
              <w:rPr>
                <w:sz w:val="24"/>
                <w:szCs w:val="24"/>
                <w:color w:val="auto"/>
              </w:rPr>
            </w:pPr>
          </w:p>
        </w:tc>
        <w:tc>
          <w:tcPr>
            <w:tcW w:w="120" w:type="dxa"/>
            <w:vAlign w:val="bottom"/>
            <w:tcBorders>
              <w:top w:val="single" w:sz="8" w:color="0000EE"/>
            </w:tcBorders>
          </w:tcPr>
          <w:p>
            <w:pPr>
              <w:spacing w:after="0"/>
              <w:rPr>
                <w:sz w:val="24"/>
                <w:szCs w:val="24"/>
                <w:color w:val="auto"/>
              </w:rPr>
            </w:pPr>
          </w:p>
        </w:tc>
        <w:tc>
          <w:tcPr>
            <w:tcW w:w="160" w:type="dxa"/>
            <w:vAlign w:val="bottom"/>
            <w:tcBorders>
              <w:top w:val="single" w:sz="8" w:color="0000EE"/>
            </w:tcBorders>
          </w:tcPr>
          <w:p>
            <w:pPr>
              <w:spacing w:after="0"/>
              <w:rPr>
                <w:sz w:val="24"/>
                <w:szCs w:val="24"/>
                <w:color w:val="auto"/>
              </w:rPr>
            </w:pPr>
          </w:p>
        </w:tc>
        <w:tc>
          <w:tcPr>
            <w:tcW w:w="420" w:type="dxa"/>
            <w:vAlign w:val="bottom"/>
            <w:tcBorders>
              <w:top w:val="single" w:sz="8" w:color="0000EE"/>
            </w:tcBorders>
          </w:tcPr>
          <w:p>
            <w:pPr>
              <w:spacing w:after="0"/>
              <w:rPr>
                <w:sz w:val="24"/>
                <w:szCs w:val="24"/>
                <w:color w:val="auto"/>
              </w:rPr>
            </w:pPr>
          </w:p>
        </w:tc>
        <w:tc>
          <w:tcPr>
            <w:tcW w:w="4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7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0"/>
        </w:trPr>
        <w:tc>
          <w:tcPr>
            <w:tcW w:w="1160" w:type="dxa"/>
            <w:vAlign w:val="bottom"/>
            <w:gridSpan w:val="5"/>
          </w:tcPr>
          <w:p>
            <w:pPr>
              <w:ind w:left="140"/>
              <w:spacing w:after="0"/>
              <w:rPr>
                <w:sz w:val="20"/>
                <w:szCs w:val="20"/>
                <w:color w:val="auto"/>
              </w:rPr>
            </w:pPr>
            <w:r>
              <w:rPr>
                <w:rFonts w:ascii="Arial" w:cs="Arial" w:eastAsia="Arial" w:hAnsi="Arial"/>
                <w:sz w:val="18"/>
                <w:szCs w:val="18"/>
                <w:color w:val="auto"/>
              </w:rPr>
              <w:t>Item 10.</w:t>
            </w:r>
          </w:p>
        </w:tc>
        <w:tc>
          <w:tcPr>
            <w:tcW w:w="9780" w:type="dxa"/>
            <w:vAlign w:val="bottom"/>
            <w:gridSpan w:val="19"/>
          </w:tcPr>
          <w:p>
            <w:pPr>
              <w:spacing w:after="0"/>
              <w:rPr>
                <w:rFonts w:ascii="Arial" w:cs="Arial" w:eastAsia="Arial" w:hAnsi="Arial"/>
                <w:sz w:val="18"/>
                <w:szCs w:val="18"/>
                <w:color w:val="0000EE"/>
              </w:rPr>
            </w:pPr>
            <w:hyperlink w:anchor="page102">
              <w:r>
                <w:rPr>
                  <w:rFonts w:ascii="Arial" w:cs="Arial" w:eastAsia="Arial" w:hAnsi="Arial"/>
                  <w:sz w:val="18"/>
                  <w:szCs w:val="18"/>
                  <w:color w:val="0000EE"/>
                </w:rPr>
                <w:t>Directors, Executive Officers and Corporate Governance</w:t>
              </w:r>
            </w:hyperlink>
          </w:p>
        </w:tc>
        <w:tc>
          <w:tcPr>
            <w:tcW w:w="480" w:type="dxa"/>
            <w:vAlign w:val="bottom"/>
          </w:tcPr>
          <w:p>
            <w:pPr>
              <w:jc w:val="right"/>
              <w:spacing w:after="0"/>
              <w:rPr>
                <w:sz w:val="20"/>
                <w:szCs w:val="20"/>
                <w:color w:val="auto"/>
              </w:rPr>
            </w:pPr>
            <w:r>
              <w:rPr>
                <w:rFonts w:ascii="Arial" w:cs="Arial" w:eastAsia="Arial" w:hAnsi="Arial"/>
                <w:sz w:val="18"/>
                <w:szCs w:val="18"/>
                <w:color w:val="auto"/>
              </w:rPr>
              <w:t>101</w:t>
            </w:r>
          </w:p>
        </w:tc>
        <w:tc>
          <w:tcPr>
            <w:tcW w:w="0" w:type="dxa"/>
            <w:vAlign w:val="bottom"/>
          </w:tcPr>
          <w:p>
            <w:pPr>
              <w:spacing w:after="0"/>
              <w:rPr>
                <w:sz w:val="1"/>
                <w:szCs w:val="1"/>
                <w:color w:val="auto"/>
              </w:rPr>
            </w:pPr>
          </w:p>
        </w:tc>
      </w:tr>
      <w:tr>
        <w:trPr>
          <w:trHeight w:val="210"/>
        </w:trPr>
        <w:tc>
          <w:tcPr>
            <w:tcW w:w="1160" w:type="dxa"/>
            <w:vAlign w:val="bottom"/>
            <w:gridSpan w:val="5"/>
          </w:tcPr>
          <w:p>
            <w:pPr>
              <w:ind w:left="140"/>
              <w:spacing w:after="0"/>
              <w:rPr>
                <w:sz w:val="20"/>
                <w:szCs w:val="20"/>
                <w:color w:val="auto"/>
              </w:rPr>
            </w:pPr>
            <w:r>
              <w:rPr>
                <w:rFonts w:ascii="Arial" w:cs="Arial" w:eastAsia="Arial" w:hAnsi="Arial"/>
                <w:sz w:val="18"/>
                <w:szCs w:val="18"/>
                <w:color w:val="auto"/>
              </w:rPr>
              <w:t>Item 11.</w:t>
            </w:r>
          </w:p>
        </w:tc>
        <w:tc>
          <w:tcPr>
            <w:tcW w:w="1820" w:type="dxa"/>
            <w:vAlign w:val="bottom"/>
            <w:tcBorders>
              <w:top w:val="single" w:sz="8" w:color="0000EE"/>
              <w:bottom w:val="single" w:sz="8" w:color="0000EE"/>
            </w:tcBorders>
            <w:gridSpan w:val="6"/>
          </w:tcPr>
          <w:p>
            <w:pPr>
              <w:spacing w:after="0"/>
              <w:rPr>
                <w:rFonts w:ascii="Arial" w:cs="Arial" w:eastAsia="Arial" w:hAnsi="Arial"/>
                <w:sz w:val="18"/>
                <w:szCs w:val="18"/>
                <w:color w:val="0000EE"/>
                <w:w w:val="90"/>
              </w:rPr>
            </w:pPr>
            <w:hyperlink w:anchor="page102">
              <w:r>
                <w:rPr>
                  <w:rFonts w:ascii="Arial" w:cs="Arial" w:eastAsia="Arial" w:hAnsi="Arial"/>
                  <w:sz w:val="18"/>
                  <w:szCs w:val="18"/>
                  <w:color w:val="0000EE"/>
                  <w:w w:val="90"/>
                </w:rPr>
                <w:t>Executive Compensation</w:t>
              </w:r>
            </w:hyperlink>
          </w:p>
        </w:tc>
        <w:tc>
          <w:tcPr>
            <w:tcW w:w="2280" w:type="dxa"/>
            <w:vAlign w:val="bottom"/>
            <w:tcBorders>
              <w:top w:val="single" w:sz="8" w:color="0000EE"/>
            </w:tcBorders>
            <w:gridSpan w:val="5"/>
          </w:tcPr>
          <w:p>
            <w:pPr>
              <w:spacing w:after="0"/>
              <w:rPr>
                <w:sz w:val="18"/>
                <w:szCs w:val="18"/>
                <w:color w:val="auto"/>
              </w:rPr>
            </w:pPr>
          </w:p>
        </w:tc>
        <w:tc>
          <w:tcPr>
            <w:tcW w:w="5680" w:type="dxa"/>
            <w:vAlign w:val="bottom"/>
            <w:gridSpan w:val="8"/>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101</w:t>
            </w:r>
          </w:p>
        </w:tc>
        <w:tc>
          <w:tcPr>
            <w:tcW w:w="0" w:type="dxa"/>
            <w:vAlign w:val="bottom"/>
          </w:tcPr>
          <w:p>
            <w:pPr>
              <w:spacing w:after="0"/>
              <w:rPr>
                <w:sz w:val="1"/>
                <w:szCs w:val="1"/>
                <w:color w:val="auto"/>
              </w:rPr>
            </w:pPr>
          </w:p>
        </w:tc>
      </w:tr>
      <w:tr>
        <w:trPr>
          <w:trHeight w:val="210"/>
        </w:trPr>
        <w:tc>
          <w:tcPr>
            <w:tcW w:w="1160" w:type="dxa"/>
            <w:vAlign w:val="bottom"/>
            <w:gridSpan w:val="5"/>
          </w:tcPr>
          <w:p>
            <w:pPr>
              <w:ind w:left="140"/>
              <w:spacing w:after="0"/>
              <w:rPr>
                <w:sz w:val="20"/>
                <w:szCs w:val="20"/>
                <w:color w:val="auto"/>
              </w:rPr>
            </w:pPr>
            <w:r>
              <w:rPr>
                <w:rFonts w:ascii="Arial" w:cs="Arial" w:eastAsia="Arial" w:hAnsi="Arial"/>
                <w:sz w:val="18"/>
                <w:szCs w:val="18"/>
                <w:color w:val="auto"/>
              </w:rPr>
              <w:t>Item 12.</w:t>
            </w:r>
          </w:p>
        </w:tc>
        <w:tc>
          <w:tcPr>
            <w:tcW w:w="9780" w:type="dxa"/>
            <w:vAlign w:val="bottom"/>
            <w:gridSpan w:val="19"/>
          </w:tcPr>
          <w:p>
            <w:pPr>
              <w:spacing w:after="0"/>
              <w:rPr>
                <w:rFonts w:ascii="Arial" w:cs="Arial" w:eastAsia="Arial" w:hAnsi="Arial"/>
                <w:sz w:val="18"/>
                <w:szCs w:val="18"/>
                <w:color w:val="0000EE"/>
              </w:rPr>
            </w:pPr>
            <w:hyperlink w:anchor="page102">
              <w:r>
                <w:rPr>
                  <w:rFonts w:ascii="Arial" w:cs="Arial" w:eastAsia="Arial" w:hAnsi="Arial"/>
                  <w:sz w:val="18"/>
                  <w:szCs w:val="18"/>
                  <w:color w:val="0000EE"/>
                </w:rPr>
                <w:t>Security Ownership of Certain Beneficial Owners and Management and Related Stockholder Matters</w:t>
              </w:r>
            </w:hyperlink>
          </w:p>
        </w:tc>
        <w:tc>
          <w:tcPr>
            <w:tcW w:w="480" w:type="dxa"/>
            <w:vAlign w:val="bottom"/>
          </w:tcPr>
          <w:p>
            <w:pPr>
              <w:jc w:val="right"/>
              <w:spacing w:after="0"/>
              <w:rPr>
                <w:sz w:val="20"/>
                <w:szCs w:val="20"/>
                <w:color w:val="auto"/>
              </w:rPr>
            </w:pPr>
            <w:r>
              <w:rPr>
                <w:rFonts w:ascii="Arial" w:cs="Arial" w:eastAsia="Arial" w:hAnsi="Arial"/>
                <w:sz w:val="18"/>
                <w:szCs w:val="18"/>
                <w:color w:val="auto"/>
              </w:rPr>
              <w:t>101</w:t>
            </w:r>
          </w:p>
        </w:tc>
        <w:tc>
          <w:tcPr>
            <w:tcW w:w="0" w:type="dxa"/>
            <w:vAlign w:val="bottom"/>
          </w:tcPr>
          <w:p>
            <w:pPr>
              <w:spacing w:after="0"/>
              <w:rPr>
                <w:sz w:val="1"/>
                <w:szCs w:val="1"/>
                <w:color w:val="auto"/>
              </w:rPr>
            </w:pPr>
          </w:p>
        </w:tc>
      </w:tr>
      <w:tr>
        <w:trPr>
          <w:trHeight w:val="210"/>
        </w:trPr>
        <w:tc>
          <w:tcPr>
            <w:tcW w:w="1160" w:type="dxa"/>
            <w:vAlign w:val="bottom"/>
            <w:gridSpan w:val="5"/>
          </w:tcPr>
          <w:p>
            <w:pPr>
              <w:ind w:left="140"/>
              <w:spacing w:after="0"/>
              <w:rPr>
                <w:sz w:val="20"/>
                <w:szCs w:val="20"/>
                <w:color w:val="auto"/>
              </w:rPr>
            </w:pPr>
            <w:r>
              <w:rPr>
                <w:rFonts w:ascii="Arial" w:cs="Arial" w:eastAsia="Arial" w:hAnsi="Arial"/>
                <w:sz w:val="18"/>
                <w:szCs w:val="18"/>
                <w:color w:val="auto"/>
              </w:rPr>
              <w:t>Item 13.</w:t>
            </w:r>
          </w:p>
        </w:tc>
        <w:tc>
          <w:tcPr>
            <w:tcW w:w="7300" w:type="dxa"/>
            <w:vAlign w:val="bottom"/>
            <w:tcBorders>
              <w:top w:val="single" w:sz="8" w:color="0000EE"/>
            </w:tcBorders>
            <w:gridSpan w:val="17"/>
          </w:tcPr>
          <w:p>
            <w:pPr>
              <w:spacing w:after="0"/>
              <w:rPr>
                <w:rFonts w:ascii="Arial" w:cs="Arial" w:eastAsia="Arial" w:hAnsi="Arial"/>
                <w:sz w:val="18"/>
                <w:szCs w:val="18"/>
                <w:color w:val="0000EE"/>
              </w:rPr>
            </w:pPr>
            <w:hyperlink w:anchor="page102">
              <w:r>
                <w:rPr>
                  <w:rFonts w:ascii="Arial" w:cs="Arial" w:eastAsia="Arial" w:hAnsi="Arial"/>
                  <w:sz w:val="18"/>
                  <w:szCs w:val="18"/>
                  <w:color w:val="0000EE"/>
                </w:rPr>
                <w:t>Certain Relationships and Related Transactions, and Director Independence</w:t>
              </w:r>
            </w:hyperlink>
          </w:p>
        </w:tc>
        <w:tc>
          <w:tcPr>
            <w:tcW w:w="2480" w:type="dxa"/>
            <w:vAlign w:val="bottom"/>
            <w:gridSpan w:val="2"/>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101</w:t>
            </w:r>
          </w:p>
        </w:tc>
        <w:tc>
          <w:tcPr>
            <w:tcW w:w="0" w:type="dxa"/>
            <w:vAlign w:val="bottom"/>
          </w:tcPr>
          <w:p>
            <w:pPr>
              <w:spacing w:after="0"/>
              <w:rPr>
                <w:sz w:val="1"/>
                <w:szCs w:val="1"/>
                <w:color w:val="auto"/>
              </w:rPr>
            </w:pPr>
          </w:p>
        </w:tc>
      </w:tr>
      <w:tr>
        <w:trPr>
          <w:trHeight w:val="210"/>
        </w:trPr>
        <w:tc>
          <w:tcPr>
            <w:tcW w:w="1160" w:type="dxa"/>
            <w:vAlign w:val="bottom"/>
            <w:gridSpan w:val="5"/>
          </w:tcPr>
          <w:p>
            <w:pPr>
              <w:ind w:left="140"/>
              <w:spacing w:after="0"/>
              <w:rPr>
                <w:sz w:val="20"/>
                <w:szCs w:val="20"/>
                <w:color w:val="auto"/>
              </w:rPr>
            </w:pPr>
            <w:r>
              <w:rPr>
                <w:rFonts w:ascii="Arial" w:cs="Arial" w:eastAsia="Arial" w:hAnsi="Arial"/>
                <w:sz w:val="18"/>
                <w:szCs w:val="18"/>
                <w:color w:val="auto"/>
              </w:rPr>
              <w:t>Item 14.</w:t>
            </w:r>
          </w:p>
        </w:tc>
        <w:tc>
          <w:tcPr>
            <w:tcW w:w="5460" w:type="dxa"/>
            <w:vAlign w:val="bottom"/>
            <w:tcBorders>
              <w:top w:val="single" w:sz="8" w:color="0000EE"/>
            </w:tcBorders>
            <w:gridSpan w:val="14"/>
          </w:tcPr>
          <w:p>
            <w:pPr>
              <w:spacing w:after="0"/>
              <w:rPr>
                <w:rFonts w:ascii="Arial" w:cs="Arial" w:eastAsia="Arial" w:hAnsi="Arial"/>
                <w:sz w:val="18"/>
                <w:szCs w:val="18"/>
                <w:color w:val="0000EE"/>
              </w:rPr>
            </w:pPr>
            <w:hyperlink w:anchor="page102">
              <w:r>
                <w:rPr>
                  <w:rFonts w:ascii="Arial" w:cs="Arial" w:eastAsia="Arial" w:hAnsi="Arial"/>
                  <w:sz w:val="18"/>
                  <w:szCs w:val="18"/>
                  <w:color w:val="0000EE"/>
                </w:rPr>
                <w:t>Principal Accounting Fees and Services</w:t>
              </w:r>
            </w:hyperlink>
          </w:p>
        </w:tc>
        <w:tc>
          <w:tcPr>
            <w:tcW w:w="4320" w:type="dxa"/>
            <w:vAlign w:val="bottom"/>
            <w:gridSpan w:val="5"/>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101</w:t>
            </w:r>
          </w:p>
        </w:tc>
        <w:tc>
          <w:tcPr>
            <w:tcW w:w="0" w:type="dxa"/>
            <w:vAlign w:val="bottom"/>
          </w:tcPr>
          <w:p>
            <w:pPr>
              <w:spacing w:after="0"/>
              <w:rPr>
                <w:sz w:val="1"/>
                <w:szCs w:val="1"/>
                <w:color w:val="auto"/>
              </w:rPr>
            </w:pPr>
          </w:p>
        </w:tc>
      </w:tr>
      <w:tr>
        <w:trPr>
          <w:trHeight w:val="439"/>
        </w:trPr>
        <w:tc>
          <w:tcPr>
            <w:tcW w:w="1160" w:type="dxa"/>
            <w:vAlign w:val="bottom"/>
            <w:gridSpan w:val="5"/>
          </w:tcPr>
          <w:p>
            <w:pPr>
              <w:spacing w:after="0"/>
              <w:rPr>
                <w:rFonts w:ascii="Arial" w:cs="Arial" w:eastAsia="Arial" w:hAnsi="Arial"/>
                <w:sz w:val="18"/>
                <w:szCs w:val="18"/>
                <w:b w:val="1"/>
                <w:bCs w:val="1"/>
                <w:color w:val="0000EE"/>
              </w:rPr>
            </w:pPr>
            <w:hyperlink w:anchor="page103">
              <w:r>
                <w:rPr>
                  <w:rFonts w:ascii="Arial" w:cs="Arial" w:eastAsia="Arial" w:hAnsi="Arial"/>
                  <w:sz w:val="18"/>
                  <w:szCs w:val="18"/>
                  <w:b w:val="1"/>
                  <w:bCs w:val="1"/>
                  <w:color w:val="0000EE"/>
                </w:rPr>
                <w:t>PART IV</w:t>
              </w:r>
            </w:hyperlink>
          </w:p>
        </w:tc>
        <w:tc>
          <w:tcPr>
            <w:tcW w:w="640" w:type="dxa"/>
            <w:vAlign w:val="bottom"/>
            <w:tcBorders>
              <w:top w:val="single" w:sz="8" w:color="0000EE"/>
            </w:tcBorders>
          </w:tcPr>
          <w:p>
            <w:pPr>
              <w:spacing w:after="0"/>
              <w:rPr>
                <w:sz w:val="24"/>
                <w:szCs w:val="24"/>
                <w:color w:val="auto"/>
              </w:rPr>
            </w:pPr>
          </w:p>
        </w:tc>
        <w:tc>
          <w:tcPr>
            <w:tcW w:w="120" w:type="dxa"/>
            <w:vAlign w:val="bottom"/>
            <w:tcBorders>
              <w:top w:val="single" w:sz="8" w:color="0000EE"/>
            </w:tcBorders>
          </w:tcPr>
          <w:p>
            <w:pPr>
              <w:spacing w:after="0"/>
              <w:rPr>
                <w:sz w:val="24"/>
                <w:szCs w:val="24"/>
                <w:color w:val="auto"/>
              </w:rPr>
            </w:pPr>
          </w:p>
        </w:tc>
        <w:tc>
          <w:tcPr>
            <w:tcW w:w="160" w:type="dxa"/>
            <w:vAlign w:val="bottom"/>
            <w:tcBorders>
              <w:top w:val="single" w:sz="8" w:color="0000EE"/>
            </w:tcBorders>
          </w:tcPr>
          <w:p>
            <w:pPr>
              <w:spacing w:after="0"/>
              <w:rPr>
                <w:sz w:val="24"/>
                <w:szCs w:val="24"/>
                <w:color w:val="auto"/>
              </w:rPr>
            </w:pPr>
          </w:p>
        </w:tc>
        <w:tc>
          <w:tcPr>
            <w:tcW w:w="420" w:type="dxa"/>
            <w:vAlign w:val="bottom"/>
            <w:tcBorders>
              <w:top w:val="single" w:sz="8" w:color="0000EE"/>
            </w:tcBorders>
          </w:tcPr>
          <w:p>
            <w:pPr>
              <w:spacing w:after="0"/>
              <w:rPr>
                <w:sz w:val="24"/>
                <w:szCs w:val="24"/>
                <w:color w:val="auto"/>
              </w:rPr>
            </w:pPr>
          </w:p>
        </w:tc>
        <w:tc>
          <w:tcPr>
            <w:tcW w:w="44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240" w:type="dxa"/>
            <w:vAlign w:val="bottom"/>
            <w:tcBorders>
              <w:top w:val="single" w:sz="8" w:color="0000EE"/>
            </w:tcBorders>
          </w:tcPr>
          <w:p>
            <w:pPr>
              <w:spacing w:after="0"/>
              <w:rPr>
                <w:sz w:val="24"/>
                <w:szCs w:val="24"/>
                <w:color w:val="auto"/>
              </w:rPr>
            </w:pPr>
          </w:p>
        </w:tc>
        <w:tc>
          <w:tcPr>
            <w:tcW w:w="660" w:type="dxa"/>
            <w:vAlign w:val="bottom"/>
            <w:tcBorders>
              <w:top w:val="single" w:sz="8" w:color="0000EE"/>
            </w:tcBorders>
          </w:tcPr>
          <w:p>
            <w:pPr>
              <w:spacing w:after="0"/>
              <w:rPr>
                <w:sz w:val="24"/>
                <w:szCs w:val="24"/>
                <w:color w:val="auto"/>
              </w:rPr>
            </w:pPr>
          </w:p>
        </w:tc>
        <w:tc>
          <w:tcPr>
            <w:tcW w:w="160" w:type="dxa"/>
            <w:vAlign w:val="bottom"/>
            <w:tcBorders>
              <w:top w:val="single" w:sz="8" w:color="0000EE"/>
            </w:tcBorders>
          </w:tcPr>
          <w:p>
            <w:pPr>
              <w:spacing w:after="0"/>
              <w:rPr>
                <w:sz w:val="24"/>
                <w:szCs w:val="24"/>
                <w:color w:val="auto"/>
              </w:rPr>
            </w:pPr>
          </w:p>
        </w:tc>
        <w:tc>
          <w:tcPr>
            <w:tcW w:w="10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7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720" w:type="dxa"/>
            <w:vAlign w:val="bottom"/>
            <w:gridSpan w:val="3"/>
            <w:shd w:val="clear" w:color="auto" w:fill="0000EE"/>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760" w:type="dxa"/>
            <w:vAlign w:val="bottom"/>
            <w:gridSpan w:val="2"/>
          </w:tcPr>
          <w:p>
            <w:pPr>
              <w:spacing w:after="0" w:line="20" w:lineRule="exact"/>
              <w:rPr>
                <w:sz w:val="1"/>
                <w:szCs w:val="1"/>
                <w:color w:val="auto"/>
              </w:rPr>
            </w:pPr>
          </w:p>
        </w:tc>
        <w:tc>
          <w:tcPr>
            <w:tcW w:w="3140" w:type="dxa"/>
            <w:vAlign w:val="bottom"/>
            <w:gridSpan w:val="8"/>
          </w:tcPr>
          <w:p>
            <w:pPr>
              <w:spacing w:after="0" w:line="20" w:lineRule="exact"/>
              <w:rPr>
                <w:sz w:val="1"/>
                <w:szCs w:val="1"/>
                <w:color w:val="auto"/>
              </w:rPr>
            </w:pPr>
          </w:p>
        </w:tc>
        <w:tc>
          <w:tcPr>
            <w:tcW w:w="5880" w:type="dxa"/>
            <w:vAlign w:val="bottom"/>
            <w:gridSpan w:val="9"/>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1160" w:type="dxa"/>
            <w:vAlign w:val="bottom"/>
            <w:gridSpan w:val="5"/>
          </w:tcPr>
          <w:p>
            <w:pPr>
              <w:ind w:left="140"/>
              <w:spacing w:after="0"/>
              <w:rPr>
                <w:sz w:val="20"/>
                <w:szCs w:val="20"/>
                <w:color w:val="auto"/>
              </w:rPr>
            </w:pPr>
            <w:r>
              <w:rPr>
                <w:rFonts w:ascii="Arial" w:cs="Arial" w:eastAsia="Arial" w:hAnsi="Arial"/>
                <w:sz w:val="18"/>
                <w:szCs w:val="18"/>
                <w:color w:val="auto"/>
              </w:rPr>
              <w:t>Item 15.</w:t>
            </w:r>
          </w:p>
        </w:tc>
        <w:tc>
          <w:tcPr>
            <w:tcW w:w="9780" w:type="dxa"/>
            <w:vAlign w:val="bottom"/>
            <w:gridSpan w:val="19"/>
          </w:tcPr>
          <w:p>
            <w:pPr>
              <w:spacing w:after="0"/>
              <w:rPr>
                <w:rFonts w:ascii="Arial" w:cs="Arial" w:eastAsia="Arial" w:hAnsi="Arial"/>
                <w:sz w:val="18"/>
                <w:szCs w:val="18"/>
                <w:color w:val="0000EE"/>
              </w:rPr>
            </w:pPr>
            <w:hyperlink w:anchor="page103">
              <w:r>
                <w:rPr>
                  <w:rFonts w:ascii="Arial" w:cs="Arial" w:eastAsia="Arial" w:hAnsi="Arial"/>
                  <w:sz w:val="18"/>
                  <w:szCs w:val="18"/>
                  <w:color w:val="0000EE"/>
                </w:rPr>
                <w:t>Exhibits, Consolidated Financial Statement Schedules</w:t>
              </w:r>
            </w:hyperlink>
          </w:p>
        </w:tc>
        <w:tc>
          <w:tcPr>
            <w:tcW w:w="480" w:type="dxa"/>
            <w:vAlign w:val="bottom"/>
          </w:tcPr>
          <w:p>
            <w:pPr>
              <w:jc w:val="right"/>
              <w:spacing w:after="0"/>
              <w:rPr>
                <w:sz w:val="20"/>
                <w:szCs w:val="20"/>
                <w:color w:val="auto"/>
              </w:rPr>
            </w:pPr>
            <w:r>
              <w:rPr>
                <w:rFonts w:ascii="Arial" w:cs="Arial" w:eastAsia="Arial" w:hAnsi="Arial"/>
                <w:sz w:val="18"/>
                <w:szCs w:val="18"/>
                <w:color w:val="auto"/>
              </w:rPr>
              <w:t>102</w:t>
            </w:r>
          </w:p>
        </w:tc>
        <w:tc>
          <w:tcPr>
            <w:tcW w:w="0" w:type="dxa"/>
            <w:vAlign w:val="bottom"/>
          </w:tcPr>
          <w:p>
            <w:pPr>
              <w:spacing w:after="0"/>
              <w:rPr>
                <w:sz w:val="1"/>
                <w:szCs w:val="1"/>
                <w:color w:val="auto"/>
              </w:rPr>
            </w:pPr>
          </w:p>
        </w:tc>
      </w:tr>
      <w:tr>
        <w:trPr>
          <w:trHeight w:val="210"/>
        </w:trPr>
        <w:tc>
          <w:tcPr>
            <w:tcW w:w="6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3900" w:type="dxa"/>
            <w:vAlign w:val="bottom"/>
            <w:tcBorders>
              <w:top w:val="single" w:sz="8" w:color="0000EE"/>
            </w:tcBorders>
            <w:gridSpan w:val="10"/>
          </w:tcPr>
          <w:p>
            <w:pPr>
              <w:spacing w:after="0"/>
              <w:rPr>
                <w:rFonts w:ascii="Arial" w:cs="Arial" w:eastAsia="Arial" w:hAnsi="Arial"/>
                <w:sz w:val="18"/>
                <w:szCs w:val="18"/>
                <w:color w:val="0000EE"/>
              </w:rPr>
            </w:pPr>
            <w:hyperlink w:anchor="page107">
              <w:r>
                <w:rPr>
                  <w:rFonts w:ascii="Arial" w:cs="Arial" w:eastAsia="Arial" w:hAnsi="Arial"/>
                  <w:sz w:val="18"/>
                  <w:szCs w:val="18"/>
                  <w:color w:val="0000EE"/>
                </w:rPr>
                <w:t>Signatures</w:t>
              </w:r>
            </w:hyperlink>
          </w:p>
        </w:tc>
        <w:tc>
          <w:tcPr>
            <w:tcW w:w="5880" w:type="dxa"/>
            <w:vAlign w:val="bottom"/>
            <w:gridSpan w:val="9"/>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106</w:t>
            </w:r>
          </w:p>
        </w:tc>
        <w:tc>
          <w:tcPr>
            <w:tcW w:w="0" w:type="dxa"/>
            <w:vAlign w:val="bottom"/>
          </w:tcPr>
          <w:p>
            <w:pPr>
              <w:spacing w:after="0"/>
              <w:rPr>
                <w:sz w:val="1"/>
                <w:szCs w:val="1"/>
                <w:color w:val="auto"/>
              </w:rPr>
            </w:pPr>
          </w:p>
        </w:tc>
      </w:tr>
      <w:tr>
        <w:trPr>
          <w:trHeight w:val="20"/>
        </w:trPr>
        <w:tc>
          <w:tcPr>
            <w:tcW w:w="6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640" w:type="dxa"/>
            <w:vAlign w:val="bottom"/>
            <w:shd w:val="clear" w:color="auto" w:fill="0000EE"/>
          </w:tcPr>
          <w:p>
            <w:pPr>
              <w:spacing w:after="0" w:line="20" w:lineRule="exact"/>
              <w:rPr>
                <w:sz w:val="1"/>
                <w:szCs w:val="1"/>
                <w:color w:val="auto"/>
              </w:rPr>
            </w:pPr>
          </w:p>
        </w:tc>
        <w:tc>
          <w:tcPr>
            <w:tcW w:w="120" w:type="dxa"/>
            <w:vAlign w:val="bottom"/>
            <w:tcBorders>
              <w:right w:val="single" w:sz="8" w:color="0000EE"/>
            </w:tcBorders>
            <w:shd w:val="clear" w:color="auto" w:fill="0000EE"/>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37" w:right="239" w:bottom="1440" w:gutter="0" w:footer="0" w:header="0"/>
        </w:sectPr>
      </w:pPr>
    </w:p>
    <w:bookmarkStart w:id="2" w:name="page3"/>
    <w:bookmarkEnd w:id="2"/>
    <w:p>
      <w:pPr>
        <w:jc w:val="center"/>
        <w:ind w:right="-19"/>
        <w:spacing w:after="0"/>
        <w:rPr>
          <w:sz w:val="20"/>
          <w:szCs w:val="20"/>
          <w:color w:val="auto"/>
        </w:rPr>
      </w:pPr>
      <w:r>
        <w:rPr>
          <w:rFonts w:ascii="Arial" w:cs="Arial" w:eastAsia="Arial" w:hAnsi="Arial"/>
          <w:sz w:val="18"/>
          <w:szCs w:val="18"/>
          <w:b w:val="1"/>
          <w:bCs w:val="1"/>
          <w:color w:val="auto"/>
        </w:rPr>
        <w:t>CAUTIONARY INFORMATION REGARDING FORWARD-LOOKING STATEMENTS</w:t>
      </w:r>
    </w:p>
    <w:p>
      <w:pPr>
        <w:spacing w:after="0" w:line="229" w:lineRule="exact"/>
        <w:rPr>
          <w:sz w:val="20"/>
          <w:szCs w:val="20"/>
          <w:color w:val="auto"/>
        </w:rPr>
      </w:pPr>
    </w:p>
    <w:p>
      <w:pPr>
        <w:ind w:right="60"/>
        <w:spacing w:after="0" w:line="255" w:lineRule="auto"/>
        <w:rPr>
          <w:sz w:val="20"/>
          <w:szCs w:val="20"/>
          <w:color w:val="auto"/>
        </w:rPr>
      </w:pPr>
      <w:r>
        <w:rPr>
          <w:rFonts w:ascii="Arial" w:cs="Arial" w:eastAsia="Arial" w:hAnsi="Arial"/>
          <w:sz w:val="18"/>
          <w:szCs w:val="18"/>
          <w:i w:val="1"/>
          <w:iCs w:val="1"/>
          <w:color w:val="auto"/>
        </w:rPr>
        <w:t>This Annual Report on Form 10-K for the year ended December 31, 2017 contains forward-looking statements concerning our business, operations, and financial performance and condition as well as our plans, objectives, and expectations for business operations and financial performance and condition. Any statements contained herein that are not of historical facts may be deemed to be forward-looking statements. In some cases, you can identify these statements by words such as “anticipate,” “assume,” “believe,” “could,” “estimate,” “expect,” “intend,” “may,” “plan,” “should,” “will,” “would,” and other similar expressions that are predictions of or indicate future events and future trends. These forward-looking statements include, but are not limited to, statements about:</w:t>
      </w:r>
    </w:p>
    <w:p>
      <w:pPr>
        <w:spacing w:after="0" w:line="85" w:lineRule="exact"/>
        <w:rPr>
          <w:sz w:val="20"/>
          <w:szCs w:val="20"/>
          <w:color w:val="auto"/>
        </w:rPr>
      </w:pPr>
    </w:p>
    <w:p>
      <w:pPr>
        <w:ind w:left="1300" w:hanging="428"/>
        <w:spacing w:after="0"/>
        <w:tabs>
          <w:tab w:leader="none" w:pos="1300" w:val="left"/>
        </w:tabs>
        <w:numPr>
          <w:ilvl w:val="0"/>
          <w:numId w:val="3"/>
        </w:numPr>
        <w:rPr>
          <w:rFonts w:ascii="Arial" w:cs="Arial" w:eastAsia="Arial" w:hAnsi="Arial"/>
          <w:sz w:val="18"/>
          <w:szCs w:val="18"/>
          <w:color w:val="auto"/>
        </w:rPr>
      </w:pPr>
      <w:r>
        <w:rPr>
          <w:rFonts w:ascii="Arial" w:cs="Arial" w:eastAsia="Arial" w:hAnsi="Arial"/>
          <w:sz w:val="18"/>
          <w:szCs w:val="18"/>
          <w:i w:val="1"/>
          <w:iCs w:val="1"/>
          <w:color w:val="auto"/>
        </w:rPr>
        <w:t>the continued growth in demand for our ARTAS Robotic System, or ARTAS, for use in harvesting hair follicles for transplant;</w:t>
      </w:r>
    </w:p>
    <w:p>
      <w:pPr>
        <w:spacing w:after="0" w:line="117" w:lineRule="exact"/>
        <w:rPr>
          <w:rFonts w:ascii="Arial" w:cs="Arial" w:eastAsia="Arial" w:hAnsi="Arial"/>
          <w:sz w:val="18"/>
          <w:szCs w:val="18"/>
          <w:color w:val="auto"/>
        </w:rPr>
      </w:pPr>
    </w:p>
    <w:p>
      <w:pPr>
        <w:ind w:left="1300" w:hanging="428"/>
        <w:spacing w:after="0"/>
        <w:tabs>
          <w:tab w:leader="none" w:pos="1300" w:val="left"/>
        </w:tabs>
        <w:numPr>
          <w:ilvl w:val="0"/>
          <w:numId w:val="3"/>
        </w:numPr>
        <w:rPr>
          <w:rFonts w:ascii="Arial" w:cs="Arial" w:eastAsia="Arial" w:hAnsi="Arial"/>
          <w:sz w:val="18"/>
          <w:szCs w:val="18"/>
          <w:color w:val="auto"/>
        </w:rPr>
      </w:pPr>
      <w:r>
        <w:rPr>
          <w:rFonts w:ascii="Arial" w:cs="Arial" w:eastAsia="Arial" w:hAnsi="Arial"/>
          <w:sz w:val="18"/>
          <w:szCs w:val="18"/>
          <w:i w:val="1"/>
          <w:iCs w:val="1"/>
          <w:color w:val="auto"/>
        </w:rPr>
        <w:t>our commercialization, marketing and manufacturing capabilities, plans and prospects;</w:t>
      </w:r>
    </w:p>
    <w:p>
      <w:pPr>
        <w:spacing w:after="0" w:line="117" w:lineRule="exact"/>
        <w:rPr>
          <w:rFonts w:ascii="Arial" w:cs="Arial" w:eastAsia="Arial" w:hAnsi="Arial"/>
          <w:sz w:val="18"/>
          <w:szCs w:val="18"/>
          <w:color w:val="auto"/>
        </w:rPr>
      </w:pPr>
    </w:p>
    <w:p>
      <w:pPr>
        <w:ind w:left="1300" w:hanging="428"/>
        <w:spacing w:after="0"/>
        <w:tabs>
          <w:tab w:leader="none" w:pos="1300" w:val="left"/>
        </w:tabs>
        <w:numPr>
          <w:ilvl w:val="0"/>
          <w:numId w:val="3"/>
        </w:numPr>
        <w:rPr>
          <w:rFonts w:ascii="Arial" w:cs="Arial" w:eastAsia="Arial" w:hAnsi="Arial"/>
          <w:sz w:val="18"/>
          <w:szCs w:val="18"/>
          <w:color w:val="auto"/>
        </w:rPr>
      </w:pPr>
      <w:r>
        <w:rPr>
          <w:rFonts w:ascii="Arial" w:cs="Arial" w:eastAsia="Arial" w:hAnsi="Arial"/>
          <w:sz w:val="18"/>
          <w:szCs w:val="18"/>
          <w:i w:val="1"/>
          <w:iCs w:val="1"/>
          <w:color w:val="auto"/>
        </w:rPr>
        <w:t>the continuing productivity and effectiveness of our commercial infrastructure and salesforce;</w:t>
      </w:r>
    </w:p>
    <w:p>
      <w:pPr>
        <w:spacing w:after="0" w:line="117" w:lineRule="exact"/>
        <w:rPr>
          <w:rFonts w:ascii="Arial" w:cs="Arial" w:eastAsia="Arial" w:hAnsi="Arial"/>
          <w:sz w:val="18"/>
          <w:szCs w:val="18"/>
          <w:color w:val="auto"/>
        </w:rPr>
      </w:pPr>
    </w:p>
    <w:p>
      <w:pPr>
        <w:ind w:left="1300" w:hanging="428"/>
        <w:spacing w:after="0"/>
        <w:tabs>
          <w:tab w:leader="none" w:pos="1300" w:val="left"/>
        </w:tabs>
        <w:numPr>
          <w:ilvl w:val="0"/>
          <w:numId w:val="3"/>
        </w:numPr>
        <w:rPr>
          <w:rFonts w:ascii="Arial" w:cs="Arial" w:eastAsia="Arial" w:hAnsi="Arial"/>
          <w:sz w:val="18"/>
          <w:szCs w:val="18"/>
          <w:color w:val="auto"/>
        </w:rPr>
      </w:pPr>
      <w:r>
        <w:rPr>
          <w:rFonts w:ascii="Arial" w:cs="Arial" w:eastAsia="Arial" w:hAnsi="Arial"/>
          <w:sz w:val="18"/>
          <w:szCs w:val="18"/>
          <w:i w:val="1"/>
          <w:iCs w:val="1"/>
          <w:color w:val="auto"/>
        </w:rPr>
        <w:t>our financial performance;</w:t>
      </w:r>
    </w:p>
    <w:p>
      <w:pPr>
        <w:spacing w:after="0" w:line="117" w:lineRule="exact"/>
        <w:rPr>
          <w:rFonts w:ascii="Arial" w:cs="Arial" w:eastAsia="Arial" w:hAnsi="Arial"/>
          <w:sz w:val="18"/>
          <w:szCs w:val="18"/>
          <w:color w:val="auto"/>
        </w:rPr>
      </w:pPr>
    </w:p>
    <w:p>
      <w:pPr>
        <w:ind w:left="1300" w:hanging="428"/>
        <w:spacing w:after="0"/>
        <w:tabs>
          <w:tab w:leader="none" w:pos="1300" w:val="left"/>
        </w:tabs>
        <w:numPr>
          <w:ilvl w:val="0"/>
          <w:numId w:val="3"/>
        </w:numPr>
        <w:rPr>
          <w:rFonts w:ascii="Arial" w:cs="Arial" w:eastAsia="Arial" w:hAnsi="Arial"/>
          <w:sz w:val="18"/>
          <w:szCs w:val="18"/>
          <w:color w:val="auto"/>
        </w:rPr>
      </w:pPr>
      <w:r>
        <w:rPr>
          <w:rFonts w:ascii="Arial" w:cs="Arial" w:eastAsia="Arial" w:hAnsi="Arial"/>
          <w:sz w:val="18"/>
          <w:szCs w:val="18"/>
          <w:i w:val="1"/>
          <w:iCs w:val="1"/>
          <w:color w:val="auto"/>
        </w:rPr>
        <w:t>our intentions and our ability to establish collaborations and/or partnerships;</w:t>
      </w:r>
    </w:p>
    <w:p>
      <w:pPr>
        <w:spacing w:after="0" w:line="117" w:lineRule="exact"/>
        <w:rPr>
          <w:rFonts w:ascii="Arial" w:cs="Arial" w:eastAsia="Arial" w:hAnsi="Arial"/>
          <w:sz w:val="18"/>
          <w:szCs w:val="18"/>
          <w:color w:val="auto"/>
        </w:rPr>
      </w:pPr>
    </w:p>
    <w:p>
      <w:pPr>
        <w:jc w:val="both"/>
        <w:ind w:left="1300" w:right="60" w:hanging="428"/>
        <w:spacing w:after="0" w:line="264" w:lineRule="auto"/>
        <w:tabs>
          <w:tab w:leader="none" w:pos="1300" w:val="left"/>
        </w:tabs>
        <w:numPr>
          <w:ilvl w:val="0"/>
          <w:numId w:val="3"/>
        </w:numPr>
        <w:rPr>
          <w:rFonts w:ascii="Arial" w:cs="Arial" w:eastAsia="Arial" w:hAnsi="Arial"/>
          <w:sz w:val="18"/>
          <w:szCs w:val="18"/>
          <w:color w:val="auto"/>
        </w:rPr>
      </w:pPr>
      <w:r>
        <w:rPr>
          <w:rFonts w:ascii="Arial" w:cs="Arial" w:eastAsia="Arial" w:hAnsi="Arial"/>
          <w:sz w:val="18"/>
          <w:szCs w:val="18"/>
          <w:i w:val="1"/>
          <w:iCs w:val="1"/>
          <w:color w:val="auto"/>
        </w:rPr>
        <w:t>the timing or likelihood of regulatory filings and approvals for ARTAS for use in recipient site making or transplanting of hair follicles, and expanding the approved use of ARTAS for use in dissecting hair follicles to include women and individuals without straight brown or black hair;</w:t>
      </w:r>
    </w:p>
    <w:p>
      <w:pPr>
        <w:spacing w:after="0" w:line="73" w:lineRule="exact"/>
        <w:rPr>
          <w:rFonts w:ascii="Arial" w:cs="Arial" w:eastAsia="Arial" w:hAnsi="Arial"/>
          <w:sz w:val="18"/>
          <w:szCs w:val="18"/>
          <w:color w:val="auto"/>
        </w:rPr>
      </w:pPr>
    </w:p>
    <w:p>
      <w:pPr>
        <w:ind w:left="1300" w:hanging="428"/>
        <w:spacing w:after="0"/>
        <w:tabs>
          <w:tab w:leader="none" w:pos="1300" w:val="left"/>
        </w:tabs>
        <w:numPr>
          <w:ilvl w:val="0"/>
          <w:numId w:val="3"/>
        </w:numPr>
        <w:rPr>
          <w:rFonts w:ascii="Arial" w:cs="Arial" w:eastAsia="Arial" w:hAnsi="Arial"/>
          <w:sz w:val="18"/>
          <w:szCs w:val="18"/>
          <w:color w:val="auto"/>
        </w:rPr>
      </w:pPr>
      <w:r>
        <w:rPr>
          <w:rFonts w:ascii="Arial" w:cs="Arial" w:eastAsia="Arial" w:hAnsi="Arial"/>
          <w:sz w:val="18"/>
          <w:szCs w:val="18"/>
          <w:i w:val="1"/>
          <w:iCs w:val="1"/>
          <w:color w:val="auto"/>
        </w:rPr>
        <w:t>our expectations regarding the potential market size and the size of the patient populations for ARTAS;</w:t>
      </w:r>
    </w:p>
    <w:p>
      <w:pPr>
        <w:spacing w:after="0" w:line="117" w:lineRule="exact"/>
        <w:rPr>
          <w:rFonts w:ascii="Arial" w:cs="Arial" w:eastAsia="Arial" w:hAnsi="Arial"/>
          <w:sz w:val="18"/>
          <w:szCs w:val="18"/>
          <w:color w:val="auto"/>
        </w:rPr>
      </w:pPr>
    </w:p>
    <w:p>
      <w:pPr>
        <w:ind w:left="1300" w:hanging="428"/>
        <w:spacing w:after="0"/>
        <w:tabs>
          <w:tab w:leader="none" w:pos="1300" w:val="left"/>
        </w:tabs>
        <w:numPr>
          <w:ilvl w:val="0"/>
          <w:numId w:val="3"/>
        </w:numPr>
        <w:rPr>
          <w:rFonts w:ascii="Arial" w:cs="Arial" w:eastAsia="Arial" w:hAnsi="Arial"/>
          <w:sz w:val="18"/>
          <w:szCs w:val="18"/>
          <w:color w:val="auto"/>
        </w:rPr>
      </w:pPr>
      <w:r>
        <w:rPr>
          <w:rFonts w:ascii="Arial" w:cs="Arial" w:eastAsia="Arial" w:hAnsi="Arial"/>
          <w:sz w:val="18"/>
          <w:szCs w:val="18"/>
          <w:i w:val="1"/>
          <w:iCs w:val="1"/>
          <w:color w:val="auto"/>
        </w:rPr>
        <w:t>the effective pricing of ARTAS;</w:t>
      </w:r>
    </w:p>
    <w:p>
      <w:pPr>
        <w:spacing w:after="0" w:line="117" w:lineRule="exact"/>
        <w:rPr>
          <w:rFonts w:ascii="Arial" w:cs="Arial" w:eastAsia="Arial" w:hAnsi="Arial"/>
          <w:sz w:val="18"/>
          <w:szCs w:val="18"/>
          <w:color w:val="auto"/>
        </w:rPr>
      </w:pPr>
    </w:p>
    <w:p>
      <w:pPr>
        <w:ind w:left="1300" w:hanging="428"/>
        <w:spacing w:after="0"/>
        <w:tabs>
          <w:tab w:leader="none" w:pos="1300" w:val="left"/>
        </w:tabs>
        <w:numPr>
          <w:ilvl w:val="0"/>
          <w:numId w:val="3"/>
        </w:numPr>
        <w:rPr>
          <w:rFonts w:ascii="Arial" w:cs="Arial" w:eastAsia="Arial" w:hAnsi="Arial"/>
          <w:sz w:val="18"/>
          <w:szCs w:val="18"/>
          <w:color w:val="auto"/>
        </w:rPr>
      </w:pPr>
      <w:r>
        <w:rPr>
          <w:rFonts w:ascii="Arial" w:cs="Arial" w:eastAsia="Arial" w:hAnsi="Arial"/>
          <w:sz w:val="18"/>
          <w:szCs w:val="18"/>
          <w:i w:val="1"/>
          <w:iCs w:val="1"/>
          <w:color w:val="auto"/>
        </w:rPr>
        <w:t>the implementation of our business model and strategic plans for our business and technology;</w:t>
      </w:r>
    </w:p>
    <w:p>
      <w:pPr>
        <w:spacing w:after="0" w:line="117" w:lineRule="exact"/>
        <w:rPr>
          <w:rFonts w:ascii="Arial" w:cs="Arial" w:eastAsia="Arial" w:hAnsi="Arial"/>
          <w:sz w:val="18"/>
          <w:szCs w:val="18"/>
          <w:color w:val="auto"/>
        </w:rPr>
      </w:pPr>
    </w:p>
    <w:p>
      <w:pPr>
        <w:ind w:left="1300" w:right="520" w:hanging="428"/>
        <w:spacing w:after="0" w:line="277" w:lineRule="auto"/>
        <w:tabs>
          <w:tab w:leader="none" w:pos="1300" w:val="left"/>
        </w:tabs>
        <w:numPr>
          <w:ilvl w:val="0"/>
          <w:numId w:val="3"/>
        </w:numPr>
        <w:rPr>
          <w:rFonts w:ascii="Arial" w:cs="Arial" w:eastAsia="Arial" w:hAnsi="Arial"/>
          <w:sz w:val="18"/>
          <w:szCs w:val="18"/>
          <w:color w:val="auto"/>
        </w:rPr>
      </w:pPr>
      <w:r>
        <w:rPr>
          <w:rFonts w:ascii="Arial" w:cs="Arial" w:eastAsia="Arial" w:hAnsi="Arial"/>
          <w:sz w:val="18"/>
          <w:szCs w:val="18"/>
          <w:i w:val="1"/>
          <w:iCs w:val="1"/>
          <w:color w:val="auto"/>
        </w:rPr>
        <w:t>the scope of protection we are able to establish and maintain for intellectual property rights covering ARTAS, along with any product enhancements;</w:t>
      </w:r>
    </w:p>
    <w:p>
      <w:pPr>
        <w:spacing w:after="0" w:line="62" w:lineRule="exact"/>
        <w:rPr>
          <w:rFonts w:ascii="Arial" w:cs="Arial" w:eastAsia="Arial" w:hAnsi="Arial"/>
          <w:sz w:val="18"/>
          <w:szCs w:val="18"/>
          <w:color w:val="auto"/>
        </w:rPr>
      </w:pPr>
    </w:p>
    <w:p>
      <w:pPr>
        <w:ind w:left="1300" w:right="440" w:hanging="428"/>
        <w:spacing w:after="0" w:line="277" w:lineRule="auto"/>
        <w:tabs>
          <w:tab w:leader="none" w:pos="1300" w:val="left"/>
        </w:tabs>
        <w:numPr>
          <w:ilvl w:val="0"/>
          <w:numId w:val="3"/>
        </w:numPr>
        <w:rPr>
          <w:rFonts w:ascii="Arial" w:cs="Arial" w:eastAsia="Arial" w:hAnsi="Arial"/>
          <w:sz w:val="18"/>
          <w:szCs w:val="18"/>
          <w:color w:val="auto"/>
        </w:rPr>
      </w:pPr>
      <w:r>
        <w:rPr>
          <w:rFonts w:ascii="Arial" w:cs="Arial" w:eastAsia="Arial" w:hAnsi="Arial"/>
          <w:sz w:val="18"/>
          <w:szCs w:val="18"/>
          <w:i w:val="1"/>
          <w:iCs w:val="1"/>
          <w:color w:val="auto"/>
        </w:rPr>
        <w:t>estimates of our expenses, future revenue, capital requirements, our needs for additional financing and our ability to obtain additional capital; and</w:t>
      </w:r>
    </w:p>
    <w:p>
      <w:pPr>
        <w:spacing w:after="0" w:line="62" w:lineRule="exact"/>
        <w:rPr>
          <w:rFonts w:ascii="Arial" w:cs="Arial" w:eastAsia="Arial" w:hAnsi="Arial"/>
          <w:sz w:val="18"/>
          <w:szCs w:val="18"/>
          <w:color w:val="auto"/>
        </w:rPr>
      </w:pPr>
    </w:p>
    <w:p>
      <w:pPr>
        <w:ind w:left="1300" w:hanging="428"/>
        <w:spacing w:after="0"/>
        <w:tabs>
          <w:tab w:leader="none" w:pos="1300" w:val="left"/>
        </w:tabs>
        <w:numPr>
          <w:ilvl w:val="0"/>
          <w:numId w:val="3"/>
        </w:numPr>
        <w:rPr>
          <w:rFonts w:ascii="Arial" w:cs="Arial" w:eastAsia="Arial" w:hAnsi="Arial"/>
          <w:sz w:val="18"/>
          <w:szCs w:val="18"/>
          <w:color w:val="auto"/>
        </w:rPr>
      </w:pPr>
      <w:r>
        <w:rPr>
          <w:rFonts w:ascii="Arial" w:cs="Arial" w:eastAsia="Arial" w:hAnsi="Arial"/>
          <w:sz w:val="18"/>
          <w:szCs w:val="18"/>
          <w:i w:val="1"/>
          <w:iCs w:val="1"/>
          <w:color w:val="auto"/>
        </w:rPr>
        <w:t>developments and projections relating to our competitors and our industry, including competing therapies and procedures.</w:t>
      </w:r>
    </w:p>
    <w:p>
      <w:pPr>
        <w:spacing w:after="0" w:line="117" w:lineRule="exact"/>
        <w:rPr>
          <w:sz w:val="20"/>
          <w:szCs w:val="20"/>
          <w:color w:val="auto"/>
        </w:rPr>
      </w:pPr>
    </w:p>
    <w:p>
      <w:pPr>
        <w:ind w:right="20"/>
        <w:spacing w:after="0" w:line="270" w:lineRule="auto"/>
        <w:rPr>
          <w:sz w:val="20"/>
          <w:szCs w:val="20"/>
          <w:color w:val="auto"/>
        </w:rPr>
      </w:pPr>
      <w:r>
        <w:rPr>
          <w:rFonts w:ascii="Arial" w:cs="Arial" w:eastAsia="Arial" w:hAnsi="Arial"/>
          <w:sz w:val="17"/>
          <w:szCs w:val="17"/>
          <w:i w:val="1"/>
          <w:iCs w:val="1"/>
          <w:color w:val="auto"/>
        </w:rPr>
        <w:t>These forward-looking statements are based on current expectations, estimates, forecasts, and projections about our business and the industry in which we operate and management's beliefs and assumptions and are not guarantees of future performance or development and involve known and unknown risks, uncertainties, and other factors that are in some cases beyond our control. As a result, any or all of our forward-looking statements in this Annual Report on Form 10-K may turn out to be inaccurate. Factors that could materially affect our business operations and financial performance and condition include, but are not limited to, those risks and uncertainties described herein under “Item 1A - Risk Factors.” You are urged to consider these factors carefully in evaluating the forward-looking statements and are cautioned not to place undue reliance on the forward-looking statements. The forward-looking statements are based on information available to us as of the filing date of this Annual Report on Form 10-K. Unless required by law, we do not intend to publicly update or revise any forward-looking statements to reflect new information or future events or otherwise. You should, however, review the factors and risks we describe in the reports we will file from time to time with the Securities and Exchange Commission, or the SEC, after the date of this Annual Report on Form 10-K.</w:t>
      </w:r>
    </w:p>
    <w:p>
      <w:pPr>
        <w:spacing w:after="0" w:line="70" w:lineRule="exact"/>
        <w:rPr>
          <w:sz w:val="20"/>
          <w:szCs w:val="20"/>
          <w:color w:val="auto"/>
        </w:rPr>
      </w:pPr>
    </w:p>
    <w:p>
      <w:pPr>
        <w:spacing w:after="0" w:line="297" w:lineRule="auto"/>
        <w:rPr>
          <w:sz w:val="20"/>
          <w:szCs w:val="20"/>
          <w:color w:val="auto"/>
        </w:rPr>
      </w:pPr>
      <w:r>
        <w:rPr>
          <w:rFonts w:ascii="Arial" w:cs="Arial" w:eastAsia="Arial" w:hAnsi="Arial"/>
          <w:sz w:val="16"/>
          <w:szCs w:val="16"/>
          <w:i w:val="1"/>
          <w:iCs w:val="1"/>
          <w:color w:val="auto"/>
        </w:rPr>
        <w:t>This Annual Report Form 10-K also contains estimates, projections and other information concerning our industry, our business, and hair restoration market, including data regarding the estimated size of the hair restoration market. Information that is based on estimates, forecasts, projections, market research or similar methodologies is inherently subject to uncertainties and actual events or circumstances may differ materially from events and circumstances reflected in this information. Unless otherwise expressly stated, we obtained this industry, business, market and other data from reports, research surveys, studies and similar data prepared by market research firms and other third parties, industry, medical and general publications, government data and similar sources.</w:t>
      </w:r>
    </w:p>
    <w:p>
      <w:pPr>
        <w:spacing w:after="0" w:line="200" w:lineRule="exact"/>
        <w:rPr>
          <w:sz w:val="20"/>
          <w:szCs w:val="20"/>
          <w:color w:val="auto"/>
        </w:rPr>
      </w:pPr>
    </w:p>
    <w:p>
      <w:pPr>
        <w:spacing w:after="0" w:line="32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37" w:right="239" w:bottom="1440" w:gutter="0" w:footer="0" w:header="0"/>
        </w:sectPr>
      </w:pPr>
    </w:p>
    <w:bookmarkStart w:id="3" w:name="page4"/>
    <w:bookmarkEnd w:id="3"/>
    <w:p>
      <w:pPr>
        <w:jc w:val="center"/>
        <w:ind w:right="-59"/>
        <w:spacing w:after="0"/>
        <w:rPr>
          <w:sz w:val="20"/>
          <w:szCs w:val="20"/>
          <w:color w:val="auto"/>
        </w:rPr>
      </w:pPr>
      <w:r>
        <w:rPr>
          <w:rFonts w:ascii="Arial" w:cs="Arial" w:eastAsia="Arial" w:hAnsi="Arial"/>
          <w:sz w:val="18"/>
          <w:szCs w:val="18"/>
          <w:b w:val="1"/>
          <w:bCs w:val="1"/>
          <w:color w:val="auto"/>
        </w:rPr>
        <w:t>PART I</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1.Business.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231F20"/>
        </w:rPr>
        <w:t>Overview</w:t>
      </w:r>
    </w:p>
    <w:p>
      <w:pPr>
        <w:spacing w:after="0" w:line="121" w:lineRule="exact"/>
        <w:rPr>
          <w:sz w:val="20"/>
          <w:szCs w:val="20"/>
          <w:color w:val="auto"/>
        </w:rPr>
      </w:pPr>
    </w:p>
    <w:p>
      <w:pPr>
        <w:spacing w:after="0" w:line="271" w:lineRule="auto"/>
        <w:rPr>
          <w:sz w:val="20"/>
          <w:szCs w:val="20"/>
          <w:color w:val="auto"/>
        </w:rPr>
      </w:pPr>
      <w:r>
        <w:rPr>
          <w:rFonts w:ascii="Arial" w:cs="Arial" w:eastAsia="Arial" w:hAnsi="Arial"/>
          <w:sz w:val="17"/>
          <w:szCs w:val="17"/>
          <w:color w:val="231F20"/>
        </w:rPr>
        <w:t>We are a medical technology company developing and commercializing a robotic device, the ARTAS System, that assists physicians in performing many of the repetitive tasks that are a part of a follicular unit extraction surgery, or FUE, a type of hair restoration procedure. We believe the ARTAS System is the first and only physician-assisted robotic system that can identify and dissect hair follicular units directly from the scalp and create recipient implant sites. The ARTAS System includes the ARTAS Hair Studio application, an interactive three-dimensional patient consultation tool that enables a physician to create a simulated hair transplant model for use in patient consultations. We received clearance from the U.S. Food and Drug Administration, or FDA, in April 2011 to market the ARTAS System in the U.S., and we have sold the ARTAS System into 36 other countries. As of December 31, 2017, we have sold 94 ARTAS Systems in the U.S. and 159 internationally. As of December 31, 2017, the ARTAS System and ARTAS Hair Studio application are protected by over 81 patents in the U.S. and over 110 international patents.</w:t>
      </w:r>
    </w:p>
    <w:p>
      <w:pPr>
        <w:spacing w:after="0" w:line="71" w:lineRule="exact"/>
        <w:rPr>
          <w:sz w:val="20"/>
          <w:szCs w:val="20"/>
          <w:color w:val="auto"/>
        </w:rPr>
      </w:pPr>
    </w:p>
    <w:p>
      <w:pPr>
        <w:ind w:right="40"/>
        <w:spacing w:after="0" w:line="264" w:lineRule="auto"/>
        <w:rPr>
          <w:sz w:val="20"/>
          <w:szCs w:val="20"/>
          <w:color w:val="auto"/>
        </w:rPr>
      </w:pPr>
      <w:r>
        <w:rPr>
          <w:rFonts w:ascii="Arial" w:cs="Arial" w:eastAsia="Arial" w:hAnsi="Arial"/>
          <w:sz w:val="18"/>
          <w:szCs w:val="18"/>
          <w:color w:val="231F20"/>
        </w:rPr>
        <w:t>The ARTAS System is comprised of the patient chair, the cart, which includes the robotic arm, integrated vision system, artificial intelligence algorithms and a series of proprietary end effectors, which are the various devices at the end of the robotic arm, such as the automated needle and punch, that interact with the patient’s scalp and hair follicles and perform various clinical functions.</w:t>
      </w:r>
    </w:p>
    <w:p>
      <w:pPr>
        <w:spacing w:after="0" w:line="73" w:lineRule="exact"/>
        <w:rPr>
          <w:sz w:val="20"/>
          <w:szCs w:val="20"/>
          <w:color w:val="auto"/>
        </w:rPr>
      </w:pPr>
    </w:p>
    <w:p>
      <w:pPr>
        <w:ind w:right="160"/>
        <w:spacing w:after="0" w:line="277" w:lineRule="auto"/>
        <w:rPr>
          <w:sz w:val="20"/>
          <w:szCs w:val="20"/>
          <w:color w:val="auto"/>
        </w:rPr>
      </w:pPr>
      <w:r>
        <w:rPr>
          <w:rFonts w:ascii="Arial" w:cs="Arial" w:eastAsia="Arial" w:hAnsi="Arial"/>
          <w:sz w:val="18"/>
          <w:szCs w:val="18"/>
          <w:color w:val="auto"/>
        </w:rPr>
        <w:t>The image below depicts the ARTAS System cart, including the robotic arm and the needle mechanism which houses the automated needle and punch used for follicle dissection and site making, and the ARTAS User Interface.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1377315</wp:posOffset>
            </wp:positionH>
            <wp:positionV relativeFrom="paragraph">
              <wp:posOffset>48895</wp:posOffset>
            </wp:positionV>
            <wp:extent cx="4502150" cy="232410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4502150" cy="23241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2"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360"/>
          </w:cols>
          <w:pgMar w:left="240" w:top="337" w:right="299" w:bottom="1440" w:gutter="0" w:footer="0" w:header="0"/>
        </w:sectPr>
      </w:pPr>
    </w:p>
    <w:bookmarkStart w:id="4" w:name="page5"/>
    <w:bookmarkEnd w:id="4"/>
    <w:p>
      <w:pPr>
        <w:spacing w:after="0"/>
        <w:rPr>
          <w:sz w:val="20"/>
          <w:szCs w:val="20"/>
          <w:color w:val="auto"/>
        </w:rPr>
      </w:pPr>
      <w:r>
        <w:rPr>
          <w:rFonts w:ascii="Arial" w:cs="Arial" w:eastAsia="Arial" w:hAnsi="Arial"/>
          <w:sz w:val="18"/>
          <w:szCs w:val="18"/>
          <w:b w:val="1"/>
          <w:bCs w:val="1"/>
          <w:color w:val="231F20"/>
        </w:rPr>
        <w:t>Market Overview</w:t>
      </w:r>
    </w:p>
    <w:p>
      <w:pPr>
        <w:spacing w:after="0" w:line="121" w:lineRule="exact"/>
        <w:rPr>
          <w:sz w:val="20"/>
          <w:szCs w:val="20"/>
          <w:color w:val="auto"/>
        </w:rPr>
      </w:pPr>
    </w:p>
    <w:p>
      <w:pPr>
        <w:ind w:right="640"/>
        <w:spacing w:after="0" w:line="342" w:lineRule="auto"/>
        <w:rPr>
          <w:sz w:val="20"/>
          <w:szCs w:val="20"/>
          <w:color w:val="auto"/>
        </w:rPr>
      </w:pPr>
      <w:r>
        <w:rPr>
          <w:rFonts w:ascii="Arial" w:cs="Arial" w:eastAsia="Arial" w:hAnsi="Arial"/>
          <w:sz w:val="16"/>
          <w:szCs w:val="16"/>
          <w:color w:val="231F20"/>
        </w:rPr>
        <w:t>According to data collected by the International Society of Hair Restoration Surgery, or ISHRS, the global market for hair restoration procedures was approximately $4.1 billion in 2017. We believe the global hair restoration market will continue to grow due to several factors, including:</w:t>
      </w:r>
    </w:p>
    <w:p>
      <w:pPr>
        <w:spacing w:after="0" w:line="16" w:lineRule="exact"/>
        <w:rPr>
          <w:sz w:val="20"/>
          <w:szCs w:val="20"/>
          <w:color w:val="auto"/>
        </w:rPr>
      </w:pPr>
    </w:p>
    <w:p>
      <w:pPr>
        <w:jc w:val="both"/>
        <w:ind w:left="1100" w:right="520" w:hanging="363"/>
        <w:spacing w:after="0" w:line="264" w:lineRule="auto"/>
        <w:tabs>
          <w:tab w:leader="none" w:pos="1100" w:val="left"/>
        </w:tabs>
        <w:numPr>
          <w:ilvl w:val="0"/>
          <w:numId w:val="4"/>
        </w:numPr>
        <w:rPr>
          <w:rFonts w:ascii="Arial" w:cs="Arial" w:eastAsia="Arial" w:hAnsi="Arial"/>
          <w:sz w:val="18"/>
          <w:szCs w:val="18"/>
          <w:color w:val="auto"/>
        </w:rPr>
      </w:pPr>
      <w:r>
        <w:rPr>
          <w:rFonts w:ascii="Arial" w:cs="Arial" w:eastAsia="Arial" w:hAnsi="Arial"/>
          <w:sz w:val="18"/>
          <w:szCs w:val="18"/>
          <w:color w:val="auto"/>
        </w:rPr>
        <w:t>An aging population with disposable income and an increased acceptance of aesthetic procedures. According to data from the American Society for Aesthetic Plastic Surgery, or ASAPS, in 2016, Americans spent more than $15 billion on combined surgical and nonsurgical aesthetic procedures. Male aesthetic procedures have increased 325% since 1997.</w:t>
      </w:r>
    </w:p>
    <w:p>
      <w:pPr>
        <w:spacing w:after="0" w:line="73" w:lineRule="exact"/>
        <w:rPr>
          <w:rFonts w:ascii="Arial" w:cs="Arial" w:eastAsia="Arial" w:hAnsi="Arial"/>
          <w:sz w:val="18"/>
          <w:szCs w:val="18"/>
          <w:color w:val="auto"/>
        </w:rPr>
      </w:pPr>
    </w:p>
    <w:p>
      <w:pPr>
        <w:ind w:left="1100" w:right="220" w:hanging="363"/>
        <w:spacing w:after="0" w:line="277" w:lineRule="auto"/>
        <w:tabs>
          <w:tab w:leader="none" w:pos="1100" w:val="left"/>
        </w:tabs>
        <w:numPr>
          <w:ilvl w:val="0"/>
          <w:numId w:val="4"/>
        </w:numPr>
        <w:rPr>
          <w:rFonts w:ascii="Arial" w:cs="Arial" w:eastAsia="Arial" w:hAnsi="Arial"/>
          <w:sz w:val="18"/>
          <w:szCs w:val="18"/>
          <w:color w:val="auto"/>
        </w:rPr>
      </w:pPr>
      <w:r>
        <w:rPr>
          <w:rFonts w:ascii="Arial" w:cs="Arial" w:eastAsia="Arial" w:hAnsi="Arial"/>
          <w:sz w:val="18"/>
          <w:szCs w:val="18"/>
          <w:color w:val="auto"/>
        </w:rPr>
        <w:t>A market shift to less invasive hair restoration procedures such as follicular unit extraction which, according to ISHRS, have increased from less than 10% of hair restoration procedures performed in 2004 to about 52.6% in 2017.</w:t>
      </w:r>
    </w:p>
    <w:p>
      <w:pPr>
        <w:spacing w:after="0" w:line="62" w:lineRule="exact"/>
        <w:rPr>
          <w:rFonts w:ascii="Arial" w:cs="Arial" w:eastAsia="Arial" w:hAnsi="Arial"/>
          <w:sz w:val="18"/>
          <w:szCs w:val="18"/>
          <w:color w:val="auto"/>
        </w:rPr>
      </w:pPr>
    </w:p>
    <w:p>
      <w:pPr>
        <w:ind w:left="1100" w:right="100" w:hanging="363"/>
        <w:spacing w:after="0" w:line="277" w:lineRule="auto"/>
        <w:tabs>
          <w:tab w:leader="none" w:pos="1100" w:val="left"/>
        </w:tabs>
        <w:numPr>
          <w:ilvl w:val="0"/>
          <w:numId w:val="4"/>
        </w:numPr>
        <w:rPr>
          <w:rFonts w:ascii="Arial" w:cs="Arial" w:eastAsia="Arial" w:hAnsi="Arial"/>
          <w:sz w:val="18"/>
          <w:szCs w:val="18"/>
          <w:color w:val="auto"/>
        </w:rPr>
      </w:pPr>
      <w:r>
        <w:rPr>
          <w:rFonts w:ascii="Arial" w:cs="Arial" w:eastAsia="Arial" w:hAnsi="Arial"/>
          <w:sz w:val="18"/>
          <w:szCs w:val="18"/>
          <w:color w:val="auto"/>
        </w:rPr>
        <w:t>A greater number of physicians seeking patient direct pay procedures, such as hair restoration, due to increased government and private payor reimbursement restrictions.</w:t>
      </w:r>
    </w:p>
    <w:p>
      <w:pPr>
        <w:spacing w:after="0" w:line="62" w:lineRule="exact"/>
        <w:rPr>
          <w:sz w:val="20"/>
          <w:szCs w:val="20"/>
          <w:color w:val="auto"/>
        </w:rPr>
      </w:pPr>
    </w:p>
    <w:p>
      <w:pPr>
        <w:ind w:right="360"/>
        <w:spacing w:after="0" w:line="259" w:lineRule="auto"/>
        <w:rPr>
          <w:sz w:val="20"/>
          <w:szCs w:val="20"/>
          <w:color w:val="auto"/>
        </w:rPr>
      </w:pPr>
      <w:r>
        <w:rPr>
          <w:rFonts w:ascii="Arial" w:cs="Arial" w:eastAsia="Arial" w:hAnsi="Arial"/>
          <w:sz w:val="18"/>
          <w:szCs w:val="18"/>
          <w:color w:val="231F20"/>
        </w:rPr>
        <w:t>This growing market has a significant potential patient population with approximately 35 million males in the United States suffering from androgenic alopecia, or AGA, also referred to as male pattern baldness. We have FDA clearance to market the ARTAS System in the U.S. for dissecting hair follicles from the scalp of men diagnosed with AGA who have black or brown straight hair. With this clearance we are able to market the ARTAS System to physicians to treat this growing market.</w:t>
      </w:r>
    </w:p>
    <w:p>
      <w:pPr>
        <w:spacing w:after="0" w:line="10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The Hair Loss Market</w:t>
      </w:r>
    </w:p>
    <w:p>
      <w:pPr>
        <w:spacing w:after="0" w:line="121" w:lineRule="exact"/>
        <w:rPr>
          <w:sz w:val="20"/>
          <w:szCs w:val="20"/>
          <w:color w:val="auto"/>
        </w:rPr>
      </w:pPr>
    </w:p>
    <w:p>
      <w:pPr>
        <w:ind w:right="140"/>
        <w:spacing w:after="0" w:line="257" w:lineRule="auto"/>
        <w:rPr>
          <w:sz w:val="20"/>
          <w:szCs w:val="20"/>
          <w:color w:val="auto"/>
        </w:rPr>
      </w:pPr>
      <w:r>
        <w:rPr>
          <w:rFonts w:ascii="Arial" w:cs="Arial" w:eastAsia="Arial" w:hAnsi="Arial"/>
          <w:sz w:val="18"/>
          <w:szCs w:val="18"/>
          <w:color w:val="auto"/>
        </w:rPr>
        <w:t>According to the census conducted by ISHRS, in 2016, an estimated $4.1 billion was spent globally on surgical hair restoration treatments, representing a 64% increase over the estimated $2.5 billion spent in 2014. In general, the global market for aesthetic procedures marketed towards men is significant and growing. For example, according to ASAPS statistics, the number of aesthetic procedures performed on men in the U.S. increased 325% from 1997 to 2015, to approximately $1.3 billion. The patient market for hair loss is significant with approximately 35 million men suffering from AGA in the United States alone.</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Hair Loss Treatment Options and Their Limitations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231F20"/>
        </w:rPr>
        <w:t>The treatments for hair loss can broadly be divided between non-surgical options and surgical procedures.</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i w:val="1"/>
          <w:iCs w:val="1"/>
          <w:color w:val="231F20"/>
        </w:rPr>
        <w:t>Non-Surgical Options</w:t>
      </w:r>
    </w:p>
    <w:p>
      <w:pPr>
        <w:spacing w:after="0" w:line="117" w:lineRule="exact"/>
        <w:rPr>
          <w:sz w:val="20"/>
          <w:szCs w:val="20"/>
          <w:color w:val="auto"/>
        </w:rPr>
      </w:pPr>
    </w:p>
    <w:p>
      <w:pPr>
        <w:spacing w:after="0" w:line="272" w:lineRule="auto"/>
        <w:rPr>
          <w:sz w:val="20"/>
          <w:szCs w:val="20"/>
          <w:color w:val="auto"/>
        </w:rPr>
      </w:pPr>
      <w:r>
        <w:rPr>
          <w:rFonts w:ascii="Arial" w:cs="Arial" w:eastAsia="Arial" w:hAnsi="Arial"/>
          <w:sz w:val="17"/>
          <w:szCs w:val="17"/>
          <w:color w:val="231F20"/>
        </w:rPr>
        <w:t>Non-surgical options for hair loss include prescription therapeutics and non-prescription remedies. In the U.S., the FDA has authorized two prescription therapeutics for hair loss: Rogaine which is applied topically, and Propecia which is ingested in pill form. Both Rogaine and Propecia have several drawbacks, including limited efficacy in some individuals and the need for strict patient compliance in order for the treatment to have meaningful effect. Both products require strict usage without breaks and often require a minimum of six months before meaningful effect is visible. Furthermore, while uncommon and not affecting all men, Propecia can cause multiple side-effects given its systemic administration, including impotence, swelling, dizziness and weakness. In addition to prescription therapeutics, non-surgical remedies for hair loss include wigs, hair pieces and spray-on applications, which also have significant drawbacks primarily due to an unnatural aesthetic look</w:t>
      </w:r>
      <w:r>
        <w:rPr>
          <w:rFonts w:ascii="Arial" w:cs="Arial" w:eastAsia="Arial" w:hAnsi="Arial"/>
          <w:sz w:val="17"/>
          <w:szCs w:val="17"/>
          <w:color w:val="000000"/>
        </w:rPr>
        <w:t>.</w:t>
      </w:r>
    </w:p>
    <w:p>
      <w:pPr>
        <w:spacing w:after="0" w:line="97" w:lineRule="exact"/>
        <w:rPr>
          <w:sz w:val="20"/>
          <w:szCs w:val="20"/>
          <w:color w:val="auto"/>
        </w:rPr>
      </w:pPr>
    </w:p>
    <w:p>
      <w:pPr>
        <w:spacing w:after="0"/>
        <w:rPr>
          <w:sz w:val="20"/>
          <w:szCs w:val="20"/>
          <w:color w:val="auto"/>
        </w:rPr>
      </w:pPr>
      <w:r>
        <w:rPr>
          <w:rFonts w:ascii="Arial" w:cs="Arial" w:eastAsia="Arial" w:hAnsi="Arial"/>
          <w:sz w:val="18"/>
          <w:szCs w:val="18"/>
          <w:i w:val="1"/>
          <w:iCs w:val="1"/>
          <w:color w:val="231F20"/>
        </w:rPr>
        <w:t>Surgical Procedures</w:t>
      </w:r>
    </w:p>
    <w:p>
      <w:pPr>
        <w:spacing w:after="0" w:line="117"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231F20"/>
        </w:rPr>
        <w:t>Surgical procedures to address hair loss continue to evolve and become more popular. The first of these therapies, hair plugs, was developed in the late 1950s. Due to the size of the transplanted hair follicle groups, or plugs, the transplants resulted in an unnatural look with the patient often having a “doll-hair” like appearance, the clumping or grouping of hair follicles in a visibly uniform pattern. Because of the poor aesthetic results of hair plugs, strip surgery, or FUT, follicular unit transplantation and FUE became increasingly more popular.</w:t>
      </w:r>
    </w:p>
    <w:p>
      <w:pPr>
        <w:spacing w:after="0" w:line="79" w:lineRule="exact"/>
        <w:rPr>
          <w:sz w:val="20"/>
          <w:szCs w:val="20"/>
          <w:color w:val="auto"/>
        </w:rPr>
      </w:pPr>
    </w:p>
    <w:p>
      <w:pPr>
        <w:ind w:right="140"/>
        <w:spacing w:after="0" w:line="259" w:lineRule="auto"/>
        <w:rPr>
          <w:sz w:val="20"/>
          <w:szCs w:val="20"/>
          <w:color w:val="auto"/>
        </w:rPr>
      </w:pPr>
      <w:r>
        <w:rPr>
          <w:rFonts w:ascii="Arial" w:cs="Arial" w:eastAsia="Arial" w:hAnsi="Arial"/>
          <w:sz w:val="18"/>
          <w:szCs w:val="18"/>
          <w:color w:val="231F20"/>
        </w:rPr>
        <w:t>FUE is significantly less invasive than strip surgery. In this procedure, the physician or technician removes individual hair follicles from the patient’s scalp without removing a strip of tissue. FUE can be performed with manual hand-held punches, automated hand-held devices or with the ARTAS System. Use of manual or automated hand-held devices requires significant time, and demands that complicated, repetitive and tedious tasks be performed by a trained technician (under the supervision of a physician) or physician. We have developed the</w:t>
      </w:r>
    </w:p>
    <w:p>
      <w:pPr>
        <w:spacing w:after="0" w:line="200" w:lineRule="exact"/>
        <w:rPr>
          <w:sz w:val="20"/>
          <w:szCs w:val="20"/>
          <w:color w:val="auto"/>
        </w:rPr>
      </w:pPr>
    </w:p>
    <w:p>
      <w:pPr>
        <w:spacing w:after="0" w:line="23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486" w:right="239" w:bottom="1440" w:gutter="0" w:footer="0" w:header="0"/>
        </w:sectPr>
      </w:pPr>
    </w:p>
    <w:bookmarkStart w:id="5" w:name="page6"/>
    <w:bookmarkEnd w:id="5"/>
    <w:p>
      <w:pPr>
        <w:spacing w:after="0"/>
        <w:rPr>
          <w:sz w:val="20"/>
          <w:szCs w:val="20"/>
          <w:color w:val="auto"/>
        </w:rPr>
      </w:pPr>
      <w:r>
        <w:rPr>
          <w:rFonts w:ascii="Arial" w:cs="Arial" w:eastAsia="Arial" w:hAnsi="Arial"/>
          <w:sz w:val="18"/>
          <w:szCs w:val="18"/>
          <w:color w:val="231F20"/>
        </w:rPr>
        <w:t>ARTAS System to provide robotic assistance for many of the tedious and repetitive tasks that are part of an FUE procedure.</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i w:val="1"/>
          <w:iCs w:val="1"/>
          <w:color w:val="231F20"/>
        </w:rPr>
        <w:t>Strip Surgery</w:t>
      </w:r>
    </w:p>
    <w:p>
      <w:pPr>
        <w:spacing w:after="0" w:line="117" w:lineRule="exact"/>
        <w:rPr>
          <w:sz w:val="20"/>
          <w:szCs w:val="20"/>
          <w:color w:val="auto"/>
        </w:rPr>
      </w:pPr>
    </w:p>
    <w:p>
      <w:pPr>
        <w:ind w:right="20"/>
        <w:spacing w:after="0" w:line="276" w:lineRule="auto"/>
        <w:rPr>
          <w:sz w:val="20"/>
          <w:szCs w:val="20"/>
          <w:color w:val="auto"/>
        </w:rPr>
      </w:pPr>
      <w:r>
        <w:rPr>
          <w:rFonts w:ascii="Arial" w:cs="Arial" w:eastAsia="Arial" w:hAnsi="Arial"/>
          <w:sz w:val="17"/>
          <w:szCs w:val="17"/>
          <w:color w:val="231F20"/>
        </w:rPr>
        <w:t>In an FUT procedure, or strip surgery, the physician uses a sharp scalpel to surgically remove a large strip of the patient’s scalp, approximately eight inches in length, and one-half inch in width and depth, from the donor area. The subsequent wound is sutured or stapled closed. Following the surgical removal of the strip of the scalp from the patient’s head, the follicular unit grafts, the natural groupings of hair follicles in the scalp, are removed from the strip of scalp by technicians using microscopes and scalpel blades. Following the removal of the individual hair follicles, technicians implant the individual hair follicles into hundreds to thousands of incisions in the patient’s scalp prepared by the physician.</w:t>
      </w:r>
    </w:p>
    <w:p>
      <w:pPr>
        <w:spacing w:after="0" w:line="64"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color w:val="231F20"/>
        </w:rPr>
        <w:t>Strip surgery results in a linear scar which may enlarge over time creating a poor aesthetic outcome in the donor area. As a result, strip surgery patients are generally unable to wear their hair short without revealing the scar. Furthermore, multiple strip surgeries can cause a significant stretching of the scalp which can exacerbate the appearance of this scar. There can also be complications from strip surgery, such as ongoing pain at the scar site, numbness, and potential nerve damage.</w:t>
      </w:r>
    </w:p>
    <w:p>
      <w:pPr>
        <w:spacing w:after="0" w:line="106" w:lineRule="exact"/>
        <w:rPr>
          <w:sz w:val="20"/>
          <w:szCs w:val="20"/>
          <w:color w:val="auto"/>
        </w:rPr>
      </w:pPr>
    </w:p>
    <w:p>
      <w:pPr>
        <w:spacing w:after="0"/>
        <w:rPr>
          <w:sz w:val="20"/>
          <w:szCs w:val="20"/>
          <w:color w:val="auto"/>
        </w:rPr>
      </w:pPr>
      <w:r>
        <w:rPr>
          <w:rFonts w:ascii="Arial" w:cs="Arial" w:eastAsia="Arial" w:hAnsi="Arial"/>
          <w:sz w:val="18"/>
          <w:szCs w:val="18"/>
          <w:i w:val="1"/>
          <w:iCs w:val="1"/>
          <w:color w:val="231F20"/>
        </w:rPr>
        <w:t>Follicular Unit Extraction Using Hand-Held Devices</w:t>
      </w:r>
    </w:p>
    <w:p>
      <w:pPr>
        <w:spacing w:after="0" w:line="117" w:lineRule="exact"/>
        <w:rPr>
          <w:sz w:val="20"/>
          <w:szCs w:val="20"/>
          <w:color w:val="auto"/>
        </w:rPr>
      </w:pPr>
    </w:p>
    <w:p>
      <w:pPr>
        <w:ind w:right="120"/>
        <w:spacing w:after="0" w:line="276" w:lineRule="auto"/>
        <w:rPr>
          <w:sz w:val="20"/>
          <w:szCs w:val="20"/>
          <w:color w:val="auto"/>
        </w:rPr>
      </w:pPr>
      <w:r>
        <w:rPr>
          <w:rFonts w:ascii="Arial" w:cs="Arial" w:eastAsia="Arial" w:hAnsi="Arial"/>
          <w:sz w:val="17"/>
          <w:szCs w:val="17"/>
          <w:color w:val="231F20"/>
        </w:rPr>
        <w:t>In part as a solution to the significant scarring and other drawbacks of strip surgery, the follicular unit extraction, or FUE, procedure was developed in the early 2000s. In an FUE procedure, rather than surgically removing a portion of the patient’s scalp, each hair graft is individually dissected from the scalp for transplantation. Because a strip of the patient’s scalp is not removed, a FUE procedure avoids a long linear scar and reduces the post-operative pain and numbness associated with strip surgery. Following the dissection of the individual hair follicles, the physician uses a hand-held device to remove the hair follicles. After harvesting, the individual hair follicles are implanted in the same way as in a strip surgery procedure.</w:t>
      </w:r>
    </w:p>
    <w:p>
      <w:pPr>
        <w:spacing w:after="0" w:line="105" w:lineRule="exact"/>
        <w:rPr>
          <w:sz w:val="20"/>
          <w:szCs w:val="20"/>
          <w:color w:val="auto"/>
        </w:rPr>
      </w:pPr>
    </w:p>
    <w:p>
      <w:pPr>
        <w:spacing w:after="0"/>
        <w:rPr>
          <w:sz w:val="20"/>
          <w:szCs w:val="20"/>
          <w:color w:val="auto"/>
        </w:rPr>
      </w:pPr>
      <w:r>
        <w:rPr>
          <w:rFonts w:ascii="Arial" w:cs="Arial" w:eastAsia="Arial" w:hAnsi="Arial"/>
          <w:sz w:val="18"/>
          <w:szCs w:val="18"/>
          <w:i w:val="1"/>
          <w:iCs w:val="1"/>
          <w:color w:val="231F20"/>
        </w:rPr>
        <w:t>Drawbacks of Strip Surgery and FUE Surgery Using Hand-Held Devices</w:t>
      </w:r>
    </w:p>
    <w:p>
      <w:pPr>
        <w:spacing w:after="0" w:line="117" w:lineRule="exact"/>
        <w:rPr>
          <w:sz w:val="20"/>
          <w:szCs w:val="20"/>
          <w:color w:val="auto"/>
        </w:rPr>
      </w:pPr>
    </w:p>
    <w:p>
      <w:pPr>
        <w:ind w:right="160"/>
        <w:spacing w:after="0" w:line="277" w:lineRule="auto"/>
        <w:rPr>
          <w:sz w:val="20"/>
          <w:szCs w:val="20"/>
          <w:color w:val="auto"/>
        </w:rPr>
      </w:pPr>
      <w:r>
        <w:rPr>
          <w:rFonts w:ascii="Arial" w:cs="Arial" w:eastAsia="Arial" w:hAnsi="Arial"/>
          <w:sz w:val="18"/>
          <w:szCs w:val="18"/>
          <w:color w:val="231F20"/>
        </w:rPr>
        <w:t>While strip surgery and FUE surgery using a hand-held device, or manual FUE, can provide significant, long-term results in restoring hair, there are several limitations associated with these procedures.</w:t>
      </w:r>
    </w:p>
    <w:p>
      <w:pPr>
        <w:spacing w:after="0" w:line="62" w:lineRule="exact"/>
        <w:rPr>
          <w:sz w:val="20"/>
          <w:szCs w:val="20"/>
          <w:color w:val="auto"/>
        </w:rPr>
      </w:pPr>
    </w:p>
    <w:p>
      <w:pPr>
        <w:ind w:left="1100" w:hanging="363"/>
        <w:spacing w:after="0" w:line="279" w:lineRule="auto"/>
        <w:tabs>
          <w:tab w:leader="none" w:pos="1100" w:val="left"/>
        </w:tabs>
        <w:numPr>
          <w:ilvl w:val="0"/>
          <w:numId w:val="5"/>
        </w:numPr>
        <w:rPr>
          <w:rFonts w:ascii="Arial" w:cs="Arial" w:eastAsia="Arial" w:hAnsi="Arial"/>
          <w:sz w:val="17"/>
          <w:szCs w:val="17"/>
          <w:color w:val="auto"/>
        </w:rPr>
      </w:pPr>
      <w:r>
        <w:rPr>
          <w:rFonts w:ascii="Arial" w:cs="Arial" w:eastAsia="Arial" w:hAnsi="Arial"/>
          <w:sz w:val="17"/>
          <w:szCs w:val="17"/>
          <w:i w:val="1"/>
          <w:iCs w:val="1"/>
          <w:color w:val="auto"/>
        </w:rPr>
        <w:t xml:space="preserve">Technician training. </w:t>
      </w:r>
      <w:r>
        <w:rPr>
          <w:rFonts w:ascii="Arial" w:cs="Arial" w:eastAsia="Arial" w:hAnsi="Arial"/>
          <w:sz w:val="17"/>
          <w:szCs w:val="17"/>
          <w:color w:val="auto"/>
        </w:rPr>
        <w:t>Strip surgery and manual FUE procedures require dexterity, demanding hand-eye coordination, and attention to detail by</w:t>
      </w:r>
      <w:r>
        <w:rPr>
          <w:rFonts w:ascii="Arial" w:cs="Arial" w:eastAsia="Arial" w:hAnsi="Arial"/>
          <w:sz w:val="17"/>
          <w:szCs w:val="17"/>
          <w:i w:val="1"/>
          <w:iCs w:val="1"/>
          <w:color w:val="auto"/>
        </w:rPr>
        <w:t xml:space="preserve"> </w:t>
      </w:r>
      <w:r>
        <w:rPr>
          <w:rFonts w:ascii="Arial" w:cs="Arial" w:eastAsia="Arial" w:hAnsi="Arial"/>
          <w:sz w:val="17"/>
          <w:szCs w:val="17"/>
          <w:color w:val="auto"/>
        </w:rPr>
        <w:t>all members of the transplant team. Technicians must handle the delicate grafts carefully and place them into site incisions during implantation without damaging the grafts. For strip surgeries in particular, a technician must undergo significant training to dissect grafts under a microscope and it can take a significant period of time for a technician to become proficient.</w:t>
      </w:r>
    </w:p>
    <w:p>
      <w:pPr>
        <w:spacing w:after="0" w:line="63" w:lineRule="exact"/>
        <w:rPr>
          <w:rFonts w:ascii="Arial" w:cs="Arial" w:eastAsia="Arial" w:hAnsi="Arial"/>
          <w:sz w:val="17"/>
          <w:szCs w:val="17"/>
          <w:color w:val="auto"/>
        </w:rPr>
      </w:pPr>
    </w:p>
    <w:p>
      <w:pPr>
        <w:ind w:left="1100" w:right="340" w:hanging="363"/>
        <w:spacing w:after="0" w:line="264" w:lineRule="auto"/>
        <w:tabs>
          <w:tab w:leader="none" w:pos="1100" w:val="left"/>
        </w:tabs>
        <w:numPr>
          <w:ilvl w:val="0"/>
          <w:numId w:val="5"/>
        </w:numPr>
        <w:rPr>
          <w:rFonts w:ascii="Arial" w:cs="Arial" w:eastAsia="Arial" w:hAnsi="Arial"/>
          <w:sz w:val="18"/>
          <w:szCs w:val="18"/>
          <w:color w:val="auto"/>
        </w:rPr>
      </w:pPr>
      <w:r>
        <w:rPr>
          <w:rFonts w:ascii="Arial" w:cs="Arial" w:eastAsia="Arial" w:hAnsi="Arial"/>
          <w:sz w:val="18"/>
          <w:szCs w:val="18"/>
          <w:i w:val="1"/>
          <w:iCs w:val="1"/>
          <w:color w:val="231F20"/>
        </w:rPr>
        <w:t xml:space="preserve">Labor intensive. </w:t>
      </w:r>
      <w:r>
        <w:rPr>
          <w:rFonts w:ascii="Arial" w:cs="Arial" w:eastAsia="Arial" w:hAnsi="Arial"/>
          <w:sz w:val="18"/>
          <w:szCs w:val="18"/>
          <w:color w:val="000000"/>
        </w:rPr>
        <w:t>Both strip surgery and manual FUE procedures require a large team of technicians to perform the procedure, generally</w:t>
      </w:r>
      <w:r>
        <w:rPr>
          <w:rFonts w:ascii="Arial" w:cs="Arial" w:eastAsia="Arial" w:hAnsi="Arial"/>
          <w:sz w:val="18"/>
          <w:szCs w:val="18"/>
          <w:i w:val="1"/>
          <w:iCs w:val="1"/>
          <w:color w:val="231F20"/>
        </w:rPr>
        <w:t xml:space="preserve"> </w:t>
      </w:r>
      <w:r>
        <w:rPr>
          <w:rFonts w:ascii="Arial" w:cs="Arial" w:eastAsia="Arial" w:hAnsi="Arial"/>
          <w:sz w:val="18"/>
          <w:szCs w:val="18"/>
          <w:color w:val="000000"/>
        </w:rPr>
        <w:t>requiring between four and eight technicians. The labor intensiveness and time consuming nature of these techniques limits the number of procedures physicians are able to perform.</w:t>
      </w:r>
    </w:p>
    <w:p>
      <w:pPr>
        <w:spacing w:after="0" w:line="73" w:lineRule="exact"/>
        <w:rPr>
          <w:rFonts w:ascii="Arial" w:cs="Arial" w:eastAsia="Arial" w:hAnsi="Arial"/>
          <w:sz w:val="18"/>
          <w:szCs w:val="18"/>
          <w:color w:val="auto"/>
        </w:rPr>
      </w:pPr>
    </w:p>
    <w:p>
      <w:pPr>
        <w:ind w:left="1100" w:hanging="363"/>
        <w:spacing w:after="0" w:line="271" w:lineRule="auto"/>
        <w:tabs>
          <w:tab w:leader="none" w:pos="1100" w:val="left"/>
        </w:tabs>
        <w:numPr>
          <w:ilvl w:val="0"/>
          <w:numId w:val="5"/>
        </w:numPr>
        <w:rPr>
          <w:rFonts w:ascii="Arial" w:cs="Arial" w:eastAsia="Arial" w:hAnsi="Arial"/>
          <w:sz w:val="17"/>
          <w:szCs w:val="17"/>
          <w:color w:val="auto"/>
        </w:rPr>
      </w:pPr>
      <w:r>
        <w:rPr>
          <w:rFonts w:ascii="Arial" w:cs="Arial" w:eastAsia="Arial" w:hAnsi="Arial"/>
          <w:sz w:val="17"/>
          <w:szCs w:val="17"/>
          <w:i w:val="1"/>
          <w:iCs w:val="1"/>
          <w:color w:val="231F20"/>
        </w:rPr>
        <w:t xml:space="preserve">Long learning curve. </w:t>
      </w:r>
      <w:r>
        <w:rPr>
          <w:rFonts w:ascii="Arial" w:cs="Arial" w:eastAsia="Arial" w:hAnsi="Arial"/>
          <w:sz w:val="17"/>
          <w:szCs w:val="17"/>
          <w:color w:val="000000"/>
        </w:rPr>
        <w:t>Both strip surgery and manual FUE procedures require a major investment of time on the part of physicians and</w:t>
      </w:r>
      <w:r>
        <w:rPr>
          <w:rFonts w:ascii="Arial" w:cs="Arial" w:eastAsia="Arial" w:hAnsi="Arial"/>
          <w:sz w:val="17"/>
          <w:szCs w:val="17"/>
          <w:i w:val="1"/>
          <w:iCs w:val="1"/>
          <w:color w:val="231F20"/>
        </w:rPr>
        <w:t xml:space="preserve"> </w:t>
      </w:r>
      <w:r>
        <w:rPr>
          <w:rFonts w:ascii="Arial" w:cs="Arial" w:eastAsia="Arial" w:hAnsi="Arial"/>
          <w:sz w:val="17"/>
          <w:szCs w:val="17"/>
          <w:color w:val="000000"/>
        </w:rPr>
        <w:t xml:space="preserve">technicians to learn the technique. A physician must commit a substantial amount of time to learn the manual FUE harvesting technique and they often report that the technique is technically and </w:t>
      </w:r>
      <w:r>
        <w:rPr>
          <w:rFonts w:ascii="Arial" w:cs="Arial" w:eastAsia="Arial" w:hAnsi="Arial"/>
          <w:sz w:val="17"/>
          <w:szCs w:val="17"/>
          <w:i w:val="1"/>
          <w:iCs w:val="1"/>
          <w:color w:val="231F20"/>
        </w:rPr>
        <w:t>ergonomically</w:t>
      </w:r>
      <w:r>
        <w:rPr>
          <w:rFonts w:ascii="Arial" w:cs="Arial" w:eastAsia="Arial" w:hAnsi="Arial"/>
          <w:sz w:val="17"/>
          <w:szCs w:val="17"/>
          <w:color w:val="000000"/>
        </w:rPr>
        <w:t xml:space="preserve"> challenging. Initially, a physician may only be able to harvest a limited number of grafts per hour, which may ultimately affect the size of the hair transplant procedure the physician is able to perform. In addition, the follicles harvested by a physician using the FUE technique may not be of a high quality. Even physicians and technicians who are highly experienced may have results with high transection rates while performing a manual FUE procedure. For strip surgeries, there is a significant time investment made to train each technician to dissect grafts under a microscope, handle the delicate grafts with instrumentation and to place the grafts into the site incisions during implantation.</w:t>
      </w:r>
    </w:p>
    <w:p>
      <w:pPr>
        <w:spacing w:after="0" w:line="70" w:lineRule="exact"/>
        <w:rPr>
          <w:rFonts w:ascii="Arial" w:cs="Arial" w:eastAsia="Arial" w:hAnsi="Arial"/>
          <w:sz w:val="17"/>
          <w:szCs w:val="17"/>
          <w:color w:val="auto"/>
        </w:rPr>
      </w:pPr>
    </w:p>
    <w:p>
      <w:pPr>
        <w:ind w:left="1100" w:right="40" w:hanging="363"/>
        <w:spacing w:after="0" w:line="312" w:lineRule="auto"/>
        <w:tabs>
          <w:tab w:leader="none" w:pos="1100" w:val="left"/>
        </w:tabs>
        <w:numPr>
          <w:ilvl w:val="0"/>
          <w:numId w:val="5"/>
        </w:numPr>
        <w:rPr>
          <w:rFonts w:ascii="Arial" w:cs="Arial" w:eastAsia="Arial" w:hAnsi="Arial"/>
          <w:sz w:val="16"/>
          <w:szCs w:val="16"/>
          <w:color w:val="auto"/>
        </w:rPr>
      </w:pPr>
      <w:r>
        <w:rPr>
          <w:rFonts w:ascii="Arial" w:cs="Arial" w:eastAsia="Arial" w:hAnsi="Arial"/>
          <w:sz w:val="16"/>
          <w:szCs w:val="16"/>
          <w:i w:val="1"/>
          <w:iCs w:val="1"/>
          <w:color w:val="231F20"/>
        </w:rPr>
        <w:t xml:space="preserve">Surgical planning and recipient site making. </w:t>
      </w:r>
      <w:r>
        <w:rPr>
          <w:rFonts w:ascii="Arial" w:cs="Arial" w:eastAsia="Arial" w:hAnsi="Arial"/>
          <w:sz w:val="16"/>
          <w:szCs w:val="16"/>
          <w:color w:val="231F20"/>
        </w:rPr>
        <w:t>In making the recipient sites into which hair follicles are transplanted, the ability of the physician</w:t>
      </w:r>
      <w:r>
        <w:rPr>
          <w:rFonts w:ascii="Arial" w:cs="Arial" w:eastAsia="Arial" w:hAnsi="Arial"/>
          <w:sz w:val="16"/>
          <w:szCs w:val="16"/>
          <w:i w:val="1"/>
          <w:iCs w:val="1"/>
          <w:color w:val="231F20"/>
        </w:rPr>
        <w:t xml:space="preserve"> </w:t>
      </w:r>
      <w:r>
        <w:rPr>
          <w:rFonts w:ascii="Arial" w:cs="Arial" w:eastAsia="Arial" w:hAnsi="Arial"/>
          <w:sz w:val="16"/>
          <w:szCs w:val="16"/>
          <w:color w:val="231F20"/>
        </w:rPr>
        <w:t>and the technician to visualize and avoid injuring existing hair is limited to what they can achieve with magnified lenses. As a result, this limited visualization may compromise the aesthetic outcome. Additionally, manual site making can present additional issues and</w:t>
      </w:r>
    </w:p>
    <w:p>
      <w:pPr>
        <w:spacing w:after="0" w:line="39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380"/>
          </w:cols>
          <w:pgMar w:left="240" w:top="449" w:right="279" w:bottom="1440" w:gutter="0" w:footer="0" w:header="0"/>
        </w:sectPr>
      </w:pPr>
    </w:p>
    <w:bookmarkStart w:id="6" w:name="page7"/>
    <w:bookmarkEnd w:id="6"/>
    <w:p>
      <w:pPr>
        <w:ind w:left="1100" w:right="240"/>
        <w:spacing w:after="0" w:line="342" w:lineRule="auto"/>
        <w:rPr>
          <w:sz w:val="20"/>
          <w:szCs w:val="20"/>
          <w:color w:val="auto"/>
        </w:rPr>
      </w:pPr>
      <w:r>
        <w:rPr>
          <w:rFonts w:ascii="Arial" w:cs="Arial" w:eastAsia="Arial" w:hAnsi="Arial"/>
          <w:sz w:val="16"/>
          <w:szCs w:val="16"/>
          <w:color w:val="231F20"/>
        </w:rPr>
        <w:t>complications, including cutting into and damaging existing healthy hair, difficulty in matching existing hair angles, successfully creating a random distribution pattern for implantation in order to create a more natural look, and creating sites with a consistent and optimal depth.</w:t>
      </w:r>
    </w:p>
    <w:p>
      <w:pPr>
        <w:spacing w:after="0" w:line="16" w:lineRule="exact"/>
        <w:rPr>
          <w:sz w:val="20"/>
          <w:szCs w:val="20"/>
          <w:color w:val="auto"/>
        </w:rPr>
      </w:pPr>
    </w:p>
    <w:p>
      <w:pPr>
        <w:ind w:left="1100" w:right="180" w:hanging="363"/>
        <w:spacing w:after="0" w:line="312" w:lineRule="auto"/>
        <w:tabs>
          <w:tab w:leader="none" w:pos="1100" w:val="left"/>
        </w:tabs>
        <w:numPr>
          <w:ilvl w:val="0"/>
          <w:numId w:val="6"/>
        </w:numPr>
        <w:rPr>
          <w:rFonts w:ascii="Arial" w:cs="Arial" w:eastAsia="Arial" w:hAnsi="Arial"/>
          <w:sz w:val="16"/>
          <w:szCs w:val="16"/>
          <w:color w:val="auto"/>
        </w:rPr>
      </w:pPr>
      <w:r>
        <w:rPr>
          <w:rFonts w:ascii="Arial" w:cs="Arial" w:eastAsia="Arial" w:hAnsi="Arial"/>
          <w:sz w:val="16"/>
          <w:szCs w:val="16"/>
          <w:i w:val="1"/>
          <w:iCs w:val="1"/>
          <w:color w:val="231F20"/>
        </w:rPr>
        <w:t xml:space="preserve">Lack of high quality visualization tools for the patient. </w:t>
      </w:r>
      <w:r>
        <w:rPr>
          <w:rFonts w:ascii="Arial" w:cs="Arial" w:eastAsia="Arial" w:hAnsi="Arial"/>
          <w:sz w:val="16"/>
          <w:szCs w:val="16"/>
          <w:color w:val="231F20"/>
        </w:rPr>
        <w:t>Generally, hair restoration physicians utilize before and after pictures of previous</w:t>
      </w:r>
      <w:r>
        <w:rPr>
          <w:rFonts w:ascii="Arial" w:cs="Arial" w:eastAsia="Arial" w:hAnsi="Arial"/>
          <w:sz w:val="16"/>
          <w:szCs w:val="16"/>
          <w:i w:val="1"/>
          <w:iCs w:val="1"/>
          <w:color w:val="231F20"/>
        </w:rPr>
        <w:t xml:space="preserve"> </w:t>
      </w:r>
      <w:r>
        <w:rPr>
          <w:rFonts w:ascii="Arial" w:cs="Arial" w:eastAsia="Arial" w:hAnsi="Arial"/>
          <w:sz w:val="16"/>
          <w:szCs w:val="16"/>
          <w:color w:val="231F20"/>
        </w:rPr>
        <w:t>patients and grease pens to delineate the transplant area. These are typically the only available tools to assist the patient in understanding the aesthetic effect of the procedure and do not provide information to visualize the expected outcome illustrated on the actual patient.</w:t>
      </w:r>
    </w:p>
    <w:p>
      <w:pPr>
        <w:spacing w:after="0" w:line="38" w:lineRule="exact"/>
        <w:rPr>
          <w:rFonts w:ascii="Arial" w:cs="Arial" w:eastAsia="Arial" w:hAnsi="Arial"/>
          <w:sz w:val="16"/>
          <w:szCs w:val="16"/>
          <w:color w:val="auto"/>
        </w:rPr>
      </w:pPr>
    </w:p>
    <w:p>
      <w:pPr>
        <w:ind w:left="1100" w:hanging="363"/>
        <w:spacing w:after="0" w:line="293" w:lineRule="auto"/>
        <w:tabs>
          <w:tab w:leader="none" w:pos="1100" w:val="left"/>
        </w:tabs>
        <w:numPr>
          <w:ilvl w:val="0"/>
          <w:numId w:val="6"/>
        </w:numPr>
        <w:rPr>
          <w:rFonts w:ascii="Arial" w:cs="Arial" w:eastAsia="Arial" w:hAnsi="Arial"/>
          <w:sz w:val="16"/>
          <w:szCs w:val="16"/>
          <w:color w:val="auto"/>
        </w:rPr>
      </w:pPr>
      <w:r>
        <w:rPr>
          <w:rFonts w:ascii="Arial" w:cs="Arial" w:eastAsia="Arial" w:hAnsi="Arial"/>
          <w:sz w:val="16"/>
          <w:szCs w:val="16"/>
          <w:i w:val="1"/>
          <w:iCs w:val="1"/>
          <w:color w:val="231F20"/>
        </w:rPr>
        <w:t>Inconsistency in performance</w:t>
      </w:r>
      <w:r>
        <w:rPr>
          <w:rFonts w:ascii="Arial" w:cs="Arial" w:eastAsia="Arial" w:hAnsi="Arial"/>
          <w:sz w:val="16"/>
          <w:szCs w:val="16"/>
          <w:i w:val="1"/>
          <w:iCs w:val="1"/>
          <w:color w:val="000000"/>
        </w:rPr>
        <w:t>.</w:t>
      </w:r>
      <w:r>
        <w:rPr>
          <w:rFonts w:ascii="Arial" w:cs="Arial" w:eastAsia="Arial" w:hAnsi="Arial"/>
          <w:sz w:val="16"/>
          <w:szCs w:val="16"/>
          <w:i w:val="1"/>
          <w:iCs w:val="1"/>
          <w:color w:val="231F20"/>
        </w:rPr>
        <w:t xml:space="preserve"> </w:t>
      </w:r>
      <w:r>
        <w:rPr>
          <w:rFonts w:ascii="Arial" w:cs="Arial" w:eastAsia="Arial" w:hAnsi="Arial"/>
          <w:sz w:val="16"/>
          <w:szCs w:val="16"/>
          <w:color w:val="231F20"/>
        </w:rPr>
        <w:t>Both strip surgery and manual FUE procedures require either physicians or technicians to perform the repetitive</w:t>
      </w:r>
      <w:r>
        <w:rPr>
          <w:rFonts w:ascii="Arial" w:cs="Arial" w:eastAsia="Arial" w:hAnsi="Arial"/>
          <w:sz w:val="16"/>
          <w:szCs w:val="16"/>
          <w:i w:val="1"/>
          <w:iCs w:val="1"/>
          <w:color w:val="231F20"/>
        </w:rPr>
        <w:t xml:space="preserve"> </w:t>
      </w:r>
      <w:r>
        <w:rPr>
          <w:rFonts w:ascii="Arial" w:cs="Arial" w:eastAsia="Arial" w:hAnsi="Arial"/>
          <w:sz w:val="16"/>
          <w:szCs w:val="16"/>
          <w:color w:val="231F20"/>
        </w:rPr>
        <w:t>and tedious tasks of dissecting grafts over a long period of time. In a strip surgery, the technicians are required to dissect the individual follicles from the harvested strip of the patient’s scalp, whereas in a manual FUE procedure the physician and technicians are required to harvest each individual follicle directly from the patient’s scalp. As a result of this lengthy and tedious process, the physician or technician may begin to fatigue and his or her ability to maintain the concentration necessary to consistently extract high-quality grafts without causing follicle damage may diminish. In addition, graft dissection productivity may decline during the long procedure due to fatigue.</w:t>
      </w:r>
    </w:p>
    <w:p>
      <w:pPr>
        <w:spacing w:after="0" w:line="93" w:lineRule="exact"/>
        <w:rPr>
          <w:sz w:val="20"/>
          <w:szCs w:val="20"/>
          <w:color w:val="auto"/>
        </w:rPr>
      </w:pPr>
    </w:p>
    <w:p>
      <w:pPr>
        <w:spacing w:after="0"/>
        <w:rPr>
          <w:sz w:val="20"/>
          <w:szCs w:val="20"/>
          <w:color w:val="auto"/>
        </w:rPr>
      </w:pPr>
      <w:r>
        <w:rPr>
          <w:rFonts w:ascii="Arial" w:cs="Arial" w:eastAsia="Arial" w:hAnsi="Arial"/>
          <w:sz w:val="18"/>
          <w:szCs w:val="18"/>
          <w:b w:val="1"/>
          <w:bCs w:val="1"/>
          <w:color w:val="231F20"/>
        </w:rPr>
        <w:t>The ARTAS Solution</w:t>
      </w:r>
    </w:p>
    <w:p>
      <w:pPr>
        <w:spacing w:after="0" w:line="121" w:lineRule="exact"/>
        <w:rPr>
          <w:sz w:val="20"/>
          <w:szCs w:val="20"/>
          <w:color w:val="auto"/>
        </w:rPr>
      </w:pPr>
    </w:p>
    <w:p>
      <w:pPr>
        <w:ind w:right="40"/>
        <w:spacing w:after="0" w:line="269" w:lineRule="auto"/>
        <w:rPr>
          <w:sz w:val="20"/>
          <w:szCs w:val="20"/>
          <w:color w:val="auto"/>
        </w:rPr>
      </w:pPr>
      <w:r>
        <w:rPr>
          <w:rFonts w:ascii="Arial" w:cs="Arial" w:eastAsia="Arial" w:hAnsi="Arial"/>
          <w:sz w:val="17"/>
          <w:szCs w:val="17"/>
          <w:color w:val="231F20"/>
        </w:rPr>
        <w:t>We believe the ARTAS System addresses many of the shortcomings of other hair restoration procedures. The ARTAS System is capable of robotically assisting a physician through many of the most challenging steps of the hair restoration process, including the dissection of hair follicles, site planning and recipient site making. We believe, with this assistance, the ARTAS System can help shorten the often long learning curve for both physicians and technicians to become proficient in performing hair restoration procedures. In addition, we believe that by assisting the physician and technicians with many of the repetitive and tedious tasks associated with the hair restoration procedure, the ARTAS System can make hair restoration procedures less labor intensive and can reduce inconsistent results. Further, we believe the ARTAS System’s Site Making functionality, which includes an enhanced imaging system and sophisticated algorithms, helps physicians avoid damaging existing follicles and enables them to create a more natural, aesthetically pleasing outcome for the patient. In addition, we have a robotic implantation functionality that is currently in clinical development which, if cleared for marketing, will enable the ARTAS System to implant harvested hair follicles. We recently submitted a 510(K) application for the implantation functionality in 2018. Our platform includes the ARTAS Hair Studio application which can simulate pre-procedure and post-procedure outcomes and can be utilized during the patient consultation and education process.</w:t>
      </w:r>
    </w:p>
    <w:p>
      <w:pPr>
        <w:spacing w:after="0" w:line="75" w:lineRule="exact"/>
        <w:rPr>
          <w:sz w:val="20"/>
          <w:szCs w:val="20"/>
          <w:color w:val="auto"/>
        </w:rPr>
      </w:pPr>
    </w:p>
    <w:p>
      <w:pPr>
        <w:ind w:right="80"/>
        <w:spacing w:after="0" w:line="255" w:lineRule="auto"/>
        <w:rPr>
          <w:sz w:val="20"/>
          <w:szCs w:val="20"/>
          <w:color w:val="auto"/>
        </w:rPr>
      </w:pPr>
      <w:r>
        <w:rPr>
          <w:rFonts w:ascii="Arial" w:cs="Arial" w:eastAsia="Arial" w:hAnsi="Arial"/>
          <w:sz w:val="18"/>
          <w:szCs w:val="18"/>
          <w:color w:val="231F20"/>
        </w:rPr>
        <w:t>The ARTAS procedure provides patients with a minimally invasive, less painful alternative to strip surgery. The ARTAS System has a faster recovery time and avoids the long linear scar at the back of the patient’s head. The ARTAS Hair Studio application allows patients to visualize the expected post-procedure outcome through a three-dimensional model. We believe this patient-physician interaction can provide patients more confidence and make the patient more comfortable in undergoing the procedure. Due to these advantages, we believe the ARTAS System and the ARTAS Hair Studio application are appealing to potential patients considering a hair transplant or those that are using less effective treatments, such as prescription therapeutics or other non-surgical products.</w:t>
      </w:r>
    </w:p>
    <w:p>
      <w:pPr>
        <w:spacing w:after="0" w:line="85" w:lineRule="exact"/>
        <w:rPr>
          <w:sz w:val="20"/>
          <w:szCs w:val="20"/>
          <w:color w:val="auto"/>
        </w:rPr>
      </w:pPr>
    </w:p>
    <w:p>
      <w:pPr>
        <w:ind w:right="80"/>
        <w:spacing w:after="0" w:line="273" w:lineRule="auto"/>
        <w:rPr>
          <w:sz w:val="20"/>
          <w:szCs w:val="20"/>
          <w:color w:val="auto"/>
        </w:rPr>
      </w:pPr>
      <w:r>
        <w:rPr>
          <w:rFonts w:ascii="Arial" w:cs="Arial" w:eastAsia="Arial" w:hAnsi="Arial"/>
          <w:sz w:val="17"/>
          <w:szCs w:val="17"/>
          <w:color w:val="231F20"/>
        </w:rPr>
        <w:t>In addition to the advantages afforded to patients, we believe the ARTAS System and the ARTAS Hair Studio application provide compelling benefits for physicians. The ARTAS System’s image-guided robotic capabilities allow physicians to perform procedures with fewer staff than what might be required for a traditional strip surgery or a FUE procedure using hand-held devices. With the robotic assistance provided by the ARTAS System, we believe physicians and technicians will be able to perform the complicated, repetitive and tedious task of dissecting hair grafts with less fatigue and greater productivity than would be possible in a manual FUE procedure. In addition, we believe the ARTAS System, through its ergonomic and easy-to-use platform, in tandem with the high quality training we provide, can significantly shorten the learning curve for physicians and technicians.</w:t>
      </w:r>
    </w:p>
    <w:p>
      <w:pPr>
        <w:spacing w:after="0" w:line="70" w:lineRule="exact"/>
        <w:rPr>
          <w:sz w:val="20"/>
          <w:szCs w:val="20"/>
          <w:color w:val="auto"/>
        </w:rPr>
      </w:pPr>
    </w:p>
    <w:p>
      <w:pPr>
        <w:ind w:right="60"/>
        <w:spacing w:after="0" w:line="257" w:lineRule="auto"/>
        <w:rPr>
          <w:sz w:val="20"/>
          <w:szCs w:val="20"/>
          <w:color w:val="auto"/>
        </w:rPr>
      </w:pPr>
      <w:r>
        <w:rPr>
          <w:rFonts w:ascii="Arial" w:cs="Arial" w:eastAsia="Arial" w:hAnsi="Arial"/>
          <w:sz w:val="18"/>
          <w:szCs w:val="18"/>
          <w:color w:val="231F20"/>
        </w:rPr>
        <w:t>We strategically market the ARTAS System to hair restoration surgeons, dermatologists, plastic surgeons and aesthetic physicians. We believe we are able to reach our target physician customers effectively through focused marketing efforts. These efforts include participation in trade shows, scientific meetings, educational symposiums, webinars, online advertising and other activities. For physicians who purchase the ARTAS System, we provide comprehensive clinical training, practice-based marketing support, as well as patient leads. For example, we believe we help our physician customers increase the number of procedures performed by assigning a practice success</w:t>
      </w:r>
    </w:p>
    <w:p>
      <w:pPr>
        <w:spacing w:after="0" w:line="200" w:lineRule="exact"/>
        <w:rPr>
          <w:sz w:val="20"/>
          <w:szCs w:val="20"/>
          <w:color w:val="auto"/>
        </w:rPr>
      </w:pPr>
    </w:p>
    <w:p>
      <w:pPr>
        <w:spacing w:after="0" w:line="23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380"/>
          </w:cols>
          <w:pgMar w:left="240" w:top="449" w:right="279" w:bottom="1440" w:gutter="0" w:footer="0" w:header="0"/>
        </w:sectPr>
      </w:pPr>
    </w:p>
    <w:bookmarkStart w:id="7" w:name="page8"/>
    <w:bookmarkEnd w:id="7"/>
    <w:p>
      <w:pPr>
        <w:spacing w:after="0" w:line="277" w:lineRule="auto"/>
        <w:rPr>
          <w:sz w:val="20"/>
          <w:szCs w:val="20"/>
          <w:color w:val="auto"/>
        </w:rPr>
      </w:pPr>
      <w:r>
        <w:rPr>
          <w:rFonts w:ascii="Arial" w:cs="Arial" w:eastAsia="Arial" w:hAnsi="Arial"/>
          <w:sz w:val="18"/>
          <w:szCs w:val="18"/>
          <w:color w:val="231F20"/>
        </w:rPr>
        <w:t>manager, or PSM, to provide assistance in building the physician-customer’s hair restoration practice. Support from a PSM includes the deployment of patient marketing materials, assisting with social media and digital marketing strategies, and other marketing and sales support.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1240155</wp:posOffset>
            </wp:positionH>
            <wp:positionV relativeFrom="paragraph">
              <wp:posOffset>48895</wp:posOffset>
            </wp:positionV>
            <wp:extent cx="4776470" cy="272732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4776470" cy="27273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231F20"/>
        </w:rPr>
        <w:t>Advantages of the ARTAS Procedure</w:t>
      </w:r>
    </w:p>
    <w:p>
      <w:pPr>
        <w:spacing w:after="0" w:line="117" w:lineRule="exact"/>
        <w:rPr>
          <w:sz w:val="20"/>
          <w:szCs w:val="20"/>
          <w:color w:val="auto"/>
        </w:rPr>
      </w:pPr>
    </w:p>
    <w:p>
      <w:pPr>
        <w:ind w:right="480"/>
        <w:spacing w:after="0" w:line="277" w:lineRule="auto"/>
        <w:rPr>
          <w:sz w:val="20"/>
          <w:szCs w:val="20"/>
          <w:color w:val="auto"/>
        </w:rPr>
      </w:pPr>
      <w:r>
        <w:rPr>
          <w:rFonts w:ascii="Arial" w:cs="Arial" w:eastAsia="Arial" w:hAnsi="Arial"/>
          <w:sz w:val="18"/>
          <w:szCs w:val="18"/>
          <w:i w:val="1"/>
          <w:iCs w:val="1"/>
          <w:color w:val="231F20"/>
        </w:rPr>
        <w:t>Patient Value</w:t>
      </w:r>
      <w:r>
        <w:rPr>
          <w:rFonts w:ascii="Arial" w:cs="Arial" w:eastAsia="Arial" w:hAnsi="Arial"/>
          <w:sz w:val="18"/>
          <w:szCs w:val="18"/>
          <w:color w:val="231F20"/>
        </w:rPr>
        <w:t>. We believe the ARTAS System and the ARTAS Hair Studio application significantly improve the patient experience and outcome in hair</w:t>
      </w:r>
      <w:r>
        <w:rPr>
          <w:rFonts w:ascii="Arial" w:cs="Arial" w:eastAsia="Arial" w:hAnsi="Arial"/>
          <w:sz w:val="18"/>
          <w:szCs w:val="18"/>
          <w:i w:val="1"/>
          <w:iCs w:val="1"/>
          <w:color w:val="231F20"/>
        </w:rPr>
        <w:t xml:space="preserve"> </w:t>
      </w:r>
      <w:r>
        <w:rPr>
          <w:rFonts w:ascii="Arial" w:cs="Arial" w:eastAsia="Arial" w:hAnsi="Arial"/>
          <w:sz w:val="18"/>
          <w:szCs w:val="18"/>
          <w:color w:val="231F20"/>
        </w:rPr>
        <w:t>transplantation procedures in the following ways:</w:t>
      </w:r>
    </w:p>
    <w:p>
      <w:pPr>
        <w:spacing w:after="0" w:line="62" w:lineRule="exact"/>
        <w:rPr>
          <w:sz w:val="20"/>
          <w:szCs w:val="20"/>
          <w:color w:val="auto"/>
        </w:rPr>
      </w:pPr>
    </w:p>
    <w:p>
      <w:pPr>
        <w:ind w:left="1100" w:hanging="363"/>
        <w:spacing w:after="0" w:line="259" w:lineRule="auto"/>
        <w:tabs>
          <w:tab w:leader="none" w:pos="1100" w:val="left"/>
        </w:tabs>
        <w:numPr>
          <w:ilvl w:val="0"/>
          <w:numId w:val="7"/>
        </w:numPr>
        <w:rPr>
          <w:rFonts w:ascii="Arial" w:cs="Arial" w:eastAsia="Arial" w:hAnsi="Arial"/>
          <w:sz w:val="18"/>
          <w:szCs w:val="18"/>
          <w:color w:val="231F20"/>
        </w:rPr>
      </w:pPr>
      <w:r>
        <w:rPr>
          <w:rFonts w:ascii="Arial" w:cs="Arial" w:eastAsia="Arial" w:hAnsi="Arial"/>
          <w:sz w:val="18"/>
          <w:szCs w:val="18"/>
          <w:color w:val="231F20"/>
        </w:rPr>
        <w:t>Through the ARTAS System, the dissection of grafts is performed in a manner that leaves only small pinpoint scars that heal faster and are less detectable than the larger post-operative linear scar that would be produced from strip surgery. As a result, an ARTAS procedure can, in many cases, offer a shorter recovery time and can enable patients to resume their daily lifestyle faster than with strip surgery. In addition, the ARTAS procedure allows patients to wear their hair short without a noticeable scar.</w:t>
      </w:r>
    </w:p>
    <w:p>
      <w:pPr>
        <w:spacing w:after="0" w:line="78" w:lineRule="exact"/>
        <w:rPr>
          <w:rFonts w:ascii="Arial" w:cs="Arial" w:eastAsia="Arial" w:hAnsi="Arial"/>
          <w:sz w:val="18"/>
          <w:szCs w:val="18"/>
          <w:color w:val="231F20"/>
        </w:rPr>
      </w:pPr>
    </w:p>
    <w:p>
      <w:pPr>
        <w:ind w:left="1100" w:right="20" w:hanging="363"/>
        <w:spacing w:after="0" w:line="259" w:lineRule="auto"/>
        <w:tabs>
          <w:tab w:leader="none" w:pos="1100" w:val="left"/>
        </w:tabs>
        <w:numPr>
          <w:ilvl w:val="0"/>
          <w:numId w:val="7"/>
        </w:numPr>
        <w:rPr>
          <w:rFonts w:ascii="Arial" w:cs="Arial" w:eastAsia="Arial" w:hAnsi="Arial"/>
          <w:sz w:val="18"/>
          <w:szCs w:val="18"/>
          <w:color w:val="231F20"/>
        </w:rPr>
      </w:pPr>
      <w:r>
        <w:rPr>
          <w:rFonts w:ascii="Arial" w:cs="Arial" w:eastAsia="Arial" w:hAnsi="Arial"/>
          <w:sz w:val="18"/>
          <w:szCs w:val="18"/>
          <w:color w:val="231F20"/>
        </w:rPr>
        <w:t>The ARTAS Hair Studio application enables patients to interact with their physician to make educated decisions on graft numbers and implant placements to achieve their desired aesthetic outcome and to view a simulation of their potential result. We believe this process and interaction give patients more confidence in undergoing a procedure since they have direct input into their treatment and can preview the expected outcome.</w:t>
      </w:r>
    </w:p>
    <w:p>
      <w:pPr>
        <w:spacing w:after="0" w:line="78" w:lineRule="exact"/>
        <w:rPr>
          <w:rFonts w:ascii="Arial" w:cs="Arial" w:eastAsia="Arial" w:hAnsi="Arial"/>
          <w:sz w:val="18"/>
          <w:szCs w:val="18"/>
          <w:color w:val="231F20"/>
        </w:rPr>
      </w:pPr>
    </w:p>
    <w:p>
      <w:pPr>
        <w:ind w:left="1100" w:right="160" w:hanging="363"/>
        <w:spacing w:after="0" w:line="279" w:lineRule="auto"/>
        <w:tabs>
          <w:tab w:leader="none" w:pos="1100" w:val="left"/>
        </w:tabs>
        <w:numPr>
          <w:ilvl w:val="0"/>
          <w:numId w:val="7"/>
        </w:numPr>
        <w:rPr>
          <w:rFonts w:ascii="Arial" w:cs="Arial" w:eastAsia="Arial" w:hAnsi="Arial"/>
          <w:sz w:val="17"/>
          <w:szCs w:val="17"/>
          <w:color w:val="auto"/>
        </w:rPr>
      </w:pPr>
      <w:r>
        <w:rPr>
          <w:rFonts w:ascii="Arial" w:cs="Arial" w:eastAsia="Arial" w:hAnsi="Arial"/>
          <w:sz w:val="17"/>
          <w:szCs w:val="17"/>
          <w:color w:val="231F20"/>
        </w:rPr>
        <w:t>The ARTAS Site Making functionality translates the physician-patient site design onto the patient’s recipient area. The ARTAS System’s enhanced imaging system and sophisticated algorithms enable the ARTAS System to rapidly create recipient sites at precise depths, replicate pre-existing hair angles, avoid damaging the healthy pre-existing hair and adjust the distribution of the recipient sites to optimally fill in the transplantation area. We believe these elements can contribute to a superior aesthetic outcome</w:t>
      </w:r>
      <w:r>
        <w:rPr>
          <w:rFonts w:ascii="Arial" w:cs="Arial" w:eastAsia="Arial" w:hAnsi="Arial"/>
          <w:sz w:val="17"/>
          <w:szCs w:val="17"/>
          <w:color w:val="000000"/>
        </w:rPr>
        <w:t>.</w:t>
      </w:r>
    </w:p>
    <w:p>
      <w:pPr>
        <w:spacing w:after="0" w:line="200" w:lineRule="exact"/>
        <w:rPr>
          <w:sz w:val="20"/>
          <w:szCs w:val="20"/>
          <w:color w:val="auto"/>
        </w:rPr>
      </w:pPr>
    </w:p>
    <w:p>
      <w:pPr>
        <w:spacing w:after="0" w:line="21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449" w:right="259" w:bottom="1440" w:gutter="0" w:footer="0" w:header="0"/>
        </w:sectPr>
      </w:pPr>
    </w:p>
    <w:bookmarkStart w:id="8" w:name="page9"/>
    <w:bookmarkEnd w:id="8"/>
    <w:p>
      <w:pPr>
        <w:jc w:val="both"/>
        <w:ind w:right="40"/>
        <w:spacing w:after="0" w:line="264" w:lineRule="auto"/>
        <w:rPr>
          <w:sz w:val="20"/>
          <w:szCs w:val="20"/>
          <w:color w:val="auto"/>
        </w:rPr>
      </w:pPr>
      <w:r>
        <w:rPr>
          <w:rFonts w:ascii="Arial" w:cs="Arial" w:eastAsia="Arial" w:hAnsi="Arial"/>
          <w:sz w:val="18"/>
          <w:szCs w:val="18"/>
          <w:i w:val="1"/>
          <w:iCs w:val="1"/>
          <w:color w:val="231F20"/>
        </w:rPr>
        <w:t xml:space="preserve">Physician Value. </w:t>
      </w:r>
      <w:r>
        <w:rPr>
          <w:rFonts w:ascii="Arial" w:cs="Arial" w:eastAsia="Arial" w:hAnsi="Arial"/>
          <w:sz w:val="18"/>
          <w:szCs w:val="18"/>
          <w:color w:val="231F20"/>
        </w:rPr>
        <w:t>We believe the ARTAS System provides physicians compelling economic benefits and enables physicians to achieve consistent reproducible</w:t>
      </w:r>
      <w:r>
        <w:rPr>
          <w:rFonts w:ascii="Arial" w:cs="Arial" w:eastAsia="Arial" w:hAnsi="Arial"/>
          <w:sz w:val="18"/>
          <w:szCs w:val="18"/>
          <w:i w:val="1"/>
          <w:iCs w:val="1"/>
          <w:color w:val="231F20"/>
        </w:rPr>
        <w:t xml:space="preserve"> </w:t>
      </w:r>
      <w:r>
        <w:rPr>
          <w:rFonts w:ascii="Arial" w:cs="Arial" w:eastAsia="Arial" w:hAnsi="Arial"/>
          <w:sz w:val="18"/>
          <w:szCs w:val="18"/>
          <w:color w:val="231F20"/>
        </w:rPr>
        <w:t>results. As a result, we believe the ARTAS procedure also offers an attractive addition to existing dermatology, plastic surgery or aesthetics practices whether they do or do not provide hair restoration procedures.</w:t>
      </w:r>
    </w:p>
    <w:p>
      <w:pPr>
        <w:spacing w:after="0" w:line="73" w:lineRule="exact"/>
        <w:rPr>
          <w:sz w:val="20"/>
          <w:szCs w:val="20"/>
          <w:color w:val="auto"/>
        </w:rPr>
      </w:pPr>
    </w:p>
    <w:p>
      <w:pPr>
        <w:ind w:left="1100" w:right="40" w:hanging="363"/>
        <w:spacing w:after="0" w:line="277" w:lineRule="auto"/>
        <w:tabs>
          <w:tab w:leader="none" w:pos="1100" w:val="left"/>
        </w:tabs>
        <w:numPr>
          <w:ilvl w:val="0"/>
          <w:numId w:val="8"/>
        </w:numPr>
        <w:rPr>
          <w:rFonts w:ascii="Arial" w:cs="Arial" w:eastAsia="Arial" w:hAnsi="Arial"/>
          <w:sz w:val="18"/>
          <w:szCs w:val="18"/>
          <w:color w:val="231F20"/>
        </w:rPr>
      </w:pPr>
      <w:r>
        <w:rPr>
          <w:rFonts w:ascii="Arial" w:cs="Arial" w:eastAsia="Arial" w:hAnsi="Arial"/>
          <w:sz w:val="18"/>
          <w:szCs w:val="18"/>
          <w:color w:val="231F20"/>
        </w:rPr>
        <w:t>Hair restoration procedures are generally paid for by the patient and do not involve the complexity of securing reimbursement from third-party payors.</w:t>
      </w:r>
    </w:p>
    <w:p>
      <w:pPr>
        <w:spacing w:after="0" w:line="62" w:lineRule="exact"/>
        <w:rPr>
          <w:rFonts w:ascii="Arial" w:cs="Arial" w:eastAsia="Arial" w:hAnsi="Arial"/>
          <w:sz w:val="18"/>
          <w:szCs w:val="18"/>
          <w:color w:val="231F20"/>
        </w:rPr>
      </w:pPr>
    </w:p>
    <w:p>
      <w:pPr>
        <w:ind w:left="1100" w:right="280" w:hanging="363"/>
        <w:spacing w:after="0" w:line="264" w:lineRule="auto"/>
        <w:tabs>
          <w:tab w:leader="none" w:pos="1100" w:val="left"/>
        </w:tabs>
        <w:numPr>
          <w:ilvl w:val="0"/>
          <w:numId w:val="8"/>
        </w:numPr>
        <w:rPr>
          <w:rFonts w:ascii="Arial" w:cs="Arial" w:eastAsia="Arial" w:hAnsi="Arial"/>
          <w:sz w:val="18"/>
          <w:szCs w:val="18"/>
          <w:color w:val="231F20"/>
        </w:rPr>
      </w:pPr>
      <w:r>
        <w:rPr>
          <w:rFonts w:ascii="Arial" w:cs="Arial" w:eastAsia="Arial" w:hAnsi="Arial"/>
          <w:sz w:val="18"/>
          <w:szCs w:val="18"/>
          <w:color w:val="231F20"/>
        </w:rPr>
        <w:t>We believe the ARTAS System’s image-guided robotic capabilities allow physicians to perform hair restoration procedures with fewer staff required than a traditional strip surgery or a manual FUE procedure - procedures can also be performed with less physician and technician fatigue.</w:t>
      </w:r>
    </w:p>
    <w:p>
      <w:pPr>
        <w:spacing w:after="0" w:line="73" w:lineRule="exact"/>
        <w:rPr>
          <w:rFonts w:ascii="Arial" w:cs="Arial" w:eastAsia="Arial" w:hAnsi="Arial"/>
          <w:sz w:val="18"/>
          <w:szCs w:val="18"/>
          <w:color w:val="231F20"/>
        </w:rPr>
      </w:pPr>
    </w:p>
    <w:p>
      <w:pPr>
        <w:ind w:left="1100" w:right="80" w:hanging="363"/>
        <w:spacing w:after="0" w:line="279" w:lineRule="auto"/>
        <w:tabs>
          <w:tab w:leader="none" w:pos="1100" w:val="left"/>
        </w:tabs>
        <w:numPr>
          <w:ilvl w:val="0"/>
          <w:numId w:val="8"/>
        </w:numPr>
        <w:rPr>
          <w:rFonts w:ascii="Arial" w:cs="Arial" w:eastAsia="Arial" w:hAnsi="Arial"/>
          <w:sz w:val="17"/>
          <w:szCs w:val="17"/>
          <w:color w:val="231F20"/>
        </w:rPr>
      </w:pPr>
      <w:r>
        <w:rPr>
          <w:rFonts w:ascii="Arial" w:cs="Arial" w:eastAsia="Arial" w:hAnsi="Arial"/>
          <w:sz w:val="17"/>
          <w:szCs w:val="17"/>
          <w:color w:val="231F20"/>
        </w:rPr>
        <w:t>Because we provide high quality training for physicians and their clinical teams on the use of the ARTAS System and because the robotic system and its intelligent algorithms assist these teams in performing hair restoration procedures, we believe we can significantly shorten the learning curve necessary for hair transplantation procedures using the ARTAS System. This shorter learning curve can reduce barriers to entry for a new hair restoration practice. It can also ease the adoption of a new technology into existing practices.</w:t>
      </w:r>
    </w:p>
    <w:p>
      <w:pPr>
        <w:spacing w:after="0" w:line="63" w:lineRule="exact"/>
        <w:rPr>
          <w:sz w:val="20"/>
          <w:szCs w:val="20"/>
          <w:color w:val="auto"/>
        </w:rPr>
      </w:pPr>
    </w:p>
    <w:p>
      <w:pPr>
        <w:spacing w:after="0" w:line="287" w:lineRule="auto"/>
        <w:rPr>
          <w:sz w:val="20"/>
          <w:szCs w:val="20"/>
          <w:color w:val="auto"/>
        </w:rPr>
      </w:pPr>
      <w:r>
        <w:rPr>
          <w:rFonts w:ascii="Arial" w:cs="Arial" w:eastAsia="Arial" w:hAnsi="Arial"/>
          <w:sz w:val="16"/>
          <w:szCs w:val="16"/>
          <w:i w:val="1"/>
          <w:iCs w:val="1"/>
          <w:color w:val="231F20"/>
        </w:rPr>
        <w:t xml:space="preserve">Clinically-Established Results. </w:t>
      </w:r>
      <w:r>
        <w:rPr>
          <w:rFonts w:ascii="Arial" w:cs="Arial" w:eastAsia="Arial" w:hAnsi="Arial"/>
          <w:sz w:val="16"/>
          <w:szCs w:val="16"/>
          <w:color w:val="231F20"/>
        </w:rPr>
        <w:t>Four peer-reviewed clinical publications have demonstrated the quality and consistency of grafts produced by the ARTAS</w:t>
      </w:r>
      <w:r>
        <w:rPr>
          <w:rFonts w:ascii="Arial" w:cs="Arial" w:eastAsia="Arial" w:hAnsi="Arial"/>
          <w:sz w:val="16"/>
          <w:szCs w:val="16"/>
          <w:i w:val="1"/>
          <w:iCs w:val="1"/>
          <w:color w:val="231F20"/>
        </w:rPr>
        <w:t xml:space="preserve"> </w:t>
      </w:r>
      <w:r>
        <w:rPr>
          <w:rFonts w:ascii="Arial" w:cs="Arial" w:eastAsia="Arial" w:hAnsi="Arial"/>
          <w:sz w:val="16"/>
          <w:szCs w:val="16"/>
          <w:color w:val="231F20"/>
        </w:rPr>
        <w:t>System. One published study indicated average damage rates for the hair follicles, or transection rates, with the ARTAS System were as low as 6.6%, with a second study documenting average transection rates as low as 4.9% in a Korean population of patients. The third study documented that the ARTAS System can be programmed by the physician to select follicular units with larger groupings of hairs while skipping single hair grafts, which allows physicians to choose particular follicular units depending on the hair density they are trying to achieve, providing a clinical benefit as measured by the increase in hairs per harvest of 17% and as measured by the increase in hairs per graft of 11.4%. Results were statistically significant with a p-value less than 0.01. This study also demonstrates the ability of robotic follicular unit graft selection to increase the amount of hairs a physician can extract for each incision made in the donor area. The fourth study demonstrated that FUE cases larger than 2,500 grafts, or mega-sessions, are possible using the ARTAS System. These peer-reviewed publications demonstrate the reproducibility and consistency of dissection results from the ARTAS System in a diverse group of patients, even as the system is used by different clinicians. To our knowledge, there are no other peer-reviewed clinical publications that demonstrate the reproducibility of results utilizing other products in FUE or strip surgery procedures. We intend to encourage scientific research in the study of hair restoration to improve our technology, solutions, enhance understanding of our industry and educate physicians on the capabilities of the ARTAS System.</w:t>
      </w:r>
    </w:p>
    <w:p>
      <w:pPr>
        <w:spacing w:after="0" w:line="200" w:lineRule="exact"/>
        <w:rPr>
          <w:sz w:val="20"/>
          <w:szCs w:val="20"/>
          <w:color w:val="auto"/>
        </w:rPr>
      </w:pPr>
    </w:p>
    <w:p>
      <w:pPr>
        <w:spacing w:after="0" w:line="21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449" w:right="239" w:bottom="1440" w:gutter="0" w:footer="0" w:header="0"/>
        </w:sectPr>
      </w:pPr>
    </w:p>
    <w:bookmarkStart w:id="9" w:name="page10"/>
    <w:bookmarkEnd w:id="9"/>
    <w:p>
      <w:pPr>
        <w:spacing w:after="0"/>
        <w:rPr>
          <w:sz w:val="20"/>
          <w:szCs w:val="20"/>
          <w:color w:val="auto"/>
        </w:rPr>
      </w:pPr>
      <w:r>
        <w:rPr>
          <w:rFonts w:ascii="Arial" w:cs="Arial" w:eastAsia="Arial" w:hAnsi="Arial"/>
          <w:sz w:val="18"/>
          <w:szCs w:val="18"/>
          <w:b w:val="1"/>
          <w:bCs w:val="1"/>
          <w:color w:val="231F20"/>
        </w:rPr>
        <w:t>The ARTAS System and Procedure</w:t>
      </w:r>
    </w:p>
    <w:p>
      <w:pPr>
        <w:spacing w:after="0" w:line="121"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color w:val="231F20"/>
        </w:rPr>
        <w:t>We believe the ARTAS System with the ARTAS Hair Studio application have improved multiple phases of the hair transplantation procedure, which include patient consultation, harvesting, recipient site making and implantation.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1316990</wp:posOffset>
            </wp:positionH>
            <wp:positionV relativeFrom="paragraph">
              <wp:posOffset>117475</wp:posOffset>
            </wp:positionV>
            <wp:extent cx="4631055" cy="256413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4631055" cy="25641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spacing w:after="0"/>
        <w:rPr>
          <w:sz w:val="20"/>
          <w:szCs w:val="20"/>
          <w:color w:val="auto"/>
        </w:rPr>
      </w:pPr>
      <w:r>
        <w:rPr>
          <w:rFonts w:ascii="Arial" w:cs="Arial" w:eastAsia="Arial" w:hAnsi="Arial"/>
          <w:sz w:val="18"/>
          <w:szCs w:val="18"/>
          <w:i w:val="1"/>
          <w:iCs w:val="1"/>
          <w:color w:val="231F20"/>
        </w:rPr>
        <w:t>Patient Consultation</w:t>
      </w:r>
    </w:p>
    <w:p>
      <w:pPr>
        <w:spacing w:after="0" w:line="117"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231F20"/>
        </w:rPr>
        <w:t>During the initial consultation process, potential patients want to understand their hair restoration procedure and visualize its aesthetic outcome. Traditionally, physicians have used pre-procedure and post-procedure pictures of previous patients to illustrate how a new patient’s results might look, requiring a patient to use their imagination to visualize the potential results. Physicians may also use a grease pen to draw the areas directly on the patient’s head to show where grafts could be implanted.</w:t>
      </w:r>
    </w:p>
    <w:p>
      <w:pPr>
        <w:spacing w:after="0" w:line="79" w:lineRule="exact"/>
        <w:rPr>
          <w:sz w:val="20"/>
          <w:szCs w:val="20"/>
          <w:color w:val="auto"/>
        </w:rPr>
      </w:pPr>
    </w:p>
    <w:p>
      <w:pPr>
        <w:spacing w:after="0" w:line="276" w:lineRule="auto"/>
        <w:rPr>
          <w:sz w:val="20"/>
          <w:szCs w:val="20"/>
          <w:color w:val="auto"/>
        </w:rPr>
      </w:pPr>
      <w:r>
        <w:rPr>
          <w:rFonts w:ascii="Arial" w:cs="Arial" w:eastAsia="Arial" w:hAnsi="Arial"/>
          <w:sz w:val="17"/>
          <w:szCs w:val="17"/>
          <w:color w:val="231F20"/>
        </w:rPr>
        <w:t>We introduced the ARTAS Hair Studio application in 2014 to make the consultation more informative, interactive and easy for physicians to utilize. The ARTAS Hair Studio application produces a three-dimensional rendering of the recipient area viewable on a tablet device. The physician can draw on the tablet to simulate alternative cosmetic outcomes. A patient can, in real-time, visualize the simulation and look at various outcomes based on the number of grafts to be implanted and placements of the graphs. Since hair transplantation prices charged by physicians often vary based on the number of grafts, this aids both the physician and patient in arriving at a site plan that balances outcome expectations and patient price sensitivities.</w:t>
      </w:r>
    </w:p>
    <w:p>
      <w:pPr>
        <w:spacing w:after="0" w:line="200" w:lineRule="exact"/>
        <w:rPr>
          <w:sz w:val="20"/>
          <w:szCs w:val="20"/>
          <w:color w:val="auto"/>
        </w:rPr>
      </w:pPr>
    </w:p>
    <w:p>
      <w:pPr>
        <w:spacing w:after="0" w:line="2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486" w:right="239" w:bottom="1440" w:gutter="0" w:footer="0" w:header="0"/>
        </w:sectPr>
      </w:pPr>
    </w:p>
    <w:bookmarkStart w:id="10" w:name="page11"/>
    <w:bookmarkEnd w:id="10"/>
    <w:p>
      <w:pPr>
        <w:spacing w:after="0"/>
        <w:rPr>
          <w:sz w:val="20"/>
          <w:szCs w:val="20"/>
          <w:color w:val="auto"/>
        </w:rPr>
      </w:pPr>
      <w:r>
        <w:rPr>
          <w:rFonts w:ascii="Arial" w:cs="Arial" w:eastAsia="Arial" w:hAnsi="Arial"/>
          <w:sz w:val="18"/>
          <w:szCs w:val="18"/>
          <w:color w:val="231F20"/>
        </w:rPr>
        <w:t>The following is an example of a ARTAS Hair Studio pre-procedure and post-procedure simulation: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2268855</wp:posOffset>
            </wp:positionH>
            <wp:positionV relativeFrom="paragraph">
              <wp:posOffset>83185</wp:posOffset>
            </wp:positionV>
            <wp:extent cx="2718435" cy="147510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2718435" cy="14751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p>
      <w:pPr>
        <w:spacing w:after="0"/>
        <w:rPr>
          <w:sz w:val="20"/>
          <w:szCs w:val="20"/>
          <w:color w:val="auto"/>
        </w:rPr>
      </w:pPr>
      <w:r>
        <w:rPr>
          <w:rFonts w:ascii="Arial" w:cs="Arial" w:eastAsia="Arial" w:hAnsi="Arial"/>
          <w:sz w:val="18"/>
          <w:szCs w:val="18"/>
          <w:i w:val="1"/>
          <w:iCs w:val="1"/>
          <w:color w:val="231F20"/>
        </w:rPr>
        <w:t>Harvesting</w:t>
      </w:r>
    </w:p>
    <w:p>
      <w:pPr>
        <w:spacing w:after="0" w:line="117" w:lineRule="exact"/>
        <w:rPr>
          <w:sz w:val="20"/>
          <w:szCs w:val="20"/>
          <w:color w:val="auto"/>
        </w:rPr>
      </w:pPr>
    </w:p>
    <w:p>
      <w:pPr>
        <w:spacing w:after="0" w:line="254" w:lineRule="auto"/>
        <w:rPr>
          <w:sz w:val="20"/>
          <w:szCs w:val="20"/>
          <w:color w:val="auto"/>
        </w:rPr>
      </w:pPr>
      <w:r>
        <w:rPr>
          <w:rFonts w:ascii="Arial" w:cs="Arial" w:eastAsia="Arial" w:hAnsi="Arial"/>
          <w:sz w:val="18"/>
          <w:szCs w:val="18"/>
          <w:color w:val="231F20"/>
        </w:rPr>
        <w:t xml:space="preserve">During the harvesting phase of the hair restoration procedure, the robotic arm and integrated vision system work in tandem to identify the optimal hair follicles to be used in the procedure. The ARTAS vision system uses proprietary algorithms to identify individual hair follicles, growth angle, density, thickness, length and follicle grouping and to determine which grafts to dissect and the optimal order in which they should be dissected. The algorithms recalculate 60 times per second, accommodating patient movement, to provide the physician with accurate up-to-date information during the course of the procedure. We believe these assessments directly correlate to the quality of the outcome and the state of the donor area. This is important as we believe it affects how the donor area will appear following the procedure, and the potential viability for subsequent harvesting for future transplantation procedures. The ARTAS System harvesting user interface provides </w:t>
      </w:r>
      <w:r>
        <w:rPr>
          <w:rFonts w:ascii="Arial" w:cs="Arial" w:eastAsia="Arial" w:hAnsi="Arial"/>
          <w:sz w:val="18"/>
          <w:szCs w:val="18"/>
          <w:color w:val="000000"/>
        </w:rPr>
        <w:t>the physician with enhanced control during the procedure. An example of the harvesting user interface</w:t>
      </w:r>
      <w:r>
        <w:rPr>
          <w:rFonts w:ascii="Arial" w:cs="Arial" w:eastAsia="Arial" w:hAnsi="Arial"/>
          <w:sz w:val="18"/>
          <w:szCs w:val="18"/>
          <w:color w:val="231F20"/>
        </w:rPr>
        <w:t xml:space="preserve"> </w:t>
      </w:r>
      <w:r>
        <w:rPr>
          <w:rFonts w:ascii="Arial" w:cs="Arial" w:eastAsia="Arial" w:hAnsi="Arial"/>
          <w:sz w:val="18"/>
          <w:szCs w:val="18"/>
          <w:color w:val="000000"/>
        </w:rPr>
        <w:t>appears as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956945</wp:posOffset>
            </wp:positionH>
            <wp:positionV relativeFrom="paragraph">
              <wp:posOffset>62865</wp:posOffset>
            </wp:positionV>
            <wp:extent cx="5342890" cy="345630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5342890" cy="34563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ind w:right="400"/>
        <w:spacing w:after="0" w:line="277" w:lineRule="auto"/>
        <w:rPr>
          <w:sz w:val="20"/>
          <w:szCs w:val="20"/>
          <w:color w:val="auto"/>
        </w:rPr>
      </w:pPr>
      <w:r>
        <w:rPr>
          <w:rFonts w:ascii="Arial" w:cs="Arial" w:eastAsia="Arial" w:hAnsi="Arial"/>
          <w:sz w:val="18"/>
          <w:szCs w:val="18"/>
          <w:color w:val="231F20"/>
        </w:rPr>
        <w:t>Following the vision system’s identification of the optimal hair follicles for transplant, the ARTAS System dissects these follicles using a sharp needle to score the epidermis and a punch, coaxial with the needle, to separate the graft</w:t>
      </w:r>
    </w:p>
    <w:p>
      <w:pPr>
        <w:spacing w:after="0" w:line="200" w:lineRule="exact"/>
        <w:rPr>
          <w:sz w:val="20"/>
          <w:szCs w:val="20"/>
          <w:color w:val="auto"/>
        </w:rPr>
      </w:pPr>
    </w:p>
    <w:p>
      <w:pPr>
        <w:spacing w:after="0" w:line="2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449" w:right="239" w:bottom="1440" w:gutter="0" w:footer="0" w:header="0"/>
        </w:sectPr>
      </w:pPr>
    </w:p>
    <w:bookmarkStart w:id="11" w:name="page12"/>
    <w:bookmarkEnd w:id="11"/>
    <w:p>
      <w:pPr>
        <w:ind w:right="300"/>
        <w:spacing w:after="0" w:line="277" w:lineRule="auto"/>
        <w:rPr>
          <w:sz w:val="20"/>
          <w:szCs w:val="20"/>
          <w:color w:val="auto"/>
        </w:rPr>
      </w:pPr>
      <w:r>
        <w:rPr>
          <w:rFonts w:ascii="Arial" w:cs="Arial" w:eastAsia="Arial" w:hAnsi="Arial"/>
          <w:sz w:val="18"/>
          <w:szCs w:val="18"/>
          <w:color w:val="231F20"/>
        </w:rPr>
        <w:t>from the surrounding tissue. In the final step of the harvesting phase, the grafts are removed manually with forceps by the physician or the technician. The grafts are then cleaned, inspected and prepared for implantation.</w:t>
      </w:r>
    </w:p>
    <w:p>
      <w:pPr>
        <w:spacing w:after="0" w:line="62"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color w:val="231F20"/>
        </w:rPr>
        <w:t>During the procedure, the physician has the ability to customize the dissection incisions by choosing a needle and punch that will produce 0.8mm, 0.9mm or 1.0mm incisions. The image below illustrates a typical ARTAS System punch and needle: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1720215</wp:posOffset>
            </wp:positionH>
            <wp:positionV relativeFrom="paragraph">
              <wp:posOffset>48895</wp:posOffset>
            </wp:positionV>
            <wp:extent cx="3816350" cy="185229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3816350" cy="185229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p>
      <w:pPr>
        <w:spacing w:after="0" w:line="286" w:lineRule="auto"/>
        <w:rPr>
          <w:sz w:val="20"/>
          <w:szCs w:val="20"/>
          <w:color w:val="auto"/>
        </w:rPr>
      </w:pPr>
      <w:r>
        <w:rPr>
          <w:rFonts w:ascii="Arial" w:cs="Arial" w:eastAsia="Arial" w:hAnsi="Arial"/>
          <w:sz w:val="16"/>
          <w:szCs w:val="16"/>
          <w:color w:val="231F20"/>
        </w:rPr>
        <w:t>The needle travels at approximately 2,500 mm to 3,000 mm per second when it contacts the skin. This provides targeted precision and a cleanly scored incision. The punch then spins at 3,000 rpm and loosens the grafts from the surrounding tissue. In a clinical setting, we have observed that the dissection cycle takes between one to two seconds per graft, depending on the length of the graft. In a clinical setting, the ARTAS System has been shown to move from graft to graft at a rate of approximately one to three seconds, thereby enabling the ARTAS System to dissect a graft every two to five seconds, or approximately</w:t>
      </w:r>
    </w:p>
    <w:p>
      <w:pPr>
        <w:spacing w:after="0" w:line="2" w:lineRule="exact"/>
        <w:rPr>
          <w:sz w:val="20"/>
          <w:szCs w:val="20"/>
          <w:color w:val="auto"/>
        </w:rPr>
      </w:pPr>
    </w:p>
    <w:p>
      <w:pPr>
        <w:ind w:right="120"/>
        <w:spacing w:after="0" w:line="254" w:lineRule="auto"/>
        <w:rPr>
          <w:sz w:val="20"/>
          <w:szCs w:val="20"/>
          <w:color w:val="auto"/>
        </w:rPr>
      </w:pPr>
      <w:r>
        <w:rPr>
          <w:rFonts w:ascii="Arial" w:cs="Arial" w:eastAsia="Arial" w:hAnsi="Arial"/>
          <w:sz w:val="18"/>
          <w:szCs w:val="18"/>
          <w:color w:val="231F20"/>
        </w:rPr>
        <w:t>720 to over 1,800 grafts per hour. The ARTAS System enables the physicians to adjust dissection parameters to accommodate for different types of skin, and manipulate graft selection algorithms based on patient needs. The ARTAS System can be programmed to dissect as many grafts as appropriate thus maximizing the use of the donor area. It can also be programmed to dissect grafts with more than two hairs each, thereby increasing the hair yield or the number of hairs per graft.</w:t>
      </w:r>
    </w:p>
    <w:p>
      <w:pPr>
        <w:spacing w:after="0" w:line="82" w:lineRule="exact"/>
        <w:rPr>
          <w:sz w:val="20"/>
          <w:szCs w:val="20"/>
          <w:color w:val="auto"/>
        </w:rPr>
      </w:pPr>
    </w:p>
    <w:p>
      <w:pPr>
        <w:ind w:right="620"/>
        <w:spacing w:after="0" w:line="277" w:lineRule="auto"/>
        <w:rPr>
          <w:sz w:val="20"/>
          <w:szCs w:val="20"/>
          <w:color w:val="auto"/>
        </w:rPr>
      </w:pPr>
      <w:r>
        <w:rPr>
          <w:rFonts w:ascii="Arial" w:cs="Arial" w:eastAsia="Arial" w:hAnsi="Arial"/>
          <w:sz w:val="18"/>
          <w:szCs w:val="18"/>
          <w:color w:val="231F20"/>
        </w:rPr>
        <w:t>During the harvesting phase of the hair transplantation procedure, the patient may be lightly sedated and the integrated vision system can track patient movement and pause if excessive movement is detected.</w:t>
      </w:r>
    </w:p>
    <w:p>
      <w:pPr>
        <w:spacing w:after="0" w:line="103" w:lineRule="exact"/>
        <w:rPr>
          <w:sz w:val="20"/>
          <w:szCs w:val="20"/>
          <w:color w:val="auto"/>
        </w:rPr>
      </w:pPr>
    </w:p>
    <w:p>
      <w:pPr>
        <w:spacing w:after="0"/>
        <w:rPr>
          <w:sz w:val="20"/>
          <w:szCs w:val="20"/>
          <w:color w:val="auto"/>
        </w:rPr>
      </w:pPr>
      <w:r>
        <w:rPr>
          <w:rFonts w:ascii="Arial" w:cs="Arial" w:eastAsia="Arial" w:hAnsi="Arial"/>
          <w:sz w:val="18"/>
          <w:szCs w:val="18"/>
          <w:i w:val="1"/>
          <w:iCs w:val="1"/>
          <w:color w:val="231F20"/>
        </w:rPr>
        <w:t>Recipient Site Making</w:t>
      </w:r>
    </w:p>
    <w:p>
      <w:pPr>
        <w:spacing w:after="0" w:line="117" w:lineRule="exact"/>
        <w:rPr>
          <w:sz w:val="20"/>
          <w:szCs w:val="20"/>
          <w:color w:val="auto"/>
        </w:rPr>
      </w:pPr>
    </w:p>
    <w:p>
      <w:pPr>
        <w:ind w:right="80"/>
        <w:spacing w:after="0" w:line="302" w:lineRule="auto"/>
        <w:rPr>
          <w:sz w:val="20"/>
          <w:szCs w:val="20"/>
          <w:color w:val="auto"/>
        </w:rPr>
      </w:pPr>
      <w:r>
        <w:rPr>
          <w:rFonts w:ascii="Arial" w:cs="Arial" w:eastAsia="Arial" w:hAnsi="Arial"/>
          <w:sz w:val="16"/>
          <w:szCs w:val="16"/>
          <w:color w:val="231F20"/>
        </w:rPr>
        <w:t>Sites, or incisions, are created to receive the harvested grafts. This task is generally performed by the physician. Prior to the ARTAS System, site making was performed manually using a hand-held tool or needle to create hundreds to thousands of tiny incisions in the scalp. This is a critical step as it creates the hair pattern in which the harvested grafts will grow. From communications with physicians we have found that, typically, a physician can manually create approximately 1,500 sites per hour. Precision and consistency, however, can be affected by experience, hand-eye coordination and fatigue.</w:t>
      </w:r>
    </w:p>
    <w:p>
      <w:pPr>
        <w:spacing w:after="0" w:line="46"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color w:val="231F20"/>
        </w:rPr>
        <w:t>The ARTAS System Site Making functionality incorporates artificial intelligence and robotics precision to strategically make surgical incision sites for implanting hair follicles, while also identifying and avoiding injuring healthy follicles in proximity of the implantation sites. This allows the patient’s hair to look more natural and prevents damaging existing healthy hair in the transplant area which we believe would result in patients with more hair than if the sites were made manually.</w:t>
      </w:r>
    </w:p>
    <w:p>
      <w:pPr>
        <w:spacing w:after="0" w:line="79" w:lineRule="exact"/>
        <w:rPr>
          <w:sz w:val="20"/>
          <w:szCs w:val="20"/>
          <w:color w:val="auto"/>
        </w:rPr>
      </w:pPr>
    </w:p>
    <w:p>
      <w:pPr>
        <w:ind w:right="40"/>
        <w:spacing w:after="0" w:line="257" w:lineRule="auto"/>
        <w:rPr>
          <w:sz w:val="20"/>
          <w:szCs w:val="20"/>
          <w:color w:val="auto"/>
        </w:rPr>
      </w:pPr>
      <w:r>
        <w:rPr>
          <w:rFonts w:ascii="Arial" w:cs="Arial" w:eastAsia="Arial" w:hAnsi="Arial"/>
          <w:sz w:val="18"/>
          <w:szCs w:val="18"/>
          <w:color w:val="231F20"/>
        </w:rPr>
        <w:t>Robotic recipient Site Making, introduced in 2015, is performed by the physician, who develops the ARTAS System treatment plan, or map, identifying where to make the incisions on the patient. The treatment plan is prepared using three-dimension modeling software that takes one picture of the patient’s recipient area and generates a three-dimensional map that is utilized by the ARTAS System. With entry angle accuracy, consistency and precise depth control, the ARTAS System creates the recipient sites using a small solid core needle or a blade at a rate of approximately 2,500 to 3,000 sites per hour, which is significantly faster than the approximately 1,500 sites per hour achieved manually.</w:t>
      </w:r>
    </w:p>
    <w:p>
      <w:pPr>
        <w:spacing w:after="0" w:line="200" w:lineRule="exact"/>
        <w:rPr>
          <w:sz w:val="20"/>
          <w:szCs w:val="20"/>
          <w:color w:val="auto"/>
        </w:rPr>
      </w:pPr>
    </w:p>
    <w:p>
      <w:pPr>
        <w:spacing w:after="0" w:line="23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449" w:right="239" w:bottom="1440" w:gutter="0" w:footer="0" w:header="0"/>
        </w:sectPr>
      </w:pPr>
    </w:p>
    <w:bookmarkStart w:id="12" w:name="page13"/>
    <w:bookmarkEnd w:id="12"/>
    <w:p>
      <w:pPr>
        <w:spacing w:after="0"/>
        <w:rPr>
          <w:sz w:val="20"/>
          <w:szCs w:val="20"/>
          <w:color w:val="auto"/>
        </w:rPr>
      </w:pPr>
      <w:r>
        <w:rPr>
          <w:rFonts w:ascii="Arial" w:cs="Arial" w:eastAsia="Arial" w:hAnsi="Arial"/>
          <w:sz w:val="18"/>
          <w:szCs w:val="18"/>
          <w:i w:val="1"/>
          <w:iCs w:val="1"/>
          <w:color w:val="231F20"/>
        </w:rPr>
        <w:t>Implantation</w:t>
      </w:r>
    </w:p>
    <w:p>
      <w:pPr>
        <w:spacing w:after="0" w:line="117" w:lineRule="exact"/>
        <w:rPr>
          <w:sz w:val="20"/>
          <w:szCs w:val="20"/>
          <w:color w:val="auto"/>
        </w:rPr>
      </w:pPr>
    </w:p>
    <w:p>
      <w:pPr>
        <w:spacing w:after="0" w:line="291" w:lineRule="auto"/>
        <w:rPr>
          <w:sz w:val="20"/>
          <w:szCs w:val="20"/>
          <w:color w:val="auto"/>
        </w:rPr>
      </w:pPr>
      <w:r>
        <w:rPr>
          <w:rFonts w:ascii="Arial" w:cs="Arial" w:eastAsia="Arial" w:hAnsi="Arial"/>
          <w:sz w:val="16"/>
          <w:szCs w:val="16"/>
          <w:color w:val="231F20"/>
        </w:rPr>
        <w:t>Following the site making phase of the hair transplantation procedure, the physician and/or technicians manually implant the grafts in the robotically created sites made by the ARTAS System. To help facilitate implantation, we are developing a robotic implantation functionality. We believe this robotic implantation functionality, if approved, will help further shorten the learning curve, improve the consistency and reproducibility of results by protecting permanent hair and reducing inconsistencies associated with manual implantation, and could potentially reduce the amount of time each graft spends outside of the scalp and decrease the overall time required for implantation. During the clinical development of the robotic implantation functionality, we have explored several options for delivering this new functionality to existing ARTAS customers. While we have not determined how this functionality will be incorporated into our current ARTAS System, we are committed to providing our current customers a means to access the implantation functionality if and when it is approved.</w:t>
      </w:r>
    </w:p>
    <w:p>
      <w:pPr>
        <w:spacing w:after="0" w:line="59" w:lineRule="exact"/>
        <w:rPr>
          <w:sz w:val="20"/>
          <w:szCs w:val="20"/>
          <w:color w:val="auto"/>
        </w:rPr>
      </w:pPr>
    </w:p>
    <w:p>
      <w:pPr>
        <w:ind w:right="100"/>
        <w:spacing w:after="0" w:line="273" w:lineRule="auto"/>
        <w:rPr>
          <w:sz w:val="20"/>
          <w:szCs w:val="20"/>
          <w:color w:val="auto"/>
        </w:rPr>
      </w:pPr>
      <w:r>
        <w:rPr>
          <w:rFonts w:ascii="Arial" w:cs="Arial" w:eastAsia="Arial" w:hAnsi="Arial"/>
          <w:sz w:val="17"/>
          <w:szCs w:val="17"/>
          <w:color w:val="231F20"/>
        </w:rPr>
        <w:t>This robotic implantation functionality is currently in clinical development and is not approved for commercial use. Our ongoing clinical trial for the implantation functionality is a multi-center, double arm, blinded control study comparing the safety and efficacy of the ARTAS System and manual implantation. The primary endpoint for the clinical trial is determining that the robotic implantation is not inferior to the manual implantation as determined by hair follicle growth at six months and nine months. As of December 31, 2017, a total of 32 patients have been enrolled in the trial. We expect to report the results of our clinical trial in the coming months. In addition, we recently submitted a 510(K) application for the implantation functionality and if approved, we expect to be able to commence commercial marketing of the implantation functionality in 2018.</w:t>
      </w:r>
    </w:p>
    <w:p>
      <w:pPr>
        <w:spacing w:after="0" w:line="97" w:lineRule="exact"/>
        <w:rPr>
          <w:sz w:val="20"/>
          <w:szCs w:val="20"/>
          <w:color w:val="auto"/>
        </w:rPr>
      </w:pPr>
    </w:p>
    <w:p>
      <w:pPr>
        <w:spacing w:after="0"/>
        <w:rPr>
          <w:sz w:val="20"/>
          <w:szCs w:val="20"/>
          <w:color w:val="auto"/>
        </w:rPr>
      </w:pPr>
      <w:r>
        <w:rPr>
          <w:rFonts w:ascii="Arial" w:cs="Arial" w:eastAsia="Arial" w:hAnsi="Arial"/>
          <w:sz w:val="18"/>
          <w:szCs w:val="18"/>
          <w:i w:val="1"/>
          <w:iCs w:val="1"/>
          <w:color w:val="231F20"/>
        </w:rPr>
        <w:t>ARTAS Kits for Harvesting and Site Making</w:t>
      </w:r>
    </w:p>
    <w:p>
      <w:pPr>
        <w:spacing w:after="0" w:line="117"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color w:val="231F20"/>
        </w:rPr>
        <w:t>The ARTAS System utilizes a set of disposable and reusable kits for our Harvesting and Site Making functionality. Each system comes with a set of reusable items. The disposable kits are included with the purchase of procedures.</w:t>
      </w:r>
    </w:p>
    <w:p>
      <w:pPr>
        <w:spacing w:after="0" w:line="99" w:lineRule="exact"/>
        <w:rPr>
          <w:sz w:val="20"/>
          <w:szCs w:val="20"/>
          <w:color w:val="auto"/>
        </w:rPr>
      </w:pPr>
    </w:p>
    <w:p>
      <w:pPr>
        <w:spacing w:after="0"/>
        <w:rPr>
          <w:sz w:val="20"/>
          <w:szCs w:val="20"/>
          <w:color w:val="auto"/>
        </w:rPr>
      </w:pPr>
      <w:r>
        <w:rPr>
          <w:rFonts w:ascii="Arial" w:cs="Arial" w:eastAsia="Arial" w:hAnsi="Arial"/>
          <w:sz w:val="18"/>
          <w:szCs w:val="18"/>
          <w:b w:val="1"/>
          <w:bCs w:val="1"/>
          <w:color w:val="231F20"/>
        </w:rPr>
        <w:t>Our Growth Strategy</w:t>
      </w:r>
    </w:p>
    <w:p>
      <w:pPr>
        <w:spacing w:after="0" w:line="121" w:lineRule="exact"/>
        <w:rPr>
          <w:sz w:val="20"/>
          <w:szCs w:val="20"/>
          <w:color w:val="auto"/>
        </w:rPr>
      </w:pPr>
    </w:p>
    <w:p>
      <w:pPr>
        <w:ind w:right="240"/>
        <w:spacing w:after="0" w:line="277" w:lineRule="auto"/>
        <w:rPr>
          <w:sz w:val="20"/>
          <w:szCs w:val="20"/>
          <w:color w:val="auto"/>
        </w:rPr>
      </w:pPr>
      <w:r>
        <w:rPr>
          <w:rFonts w:ascii="Arial" w:cs="Arial" w:eastAsia="Arial" w:hAnsi="Arial"/>
          <w:sz w:val="18"/>
          <w:szCs w:val="18"/>
          <w:color w:val="231F20"/>
        </w:rPr>
        <w:t>Our goal is to expand the commercialization of the ARTAS System so that it becomes the standard of care for hair transplantation. The key elements of our strategy to achieve this goal are to:</w:t>
      </w:r>
    </w:p>
    <w:p>
      <w:pPr>
        <w:spacing w:after="0" w:line="62" w:lineRule="exact"/>
        <w:rPr>
          <w:sz w:val="20"/>
          <w:szCs w:val="20"/>
          <w:color w:val="auto"/>
        </w:rPr>
      </w:pPr>
    </w:p>
    <w:p>
      <w:pPr>
        <w:ind w:left="1100" w:right="20" w:hanging="363"/>
        <w:spacing w:after="0" w:line="279" w:lineRule="auto"/>
        <w:tabs>
          <w:tab w:leader="none" w:pos="1100" w:val="left"/>
        </w:tabs>
        <w:numPr>
          <w:ilvl w:val="0"/>
          <w:numId w:val="9"/>
        </w:numPr>
        <w:rPr>
          <w:rFonts w:ascii="Arial" w:cs="Arial" w:eastAsia="Arial" w:hAnsi="Arial"/>
          <w:sz w:val="17"/>
          <w:szCs w:val="17"/>
          <w:color w:val="231F20"/>
        </w:rPr>
      </w:pPr>
      <w:r>
        <w:rPr>
          <w:rFonts w:ascii="Arial" w:cs="Arial" w:eastAsia="Arial" w:hAnsi="Arial"/>
          <w:sz w:val="17"/>
          <w:szCs w:val="17"/>
          <w:i w:val="1"/>
          <w:iCs w:val="1"/>
          <w:color w:val="231F20"/>
        </w:rPr>
        <w:t>Broaden Our Physician Customer Base</w:t>
      </w:r>
      <w:r>
        <w:rPr>
          <w:rFonts w:ascii="Arial" w:cs="Arial" w:eastAsia="Arial" w:hAnsi="Arial"/>
          <w:sz w:val="17"/>
          <w:szCs w:val="17"/>
          <w:color w:val="231F20"/>
        </w:rPr>
        <w:t>. In addition to continuing to market the ARTAS System to traditional hair restoration practices, we</w:t>
      </w:r>
      <w:r>
        <w:rPr>
          <w:rFonts w:ascii="Arial" w:cs="Arial" w:eastAsia="Arial" w:hAnsi="Arial"/>
          <w:sz w:val="17"/>
          <w:szCs w:val="17"/>
          <w:i w:val="1"/>
          <w:iCs w:val="1"/>
          <w:color w:val="231F20"/>
        </w:rPr>
        <w:t xml:space="preserve"> </w:t>
      </w:r>
      <w:r>
        <w:rPr>
          <w:rFonts w:ascii="Arial" w:cs="Arial" w:eastAsia="Arial" w:hAnsi="Arial"/>
          <w:sz w:val="17"/>
          <w:szCs w:val="17"/>
          <w:color w:val="231F20"/>
        </w:rPr>
        <w:t>continue to expand our direct sales efforts to include other physician specialties, such as dermatology and plastic surgery. In both the traditional hair restoration practices and other customer bases, we will be selective in identifying those practitioners who have a track record of successful integration of new technologies and a strong desire to build a hair restoration practice around the ARTAS System.</w:t>
      </w:r>
    </w:p>
    <w:p>
      <w:pPr>
        <w:spacing w:after="0" w:line="63" w:lineRule="exact"/>
        <w:rPr>
          <w:rFonts w:ascii="Arial" w:cs="Arial" w:eastAsia="Arial" w:hAnsi="Arial"/>
          <w:sz w:val="17"/>
          <w:szCs w:val="17"/>
          <w:color w:val="231F20"/>
        </w:rPr>
      </w:pPr>
    </w:p>
    <w:p>
      <w:pPr>
        <w:ind w:left="1100" w:right="200" w:hanging="363"/>
        <w:spacing w:after="0" w:line="276" w:lineRule="auto"/>
        <w:tabs>
          <w:tab w:leader="none" w:pos="1100" w:val="left"/>
        </w:tabs>
        <w:numPr>
          <w:ilvl w:val="0"/>
          <w:numId w:val="9"/>
        </w:numPr>
        <w:rPr>
          <w:rFonts w:ascii="Arial" w:cs="Arial" w:eastAsia="Arial" w:hAnsi="Arial"/>
          <w:sz w:val="17"/>
          <w:szCs w:val="17"/>
          <w:color w:val="231F20"/>
        </w:rPr>
      </w:pPr>
      <w:r>
        <w:rPr>
          <w:rFonts w:ascii="Arial" w:cs="Arial" w:eastAsia="Arial" w:hAnsi="Arial"/>
          <w:sz w:val="17"/>
          <w:szCs w:val="17"/>
          <w:i w:val="1"/>
          <w:iCs w:val="1"/>
          <w:color w:val="231F20"/>
        </w:rPr>
        <w:t>Expand Our International Business</w:t>
      </w:r>
      <w:r>
        <w:rPr>
          <w:rFonts w:ascii="Arial" w:cs="Arial" w:eastAsia="Arial" w:hAnsi="Arial"/>
          <w:sz w:val="17"/>
          <w:szCs w:val="17"/>
          <w:color w:val="231F20"/>
        </w:rPr>
        <w:t>. According to ISHRS, the size of the international hair restoration market is larger than the U.S. market</w:t>
      </w:r>
      <w:r>
        <w:rPr>
          <w:rFonts w:ascii="Arial" w:cs="Arial" w:eastAsia="Arial" w:hAnsi="Arial"/>
          <w:sz w:val="17"/>
          <w:szCs w:val="17"/>
          <w:i w:val="1"/>
          <w:iCs w:val="1"/>
          <w:color w:val="231F20"/>
        </w:rPr>
        <w:t xml:space="preserve"> </w:t>
      </w:r>
      <w:r>
        <w:rPr>
          <w:rFonts w:ascii="Arial" w:cs="Arial" w:eastAsia="Arial" w:hAnsi="Arial"/>
          <w:sz w:val="17"/>
          <w:szCs w:val="17"/>
          <w:color w:val="231F20"/>
        </w:rPr>
        <w:t>and in certain markets FUE is already believed to be the preferred method for hair restoration surgery. We are focused on increasing our market penetration overseas and building global brand recognition. In 2017, approximately 58% of our revenue was generated outside of the US. We intend to continue to bolster our international business by adding distributors and sales support staff, which we believe will help to increase sales and strengthen physician relationships in our international markets.</w:t>
      </w:r>
    </w:p>
    <w:p>
      <w:pPr>
        <w:spacing w:after="0" w:line="64" w:lineRule="exact"/>
        <w:rPr>
          <w:rFonts w:ascii="Arial" w:cs="Arial" w:eastAsia="Arial" w:hAnsi="Arial"/>
          <w:sz w:val="17"/>
          <w:szCs w:val="17"/>
          <w:color w:val="231F20"/>
        </w:rPr>
      </w:pPr>
    </w:p>
    <w:p>
      <w:pPr>
        <w:ind w:left="1100" w:right="40" w:hanging="363"/>
        <w:spacing w:after="0" w:line="297" w:lineRule="auto"/>
        <w:tabs>
          <w:tab w:leader="none" w:pos="1100" w:val="left"/>
        </w:tabs>
        <w:numPr>
          <w:ilvl w:val="0"/>
          <w:numId w:val="9"/>
        </w:numPr>
        <w:rPr>
          <w:rFonts w:ascii="Arial" w:cs="Arial" w:eastAsia="Arial" w:hAnsi="Arial"/>
          <w:sz w:val="16"/>
          <w:szCs w:val="16"/>
          <w:color w:val="231F20"/>
        </w:rPr>
      </w:pPr>
      <w:r>
        <w:rPr>
          <w:rFonts w:ascii="Arial" w:cs="Arial" w:eastAsia="Arial" w:hAnsi="Arial"/>
          <w:sz w:val="16"/>
          <w:szCs w:val="16"/>
          <w:i w:val="1"/>
          <w:iCs w:val="1"/>
          <w:color w:val="231F20"/>
        </w:rPr>
        <w:t xml:space="preserve">Continue to Innovate. </w:t>
      </w:r>
      <w:r>
        <w:rPr>
          <w:rFonts w:ascii="Arial" w:cs="Arial" w:eastAsia="Arial" w:hAnsi="Arial"/>
          <w:sz w:val="16"/>
          <w:szCs w:val="16"/>
          <w:color w:val="231F20"/>
        </w:rPr>
        <w:t>Since the introduction of the ARTAS System in 2011, we have regularly introduced new innovations and updates to the</w:t>
      </w:r>
      <w:r>
        <w:rPr>
          <w:rFonts w:ascii="Arial" w:cs="Arial" w:eastAsia="Arial" w:hAnsi="Arial"/>
          <w:sz w:val="16"/>
          <w:szCs w:val="16"/>
          <w:i w:val="1"/>
          <w:iCs w:val="1"/>
          <w:color w:val="231F20"/>
        </w:rPr>
        <w:t xml:space="preserve"> </w:t>
      </w:r>
      <w:r>
        <w:rPr>
          <w:rFonts w:ascii="Arial" w:cs="Arial" w:eastAsia="Arial" w:hAnsi="Arial"/>
          <w:sz w:val="16"/>
          <w:szCs w:val="16"/>
          <w:color w:val="231F20"/>
        </w:rPr>
        <w:t>ARTAS System, and we intend to continue this innovation going forward. For example, we are developing a robotic implantation functionality to the ARTAS System which is in clinical development. We also intend to continue to refine our harvesting technology and user interface, while making ongoing investments in research and development driven by customer feedback and market demands. Furthermore, we may pursue expanding the cleared indications of use beyond men with a specific hair type so that the ARTAS System can be more broadly utilized.</w:t>
      </w:r>
    </w:p>
    <w:p>
      <w:pPr>
        <w:spacing w:after="0" w:line="50" w:lineRule="exact"/>
        <w:rPr>
          <w:rFonts w:ascii="Arial" w:cs="Arial" w:eastAsia="Arial" w:hAnsi="Arial"/>
          <w:sz w:val="16"/>
          <w:szCs w:val="16"/>
          <w:color w:val="231F20"/>
        </w:rPr>
      </w:pPr>
    </w:p>
    <w:p>
      <w:pPr>
        <w:jc w:val="both"/>
        <w:ind w:left="1100" w:right="140" w:hanging="363"/>
        <w:spacing w:after="0" w:line="259" w:lineRule="auto"/>
        <w:tabs>
          <w:tab w:leader="none" w:pos="1100" w:val="left"/>
        </w:tabs>
        <w:numPr>
          <w:ilvl w:val="0"/>
          <w:numId w:val="9"/>
        </w:numPr>
        <w:rPr>
          <w:rFonts w:ascii="Arial" w:cs="Arial" w:eastAsia="Arial" w:hAnsi="Arial"/>
          <w:sz w:val="18"/>
          <w:szCs w:val="18"/>
          <w:color w:val="231F20"/>
        </w:rPr>
      </w:pPr>
      <w:r>
        <w:rPr>
          <w:rFonts w:ascii="Arial" w:cs="Arial" w:eastAsia="Arial" w:hAnsi="Arial"/>
          <w:sz w:val="18"/>
          <w:szCs w:val="18"/>
          <w:i w:val="1"/>
          <w:iCs w:val="1"/>
          <w:color w:val="231F20"/>
        </w:rPr>
        <w:t>Drive Increased Utilization</w:t>
      </w:r>
      <w:r>
        <w:rPr>
          <w:rFonts w:ascii="Arial" w:cs="Arial" w:eastAsia="Arial" w:hAnsi="Arial"/>
          <w:sz w:val="18"/>
          <w:szCs w:val="18"/>
          <w:color w:val="231F20"/>
        </w:rPr>
        <w:t>. In addition to revenue from system sales and servicing, we also generate revenue from procedure based fees. We</w:t>
      </w:r>
      <w:r>
        <w:rPr>
          <w:rFonts w:ascii="Arial" w:cs="Arial" w:eastAsia="Arial" w:hAnsi="Arial"/>
          <w:sz w:val="18"/>
          <w:szCs w:val="18"/>
          <w:i w:val="1"/>
          <w:iCs w:val="1"/>
          <w:color w:val="231F20"/>
        </w:rPr>
        <w:t xml:space="preserve"> </w:t>
      </w:r>
      <w:r>
        <w:rPr>
          <w:rFonts w:ascii="Arial" w:cs="Arial" w:eastAsia="Arial" w:hAnsi="Arial"/>
          <w:sz w:val="18"/>
          <w:szCs w:val="18"/>
          <w:color w:val="231F20"/>
        </w:rPr>
        <w:t>will continue to work collaboratively with our physician customers to increase utilization by introducing new functionalities, technology and innovations. In addition, we believe we can increase procedure revenue by helping physicians build their practice through our marketing and training support. To achieve all of these goals, we intend to utilize our teams</w:t>
      </w:r>
    </w:p>
    <w:p>
      <w:pPr>
        <w:spacing w:after="0" w:line="200" w:lineRule="exact"/>
        <w:rPr>
          <w:sz w:val="20"/>
          <w:szCs w:val="20"/>
          <w:color w:val="auto"/>
        </w:rPr>
      </w:pPr>
    </w:p>
    <w:p>
      <w:pPr>
        <w:spacing w:after="0" w:line="23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490" w:right="239" w:bottom="1440" w:gutter="0" w:footer="0" w:header="0"/>
        </w:sectPr>
      </w:pPr>
    </w:p>
    <w:bookmarkStart w:id="13" w:name="page14"/>
    <w:bookmarkEnd w:id="13"/>
    <w:p>
      <w:pPr>
        <w:ind w:left="1100" w:right="140"/>
        <w:spacing w:after="0" w:line="277" w:lineRule="auto"/>
        <w:rPr>
          <w:sz w:val="20"/>
          <w:szCs w:val="20"/>
          <w:color w:val="auto"/>
        </w:rPr>
      </w:pPr>
      <w:r>
        <w:rPr>
          <w:rFonts w:ascii="Arial" w:cs="Arial" w:eastAsia="Arial" w:hAnsi="Arial"/>
          <w:sz w:val="18"/>
          <w:szCs w:val="18"/>
          <w:color w:val="231F20"/>
        </w:rPr>
        <w:t>of clinical training managers, or CTMs, PSMs and field service engineers to work with and to support our physician customers in developing profitable ARTAS practices.</w:t>
      </w:r>
    </w:p>
    <w:p>
      <w:pPr>
        <w:spacing w:after="0" w:line="99" w:lineRule="exact"/>
        <w:rPr>
          <w:sz w:val="20"/>
          <w:szCs w:val="20"/>
          <w:color w:val="auto"/>
        </w:rPr>
      </w:pPr>
    </w:p>
    <w:p>
      <w:pPr>
        <w:spacing w:after="0"/>
        <w:rPr>
          <w:sz w:val="20"/>
          <w:szCs w:val="20"/>
          <w:color w:val="auto"/>
        </w:rPr>
      </w:pPr>
      <w:r>
        <w:rPr>
          <w:rFonts w:ascii="Arial" w:cs="Arial" w:eastAsia="Arial" w:hAnsi="Arial"/>
          <w:sz w:val="18"/>
          <w:szCs w:val="18"/>
          <w:b w:val="1"/>
          <w:bCs w:val="1"/>
          <w:color w:val="231F20"/>
        </w:rPr>
        <w:t>Research and Development</w:t>
      </w:r>
    </w:p>
    <w:p>
      <w:pPr>
        <w:spacing w:after="0" w:line="121" w:lineRule="exact"/>
        <w:rPr>
          <w:sz w:val="20"/>
          <w:szCs w:val="20"/>
          <w:color w:val="auto"/>
        </w:rPr>
      </w:pPr>
    </w:p>
    <w:p>
      <w:pPr>
        <w:ind w:right="140"/>
        <w:spacing w:after="0" w:line="308" w:lineRule="auto"/>
        <w:rPr>
          <w:sz w:val="20"/>
          <w:szCs w:val="20"/>
          <w:color w:val="auto"/>
        </w:rPr>
      </w:pPr>
      <w:r>
        <w:rPr>
          <w:rFonts w:ascii="Arial" w:cs="Arial" w:eastAsia="Arial" w:hAnsi="Arial"/>
          <w:sz w:val="17"/>
          <w:szCs w:val="17"/>
          <w:color w:val="231F20"/>
        </w:rPr>
        <w:t>Since we started selling the ARTAS System in 2011, we have introduced a number of new functionalities and enhancements designed to make the use of the ARTAS System more intuitive for clinicians and more comfortable for patients with the ultimate goal of improving clinical outcomes.</w:t>
      </w:r>
    </w:p>
    <w:p>
      <w:pPr>
        <w:spacing w:after="0" w:line="38" w:lineRule="exact"/>
        <w:rPr>
          <w:sz w:val="20"/>
          <w:szCs w:val="20"/>
          <w:color w:val="auto"/>
        </w:rPr>
      </w:pPr>
    </w:p>
    <w:p>
      <w:pPr>
        <w:ind w:right="80"/>
        <w:spacing w:after="0" w:line="279" w:lineRule="auto"/>
        <w:rPr>
          <w:sz w:val="20"/>
          <w:szCs w:val="20"/>
          <w:color w:val="auto"/>
        </w:rPr>
      </w:pPr>
      <w:r>
        <w:rPr>
          <w:rFonts w:ascii="Arial" w:cs="Arial" w:eastAsia="Arial" w:hAnsi="Arial"/>
          <w:sz w:val="17"/>
          <w:szCs w:val="17"/>
          <w:color w:val="231F20"/>
        </w:rPr>
        <w:t>Our research and development efforts are focused on improvements which continue to refine our Harvesting and Site Making functions. We are also developing a robotic implantation functionality for the ARTAS System which is in clinical development. We also intend to continue to improve our user interface, while making ongoing investments in research and development driven by customer feedback and market demands. For the years ended December 31, 2017, 2016 and 2015, we incurred research and development expenses of $7.1 million, $7.5 million and $7.4 million, respectively.</w:t>
      </w:r>
    </w:p>
    <w:p>
      <w:pPr>
        <w:spacing w:after="0" w:line="86" w:lineRule="exact"/>
        <w:rPr>
          <w:sz w:val="20"/>
          <w:szCs w:val="20"/>
          <w:color w:val="auto"/>
        </w:rPr>
      </w:pPr>
    </w:p>
    <w:p>
      <w:pPr>
        <w:spacing w:after="0"/>
        <w:rPr>
          <w:sz w:val="20"/>
          <w:szCs w:val="20"/>
          <w:color w:val="auto"/>
        </w:rPr>
      </w:pPr>
      <w:r>
        <w:rPr>
          <w:rFonts w:ascii="Arial" w:cs="Arial" w:eastAsia="Arial" w:hAnsi="Arial"/>
          <w:sz w:val="18"/>
          <w:szCs w:val="18"/>
          <w:b w:val="1"/>
          <w:bCs w:val="1"/>
          <w:color w:val="231F20"/>
        </w:rPr>
        <w:t>Intellectual Property</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231F20"/>
        </w:rPr>
        <w:t>Patents and Proprietary Technology</w:t>
      </w:r>
    </w:p>
    <w:p>
      <w:pPr>
        <w:spacing w:after="0" w:line="121" w:lineRule="exact"/>
        <w:rPr>
          <w:sz w:val="20"/>
          <w:szCs w:val="20"/>
          <w:color w:val="auto"/>
        </w:rPr>
      </w:pPr>
    </w:p>
    <w:p>
      <w:pPr>
        <w:ind w:right="100"/>
        <w:spacing w:after="0" w:line="259" w:lineRule="auto"/>
        <w:rPr>
          <w:sz w:val="20"/>
          <w:szCs w:val="20"/>
          <w:color w:val="auto"/>
        </w:rPr>
      </w:pPr>
      <w:r>
        <w:rPr>
          <w:rFonts w:ascii="Arial" w:cs="Arial" w:eastAsia="Arial" w:hAnsi="Arial"/>
          <w:sz w:val="18"/>
          <w:szCs w:val="18"/>
          <w:color w:val="231F20"/>
        </w:rPr>
        <w:t>We rely on a combination of patent, copyright, trademark and trade secret laws, and confidentiality and invention assignment agreements to protect our intellectual property rights. As of December 31, 2017, we had 81 issued U.S. patents, primarily covering the ARTAS System and methods of use, the earliest of which expire in 2021, 20 pending U.S. patent applications, 110 issued foreign patents, some of which preserve an opportunity to pursue patent rights in multiple countries, and 38 pending foreign patent applications.</w:t>
      </w:r>
    </w:p>
    <w:p>
      <w:pPr>
        <w:spacing w:after="0" w:line="79" w:lineRule="exact"/>
        <w:rPr>
          <w:sz w:val="20"/>
          <w:szCs w:val="20"/>
          <w:color w:val="auto"/>
        </w:rPr>
      </w:pPr>
    </w:p>
    <w:p>
      <w:pPr>
        <w:ind w:right="140"/>
        <w:spacing w:after="0" w:line="255" w:lineRule="auto"/>
        <w:rPr>
          <w:sz w:val="20"/>
          <w:szCs w:val="20"/>
          <w:color w:val="auto"/>
        </w:rPr>
      </w:pPr>
      <w:r>
        <w:rPr>
          <w:rFonts w:ascii="Arial" w:cs="Arial" w:eastAsia="Arial" w:hAnsi="Arial"/>
          <w:sz w:val="18"/>
          <w:szCs w:val="18"/>
          <w:color w:val="231F20"/>
        </w:rPr>
        <w:t>Our patents cover the ARTAS Hair Studio and ARTAS System’s robotic mechanism, vision system, methods and algorithms of harvesting and making recipient sites, industrial designs and hardware. Our pending patent applications may not result in issued patents, and we cannot provide assurance that any current or subsequently issued patents will protect our intellectual property rights. Third parties may challenge certain patents issued to us as invalid, may independently develop similar or competing technologies or may design around any of our patents. We cannot be certain that any of the steps we have taken will prevent the misappropriation of our intellectual property, particularly in foreign countries where the laws may not protect our proprietary rights in these countries as fully as in the U.S.</w:t>
      </w:r>
    </w:p>
    <w:p>
      <w:pPr>
        <w:spacing w:after="0" w:line="85" w:lineRule="exact"/>
        <w:rPr>
          <w:sz w:val="20"/>
          <w:szCs w:val="20"/>
          <w:color w:val="auto"/>
        </w:rPr>
      </w:pPr>
    </w:p>
    <w:p>
      <w:pPr>
        <w:spacing w:after="0"/>
        <w:rPr>
          <w:sz w:val="20"/>
          <w:szCs w:val="20"/>
          <w:color w:val="auto"/>
        </w:rPr>
      </w:pPr>
      <w:r>
        <w:rPr>
          <w:rFonts w:ascii="Arial" w:cs="Arial" w:eastAsia="Arial" w:hAnsi="Arial"/>
          <w:sz w:val="18"/>
          <w:szCs w:val="18"/>
          <w:color w:val="231F20"/>
        </w:rPr>
        <w:t>There is no active patent litigation involving us and we have not received any notices of patent infringement.</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231F20"/>
        </w:rPr>
        <w:t>License Agreement with HSC Development LLC and James A. Harris, MD</w:t>
      </w:r>
    </w:p>
    <w:p>
      <w:pPr>
        <w:spacing w:after="0" w:line="117" w:lineRule="exact"/>
        <w:rPr>
          <w:sz w:val="20"/>
          <w:szCs w:val="20"/>
          <w:color w:val="auto"/>
        </w:rPr>
      </w:pPr>
    </w:p>
    <w:p>
      <w:pPr>
        <w:spacing w:after="0" w:line="269" w:lineRule="auto"/>
        <w:rPr>
          <w:sz w:val="20"/>
          <w:szCs w:val="20"/>
          <w:color w:val="auto"/>
        </w:rPr>
      </w:pPr>
      <w:r>
        <w:rPr>
          <w:rFonts w:ascii="Arial" w:cs="Arial" w:eastAsia="Arial" w:hAnsi="Arial"/>
          <w:sz w:val="17"/>
          <w:szCs w:val="17"/>
          <w:color w:val="231F20"/>
        </w:rPr>
        <w:t>In July 2006, we entered into a license agreement, or the HSC license agreement, with HSC Development LLC, or HSC, and James A. Harris, M.D., as amended, pursuant to which we received an exclusive, worldwide license to develop, manufacture and commercialize products covered by any of the licensed patent rights or that incorporate the licensed technology in the field of performance of hair removal and implantation, including transplantation, procedures using a computer controlled system in which a needle or other device carried on a mechanized arm is oriented to a follicular unit for extraction of same, or to an implant site for implantation of a follicular unit, or some combination thereof. Under the HSC license agreement, we are developing the ARTAS System to be utilized as a robotic system to assist a physician in performing hair restoration procedures. In consideration for the license, we issued to HSC 25,000 shares of our common stock and paid HSC a one-time payment of $25,000. The license grant is perpetual, and the license agreement does not provide a right for HSC or Dr. Harris to terminate the HSC license agreement. The licensed patents cover, in general, a method and device for the extraction of follicular units from a donor area on a patient. The method includes scoring the outer skin layers with a sharp punch, and then inserting a blunt punch into the incision to separate the hair follicle from the surrounding tissue and fatty layer. The method and device significantly decrease the amount of follicular transection and increase the rate at which follicular units can be extracted. There are other embodiments not herein disclosed. The licensed patents will expire from 2025 through 2030.</w:t>
      </w:r>
    </w:p>
    <w:p>
      <w:pPr>
        <w:spacing w:after="0" w:line="108" w:lineRule="exact"/>
        <w:rPr>
          <w:sz w:val="20"/>
          <w:szCs w:val="20"/>
          <w:color w:val="auto"/>
        </w:rPr>
      </w:pPr>
    </w:p>
    <w:p>
      <w:pPr>
        <w:spacing w:after="0"/>
        <w:rPr>
          <w:sz w:val="20"/>
          <w:szCs w:val="20"/>
          <w:color w:val="auto"/>
        </w:rPr>
      </w:pPr>
      <w:r>
        <w:rPr>
          <w:rFonts w:ascii="Arial" w:cs="Arial" w:eastAsia="Arial" w:hAnsi="Arial"/>
          <w:sz w:val="18"/>
          <w:szCs w:val="18"/>
          <w:b w:val="1"/>
          <w:bCs w:val="1"/>
          <w:color w:val="231F20"/>
        </w:rPr>
        <w:t>Sales and Marketing</w:t>
      </w:r>
    </w:p>
    <w:p>
      <w:pPr>
        <w:spacing w:after="0" w:line="121" w:lineRule="exact"/>
        <w:rPr>
          <w:sz w:val="20"/>
          <w:szCs w:val="20"/>
          <w:color w:val="auto"/>
        </w:rPr>
      </w:pPr>
    </w:p>
    <w:p>
      <w:pPr>
        <w:ind w:right="60"/>
        <w:spacing w:after="0" w:line="264" w:lineRule="auto"/>
        <w:rPr>
          <w:sz w:val="20"/>
          <w:szCs w:val="20"/>
          <w:color w:val="auto"/>
        </w:rPr>
      </w:pPr>
      <w:r>
        <w:rPr>
          <w:rFonts w:ascii="Arial" w:cs="Arial" w:eastAsia="Arial" w:hAnsi="Arial"/>
          <w:sz w:val="18"/>
          <w:szCs w:val="18"/>
          <w:color w:val="231F20"/>
        </w:rPr>
        <w:t>We generate revenue from the sale and service of ARTAS Systems and procedure based fees. Generally, our physician customers either purchase their procedures online or through distributors. In the U.S., customers pay in advance generally on a per hair follicle basis for the hair follicles to be harvested, and on a per procedure basis for</w:t>
      </w:r>
    </w:p>
    <w:p>
      <w:pPr>
        <w:spacing w:after="0" w:line="200" w:lineRule="exact"/>
        <w:rPr>
          <w:sz w:val="20"/>
          <w:szCs w:val="20"/>
          <w:color w:val="auto"/>
        </w:rPr>
      </w:pPr>
    </w:p>
    <w:p>
      <w:pPr>
        <w:spacing w:after="0" w:line="22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449" w:right="259" w:bottom="1440" w:gutter="0" w:footer="0" w:header="0"/>
        </w:sectPr>
      </w:pPr>
    </w:p>
    <w:bookmarkStart w:id="14" w:name="page15"/>
    <w:bookmarkEnd w:id="14"/>
    <w:p>
      <w:pPr>
        <w:ind w:right="300"/>
        <w:spacing w:after="0" w:line="264" w:lineRule="auto"/>
        <w:rPr>
          <w:sz w:val="20"/>
          <w:szCs w:val="20"/>
          <w:color w:val="auto"/>
        </w:rPr>
      </w:pPr>
      <w:r>
        <w:rPr>
          <w:rFonts w:ascii="Arial" w:cs="Arial" w:eastAsia="Arial" w:hAnsi="Arial"/>
          <w:sz w:val="18"/>
          <w:szCs w:val="18"/>
          <w:color w:val="231F20"/>
        </w:rPr>
        <w:t>Site Making. Outside of the US, physician customers pay in advance, generally on a per procedure basis for both hair follicle Harvesting and Site Making. Customers generally either purchase their ARTAS System directly or finance their purchase through third parties. We do not provide financing to our customers.</w:t>
      </w:r>
    </w:p>
    <w:p>
      <w:pPr>
        <w:spacing w:after="0" w:line="73" w:lineRule="exact"/>
        <w:rPr>
          <w:sz w:val="20"/>
          <w:szCs w:val="20"/>
          <w:color w:val="auto"/>
        </w:rPr>
      </w:pPr>
    </w:p>
    <w:p>
      <w:pPr>
        <w:ind w:right="60"/>
        <w:spacing w:after="0" w:line="342" w:lineRule="auto"/>
        <w:rPr>
          <w:sz w:val="20"/>
          <w:szCs w:val="20"/>
          <w:color w:val="auto"/>
        </w:rPr>
      </w:pPr>
      <w:r>
        <w:rPr>
          <w:rFonts w:ascii="Arial" w:cs="Arial" w:eastAsia="Arial" w:hAnsi="Arial"/>
          <w:sz w:val="16"/>
          <w:szCs w:val="16"/>
          <w:color w:val="231F20"/>
        </w:rPr>
        <w:t>We sell the ARTAS System, provide service and generate procedure based fees. In the U.S. we generate revenue through our direct sales force. Outside of the U.S. we utilize our direct sales force as well as third-party distributors. As of December 31, 2017, we have sold the ARTAS System in 37 countries.</w:t>
      </w:r>
    </w:p>
    <w:p>
      <w:pPr>
        <w:spacing w:after="0" w:line="52" w:lineRule="exact"/>
        <w:rPr>
          <w:sz w:val="20"/>
          <w:szCs w:val="20"/>
          <w:color w:val="auto"/>
        </w:rPr>
      </w:pPr>
    </w:p>
    <w:p>
      <w:pPr>
        <w:spacing w:after="0"/>
        <w:rPr>
          <w:sz w:val="20"/>
          <w:szCs w:val="20"/>
          <w:color w:val="auto"/>
        </w:rPr>
      </w:pPr>
      <w:r>
        <w:rPr>
          <w:rFonts w:ascii="Arial" w:cs="Arial" w:eastAsia="Arial" w:hAnsi="Arial"/>
          <w:sz w:val="18"/>
          <w:szCs w:val="18"/>
          <w:b w:val="1"/>
          <w:bCs w:val="1"/>
          <w:color w:val="231F20"/>
        </w:rPr>
        <w:t>U.S. Sales</w:t>
      </w:r>
    </w:p>
    <w:p>
      <w:pPr>
        <w:spacing w:after="0" w:line="121" w:lineRule="exact"/>
        <w:rPr>
          <w:sz w:val="20"/>
          <w:szCs w:val="20"/>
          <w:color w:val="auto"/>
        </w:rPr>
      </w:pPr>
    </w:p>
    <w:p>
      <w:pPr>
        <w:ind w:right="260"/>
        <w:spacing w:after="0" w:line="342" w:lineRule="auto"/>
        <w:rPr>
          <w:sz w:val="20"/>
          <w:szCs w:val="20"/>
          <w:color w:val="auto"/>
        </w:rPr>
      </w:pPr>
      <w:r>
        <w:rPr>
          <w:rFonts w:ascii="Arial" w:cs="Arial" w:eastAsia="Arial" w:hAnsi="Arial"/>
          <w:sz w:val="16"/>
          <w:szCs w:val="16"/>
          <w:color w:val="231F20"/>
        </w:rPr>
        <w:t>We sell the ARTAS System, provide service and generate procedure based revenue by helping our physician customers build their hair restoration practice, through a direct sales force in the U.S. which, as of December 31, 2017, included four regional sales managers, or RSMs, six CTMs and five PSMs.</w:t>
      </w:r>
    </w:p>
    <w:p>
      <w:pPr>
        <w:spacing w:after="0" w:line="43" w:lineRule="exact"/>
        <w:rPr>
          <w:sz w:val="20"/>
          <w:szCs w:val="20"/>
          <w:color w:val="auto"/>
        </w:rPr>
      </w:pPr>
    </w:p>
    <w:p>
      <w:pPr>
        <w:spacing w:after="0"/>
        <w:rPr>
          <w:sz w:val="20"/>
          <w:szCs w:val="20"/>
          <w:color w:val="auto"/>
        </w:rPr>
      </w:pPr>
      <w:r>
        <w:rPr>
          <w:rFonts w:ascii="Arial" w:cs="Arial" w:eastAsia="Arial" w:hAnsi="Arial"/>
          <w:sz w:val="18"/>
          <w:szCs w:val="18"/>
          <w:i w:val="1"/>
          <w:iCs w:val="1"/>
          <w:color w:val="231F20"/>
        </w:rPr>
        <w:t>Regional Sales Managers</w:t>
      </w:r>
    </w:p>
    <w:p>
      <w:pPr>
        <w:spacing w:after="0" w:line="117" w:lineRule="exact"/>
        <w:rPr>
          <w:sz w:val="20"/>
          <w:szCs w:val="20"/>
          <w:color w:val="auto"/>
        </w:rPr>
      </w:pPr>
    </w:p>
    <w:p>
      <w:pPr>
        <w:spacing w:after="0" w:line="308" w:lineRule="auto"/>
        <w:rPr>
          <w:sz w:val="20"/>
          <w:szCs w:val="20"/>
          <w:color w:val="auto"/>
        </w:rPr>
      </w:pPr>
      <w:r>
        <w:rPr>
          <w:rFonts w:ascii="Arial" w:cs="Arial" w:eastAsia="Arial" w:hAnsi="Arial"/>
          <w:sz w:val="17"/>
          <w:szCs w:val="17"/>
          <w:color w:val="231F20"/>
        </w:rPr>
        <w:t>Our RSMs are responsible for coordinating and executing the direct sales of the ARTAS Systems. We target potential customers through marketing events and programs, and we leverage longstanding RSM relationships with dermatologists, plastic surgeons and cosmetic aesthetic surgeons.</w:t>
      </w:r>
    </w:p>
    <w:p>
      <w:pPr>
        <w:spacing w:after="0" w:line="79" w:lineRule="exact"/>
        <w:rPr>
          <w:sz w:val="20"/>
          <w:szCs w:val="20"/>
          <w:color w:val="auto"/>
        </w:rPr>
      </w:pPr>
    </w:p>
    <w:p>
      <w:pPr>
        <w:spacing w:after="0"/>
        <w:rPr>
          <w:sz w:val="20"/>
          <w:szCs w:val="20"/>
          <w:color w:val="auto"/>
        </w:rPr>
      </w:pPr>
      <w:r>
        <w:rPr>
          <w:rFonts w:ascii="Arial" w:cs="Arial" w:eastAsia="Arial" w:hAnsi="Arial"/>
          <w:sz w:val="18"/>
          <w:szCs w:val="18"/>
          <w:i w:val="1"/>
          <w:iCs w:val="1"/>
          <w:color w:val="231F20"/>
        </w:rPr>
        <w:t>Clinical Training Managers</w:t>
      </w:r>
    </w:p>
    <w:p>
      <w:pPr>
        <w:spacing w:after="0" w:line="117" w:lineRule="exact"/>
        <w:rPr>
          <w:sz w:val="20"/>
          <w:szCs w:val="20"/>
          <w:color w:val="auto"/>
        </w:rPr>
      </w:pPr>
    </w:p>
    <w:p>
      <w:pPr>
        <w:spacing w:after="0" w:line="276" w:lineRule="auto"/>
        <w:rPr>
          <w:sz w:val="20"/>
          <w:szCs w:val="20"/>
          <w:color w:val="auto"/>
        </w:rPr>
      </w:pPr>
      <w:r>
        <w:rPr>
          <w:rFonts w:ascii="Arial" w:cs="Arial" w:eastAsia="Arial" w:hAnsi="Arial"/>
          <w:sz w:val="17"/>
          <w:szCs w:val="17"/>
          <w:color w:val="231F20"/>
        </w:rPr>
        <w:t>Our CTMs provide high quality, comprehensive training and education to physicians on the use of the ARTAS System and on how to build their hair restoration practices. As of December 31, 2017, our CTM team is comprised of six highly-skilled professionals with an average of over 10 years of experience in training physician practices in hair restoration or other aesthetics procedures and surgery. We provide this initial training to assist physicians and their staffs in performing the ARTAS procedure in accordance with the product’s cleared instructions for use. Prior to the installation of the ARTAS System, the CTMs meet with the physician and their technicians to assess the level of training that will be required.</w:t>
      </w:r>
    </w:p>
    <w:p>
      <w:pPr>
        <w:spacing w:after="0" w:line="64" w:lineRule="exact"/>
        <w:rPr>
          <w:sz w:val="20"/>
          <w:szCs w:val="20"/>
          <w:color w:val="auto"/>
        </w:rPr>
      </w:pPr>
    </w:p>
    <w:p>
      <w:pPr>
        <w:jc w:val="both"/>
        <w:ind w:right="80"/>
        <w:spacing w:after="0" w:line="286" w:lineRule="auto"/>
        <w:rPr>
          <w:sz w:val="20"/>
          <w:szCs w:val="20"/>
          <w:color w:val="auto"/>
        </w:rPr>
      </w:pPr>
      <w:r>
        <w:rPr>
          <w:rFonts w:ascii="Arial" w:cs="Arial" w:eastAsia="Arial" w:hAnsi="Arial"/>
          <w:sz w:val="17"/>
          <w:szCs w:val="17"/>
          <w:color w:val="231F20"/>
        </w:rPr>
        <w:t>Our CTM training programs involve product and procedure training. During this initial training, we typically have one to three CTMs on site. We have found that a key to adoption and utilization of the ARTAS System is clinical confidence in the ARTAS System technology and procedure. We often conduct onsite physician training when we introduce innovations, such as the ARTAS Hair Studio application and our Site Making functionality.</w:t>
      </w:r>
    </w:p>
    <w:p>
      <w:pPr>
        <w:spacing w:after="0" w:line="98" w:lineRule="exact"/>
        <w:rPr>
          <w:sz w:val="20"/>
          <w:szCs w:val="20"/>
          <w:color w:val="auto"/>
        </w:rPr>
      </w:pPr>
    </w:p>
    <w:p>
      <w:pPr>
        <w:spacing w:after="0"/>
        <w:rPr>
          <w:sz w:val="20"/>
          <w:szCs w:val="20"/>
          <w:color w:val="auto"/>
        </w:rPr>
      </w:pPr>
      <w:r>
        <w:rPr>
          <w:rFonts w:ascii="Arial" w:cs="Arial" w:eastAsia="Arial" w:hAnsi="Arial"/>
          <w:sz w:val="18"/>
          <w:szCs w:val="18"/>
          <w:i w:val="1"/>
          <w:iCs w:val="1"/>
          <w:color w:val="231F20"/>
        </w:rPr>
        <w:t>Practice Success Managers</w:t>
      </w:r>
    </w:p>
    <w:p>
      <w:pPr>
        <w:spacing w:after="0" w:line="117" w:lineRule="exact"/>
        <w:rPr>
          <w:sz w:val="20"/>
          <w:szCs w:val="20"/>
          <w:color w:val="auto"/>
        </w:rPr>
      </w:pPr>
    </w:p>
    <w:p>
      <w:pPr>
        <w:ind w:right="40"/>
        <w:spacing w:after="0" w:line="290" w:lineRule="auto"/>
        <w:rPr>
          <w:sz w:val="20"/>
          <w:szCs w:val="20"/>
          <w:color w:val="auto"/>
        </w:rPr>
      </w:pPr>
      <w:r>
        <w:rPr>
          <w:rFonts w:ascii="Arial" w:cs="Arial" w:eastAsia="Arial" w:hAnsi="Arial"/>
          <w:sz w:val="16"/>
          <w:szCs w:val="16"/>
          <w:color w:val="231F20"/>
        </w:rPr>
        <w:t>Our PSMs are responsible for helping our physician customers build awareness and market the ARTAS procedure and increase ARTAS brand-awareness. Our PSMs average over five years of experience in developing hair restoration practices and aesthetics practices. They form strong relationships with our customers and consult on how to integrate the ARTAS System into their practices, while raising awareness of the procedure among potential patients. This process often begins before the ARTAS System is installed at the customer site. Our PSMs work closely with the team that will manage the ARTAS business at the practice level to establish goals and develop detailed strategies to achieve these goals. This includes extensive training and coaching with respect to the patient consultation process. We provide easily implemented marketing tools allowing practices to create individually tailored website content, direct mail advertisements, print ads for magazines and newspapers and brochures. In addition, PSMs consult on methods to raise awareness of the ARTAS procedure through practice events, public relations, television, and radio advertising and other channels.</w:t>
      </w:r>
    </w:p>
    <w:p>
      <w:pPr>
        <w:spacing w:after="0" w:line="81" w:lineRule="exact"/>
        <w:rPr>
          <w:sz w:val="20"/>
          <w:szCs w:val="20"/>
          <w:color w:val="auto"/>
        </w:rPr>
      </w:pPr>
    </w:p>
    <w:p>
      <w:pPr>
        <w:spacing w:after="0"/>
        <w:rPr>
          <w:sz w:val="20"/>
          <w:szCs w:val="20"/>
          <w:color w:val="auto"/>
        </w:rPr>
      </w:pPr>
      <w:r>
        <w:rPr>
          <w:rFonts w:ascii="Arial" w:cs="Arial" w:eastAsia="Arial" w:hAnsi="Arial"/>
          <w:sz w:val="18"/>
          <w:szCs w:val="18"/>
          <w:b w:val="1"/>
          <w:bCs w:val="1"/>
          <w:color w:val="231F20"/>
        </w:rPr>
        <w:t>International Sales</w:t>
      </w:r>
    </w:p>
    <w:p>
      <w:pPr>
        <w:spacing w:after="0" w:line="121" w:lineRule="exact"/>
        <w:rPr>
          <w:sz w:val="20"/>
          <w:szCs w:val="20"/>
          <w:color w:val="auto"/>
        </w:rPr>
      </w:pPr>
    </w:p>
    <w:p>
      <w:pPr>
        <w:ind w:right="40"/>
        <w:spacing w:after="0" w:line="276" w:lineRule="auto"/>
        <w:rPr>
          <w:sz w:val="20"/>
          <w:szCs w:val="20"/>
          <w:color w:val="auto"/>
        </w:rPr>
      </w:pPr>
      <w:r>
        <w:rPr>
          <w:rFonts w:ascii="Arial" w:cs="Arial" w:eastAsia="Arial" w:hAnsi="Arial"/>
          <w:sz w:val="17"/>
          <w:szCs w:val="17"/>
          <w:color w:val="231F20"/>
        </w:rPr>
        <w:t>We are developing selected markets outside the U.S. through a combination of direct selling and a network of distribution partners. As of December, 31 2017, we have three regional directors overseeing Asia, Europe, the Middle East, Africa and Latin America. These regional directors are responsible for coordinating direct sales, as well as the management of our distribution partners within these regions. There are four sales personnel directly selling in nine countries, as well as an international sales team of 15 employees supporting 20 independent distributors who market the ARTAS System in 27 countries. We require our distributors to provide technical service, clinical education, training and practice development.</w:t>
      </w:r>
    </w:p>
    <w:p>
      <w:pPr>
        <w:spacing w:after="0" w:line="64" w:lineRule="exact"/>
        <w:rPr>
          <w:sz w:val="20"/>
          <w:szCs w:val="20"/>
          <w:color w:val="auto"/>
        </w:rPr>
      </w:pPr>
    </w:p>
    <w:p>
      <w:pPr>
        <w:ind w:right="320"/>
        <w:spacing w:after="0" w:line="277" w:lineRule="auto"/>
        <w:rPr>
          <w:sz w:val="20"/>
          <w:szCs w:val="20"/>
          <w:color w:val="auto"/>
        </w:rPr>
      </w:pPr>
      <w:r>
        <w:rPr>
          <w:rFonts w:ascii="Arial" w:cs="Arial" w:eastAsia="Arial" w:hAnsi="Arial"/>
          <w:sz w:val="18"/>
          <w:szCs w:val="18"/>
          <w:color w:val="231F20"/>
        </w:rPr>
        <w:t>In international markets, we utilize a variety of tools to market to physicians. We have two employees supporting marketing-related activities dedicated to international regions. We provide market support for our existing</w:t>
      </w:r>
    </w:p>
    <w:p>
      <w:pPr>
        <w:spacing w:after="0" w:line="200" w:lineRule="exact"/>
        <w:rPr>
          <w:sz w:val="20"/>
          <w:szCs w:val="20"/>
          <w:color w:val="auto"/>
        </w:rPr>
      </w:pPr>
    </w:p>
    <w:p>
      <w:pPr>
        <w:spacing w:after="0" w:line="2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449" w:right="239" w:bottom="1440" w:gutter="0" w:footer="0" w:header="0"/>
        </w:sectPr>
      </w:pPr>
    </w:p>
    <w:bookmarkStart w:id="15" w:name="page16"/>
    <w:bookmarkEnd w:id="15"/>
    <w:p>
      <w:pPr>
        <w:ind w:right="340"/>
        <w:spacing w:after="0" w:line="259" w:lineRule="auto"/>
        <w:rPr>
          <w:sz w:val="20"/>
          <w:szCs w:val="20"/>
          <w:color w:val="auto"/>
        </w:rPr>
      </w:pPr>
      <w:r>
        <w:rPr>
          <w:rFonts w:ascii="Arial" w:cs="Arial" w:eastAsia="Arial" w:hAnsi="Arial"/>
          <w:sz w:val="18"/>
          <w:szCs w:val="18"/>
          <w:color w:val="231F20"/>
        </w:rPr>
        <w:t>international ARTAS System owners that is substantially similar to the support we provide to owners in the U.S., either directly or indirectly through our distributors. We also market at major medical and scientific meetings, as well as tradeshows. Furthermore, we sponsor the ARTAS Symposia where physicians can view live ARTAS procedures and attend physician lectures and panel discussions led by key opinion leaders to learn how to develop successful ARTAS practices.</w:t>
      </w:r>
    </w:p>
    <w:p>
      <w:pPr>
        <w:spacing w:after="0" w:line="115" w:lineRule="exact"/>
        <w:rPr>
          <w:sz w:val="20"/>
          <w:szCs w:val="20"/>
          <w:color w:val="auto"/>
        </w:rPr>
      </w:pPr>
    </w:p>
    <w:p>
      <w:pPr>
        <w:spacing w:after="0"/>
        <w:rPr>
          <w:sz w:val="20"/>
          <w:szCs w:val="20"/>
          <w:color w:val="auto"/>
        </w:rPr>
      </w:pPr>
      <w:r>
        <w:rPr>
          <w:rFonts w:ascii="Arial" w:cs="Arial" w:eastAsia="Arial" w:hAnsi="Arial"/>
          <w:sz w:val="18"/>
          <w:szCs w:val="18"/>
          <w:b w:val="1"/>
          <w:bCs w:val="1"/>
          <w:color w:val="231F20"/>
        </w:rPr>
        <w:t>Competition</w:t>
      </w:r>
    </w:p>
    <w:p>
      <w:pPr>
        <w:spacing w:after="0" w:line="121" w:lineRule="exact"/>
        <w:rPr>
          <w:sz w:val="20"/>
          <w:szCs w:val="20"/>
          <w:color w:val="auto"/>
        </w:rPr>
      </w:pPr>
    </w:p>
    <w:p>
      <w:pPr>
        <w:jc w:val="both"/>
        <w:ind w:right="280"/>
        <w:spacing w:after="0" w:line="288" w:lineRule="auto"/>
        <w:rPr>
          <w:sz w:val="20"/>
          <w:szCs w:val="20"/>
          <w:color w:val="auto"/>
        </w:rPr>
      </w:pPr>
      <w:r>
        <w:rPr>
          <w:rFonts w:ascii="Arial" w:cs="Arial" w:eastAsia="Arial" w:hAnsi="Arial"/>
          <w:sz w:val="16"/>
          <w:szCs w:val="16"/>
          <w:color w:val="auto"/>
        </w:rPr>
        <w:t>We compete directly in the surgical hair restoration market. We consider our direct competition to be strip surgeries and FUE procedures using hand-held devices. Among FUE procedures, we face specific competition from the manufacturers of hand-held devices, such as NeoGraft, which is a 510(k) exempt Class I device for use in hair transplantation procedures. We believe there are less than a dozen manufacturers of hand-held devices for FUE procedures.</w:t>
      </w:r>
    </w:p>
    <w:p>
      <w:pPr>
        <w:spacing w:after="0" w:line="261" w:lineRule="auto"/>
        <w:rPr>
          <w:sz w:val="20"/>
          <w:szCs w:val="20"/>
          <w:color w:val="auto"/>
        </w:rPr>
      </w:pPr>
      <w:r>
        <w:rPr>
          <w:rFonts w:ascii="Arial" w:cs="Arial" w:eastAsia="Arial" w:hAnsi="Arial"/>
          <w:sz w:val="18"/>
          <w:szCs w:val="18"/>
          <w:color w:val="auto"/>
        </w:rPr>
        <w:t>NeoGraft, similar to certain other hand-held FUE devices, consists of a hand-held sharp punch that is motorized to dissect and to use suction to remove grafts from the scalp.</w:t>
      </w:r>
    </w:p>
    <w:p>
      <w:pPr>
        <w:spacing w:after="0" w:line="76" w:lineRule="exact"/>
        <w:rPr>
          <w:sz w:val="20"/>
          <w:szCs w:val="20"/>
          <w:color w:val="auto"/>
        </w:rPr>
      </w:pPr>
    </w:p>
    <w:p>
      <w:pPr>
        <w:spacing w:after="0"/>
        <w:rPr>
          <w:sz w:val="20"/>
          <w:szCs w:val="20"/>
          <w:color w:val="auto"/>
        </w:rPr>
      </w:pPr>
      <w:r>
        <w:rPr>
          <w:rFonts w:ascii="Arial" w:cs="Arial" w:eastAsia="Arial" w:hAnsi="Arial"/>
          <w:sz w:val="18"/>
          <w:szCs w:val="18"/>
          <w:color w:val="auto"/>
        </w:rPr>
        <w:t>We believe that the primary competitive factors in this market are:</w:t>
      </w:r>
    </w:p>
    <w:p>
      <w:pPr>
        <w:spacing w:after="0" w:line="117" w:lineRule="exact"/>
        <w:rPr>
          <w:sz w:val="20"/>
          <w:szCs w:val="20"/>
          <w:color w:val="auto"/>
        </w:rPr>
      </w:pPr>
    </w:p>
    <w:p>
      <w:pPr>
        <w:ind w:left="1100" w:hanging="363"/>
        <w:spacing w:after="0"/>
        <w:tabs>
          <w:tab w:leader="none" w:pos="11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company and product brand recognition;</w:t>
      </w:r>
    </w:p>
    <w:p>
      <w:pPr>
        <w:spacing w:after="0" w:line="117" w:lineRule="exact"/>
        <w:rPr>
          <w:rFonts w:ascii="Arial" w:cs="Arial" w:eastAsia="Arial" w:hAnsi="Arial"/>
          <w:sz w:val="18"/>
          <w:szCs w:val="18"/>
          <w:color w:val="auto"/>
        </w:rPr>
      </w:pPr>
    </w:p>
    <w:p>
      <w:pPr>
        <w:ind w:left="1100" w:hanging="363"/>
        <w:spacing w:after="0"/>
        <w:tabs>
          <w:tab w:leader="none" w:pos="11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effective marketing and education;</w:t>
      </w:r>
    </w:p>
    <w:p>
      <w:pPr>
        <w:spacing w:after="0" w:line="117" w:lineRule="exact"/>
        <w:rPr>
          <w:rFonts w:ascii="Arial" w:cs="Arial" w:eastAsia="Arial" w:hAnsi="Arial"/>
          <w:sz w:val="18"/>
          <w:szCs w:val="18"/>
          <w:color w:val="auto"/>
        </w:rPr>
      </w:pPr>
    </w:p>
    <w:p>
      <w:pPr>
        <w:ind w:left="1100" w:hanging="363"/>
        <w:spacing w:after="0"/>
        <w:tabs>
          <w:tab w:leader="none" w:pos="11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sales force experience and access;</w:t>
      </w:r>
    </w:p>
    <w:p>
      <w:pPr>
        <w:spacing w:after="0" w:line="117" w:lineRule="exact"/>
        <w:rPr>
          <w:rFonts w:ascii="Arial" w:cs="Arial" w:eastAsia="Arial" w:hAnsi="Arial"/>
          <w:sz w:val="18"/>
          <w:szCs w:val="18"/>
          <w:color w:val="auto"/>
        </w:rPr>
      </w:pPr>
    </w:p>
    <w:p>
      <w:pPr>
        <w:ind w:left="1100" w:hanging="363"/>
        <w:spacing w:after="0"/>
        <w:tabs>
          <w:tab w:leader="none" w:pos="11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product support and service;</w:t>
      </w:r>
    </w:p>
    <w:p>
      <w:pPr>
        <w:spacing w:after="0" w:line="117" w:lineRule="exact"/>
        <w:rPr>
          <w:rFonts w:ascii="Arial" w:cs="Arial" w:eastAsia="Arial" w:hAnsi="Arial"/>
          <w:sz w:val="18"/>
          <w:szCs w:val="18"/>
          <w:color w:val="auto"/>
        </w:rPr>
      </w:pPr>
    </w:p>
    <w:p>
      <w:pPr>
        <w:ind w:left="1100" w:hanging="363"/>
        <w:spacing w:after="0"/>
        <w:tabs>
          <w:tab w:leader="none" w:pos="11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technological innovation, product enhancements and speed of innovation;</w:t>
      </w:r>
    </w:p>
    <w:p>
      <w:pPr>
        <w:spacing w:after="0" w:line="117" w:lineRule="exact"/>
        <w:rPr>
          <w:rFonts w:ascii="Arial" w:cs="Arial" w:eastAsia="Arial" w:hAnsi="Arial"/>
          <w:sz w:val="18"/>
          <w:szCs w:val="18"/>
          <w:color w:val="auto"/>
        </w:rPr>
      </w:pPr>
    </w:p>
    <w:p>
      <w:pPr>
        <w:ind w:left="1100" w:hanging="363"/>
        <w:spacing w:after="0"/>
        <w:tabs>
          <w:tab w:leader="none" w:pos="11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pricing and revenue strategies;</w:t>
      </w:r>
    </w:p>
    <w:p>
      <w:pPr>
        <w:spacing w:after="0" w:line="117" w:lineRule="exact"/>
        <w:rPr>
          <w:rFonts w:ascii="Arial" w:cs="Arial" w:eastAsia="Arial" w:hAnsi="Arial"/>
          <w:sz w:val="18"/>
          <w:szCs w:val="18"/>
          <w:color w:val="auto"/>
        </w:rPr>
      </w:pPr>
    </w:p>
    <w:p>
      <w:pPr>
        <w:ind w:left="1100" w:hanging="363"/>
        <w:spacing w:after="0"/>
        <w:tabs>
          <w:tab w:leader="none" w:pos="11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product reliability, safety and durability;</w:t>
      </w:r>
    </w:p>
    <w:p>
      <w:pPr>
        <w:spacing w:after="0" w:line="117" w:lineRule="exact"/>
        <w:rPr>
          <w:rFonts w:ascii="Arial" w:cs="Arial" w:eastAsia="Arial" w:hAnsi="Arial"/>
          <w:sz w:val="18"/>
          <w:szCs w:val="18"/>
          <w:color w:val="auto"/>
        </w:rPr>
      </w:pPr>
    </w:p>
    <w:p>
      <w:pPr>
        <w:ind w:left="1100" w:hanging="363"/>
        <w:spacing w:after="0"/>
        <w:tabs>
          <w:tab w:leader="none" w:pos="11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ease of use;</w:t>
      </w:r>
    </w:p>
    <w:p>
      <w:pPr>
        <w:spacing w:after="0" w:line="117" w:lineRule="exact"/>
        <w:rPr>
          <w:rFonts w:ascii="Arial" w:cs="Arial" w:eastAsia="Arial" w:hAnsi="Arial"/>
          <w:sz w:val="18"/>
          <w:szCs w:val="18"/>
          <w:color w:val="auto"/>
        </w:rPr>
      </w:pPr>
    </w:p>
    <w:p>
      <w:pPr>
        <w:ind w:left="1100" w:hanging="363"/>
        <w:spacing w:after="0"/>
        <w:tabs>
          <w:tab w:leader="none" w:pos="11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consistency, predictability and durability of aesthetic results;</w:t>
      </w:r>
    </w:p>
    <w:p>
      <w:pPr>
        <w:spacing w:after="0" w:line="117" w:lineRule="exact"/>
        <w:rPr>
          <w:rFonts w:ascii="Arial" w:cs="Arial" w:eastAsia="Arial" w:hAnsi="Arial"/>
          <w:sz w:val="18"/>
          <w:szCs w:val="18"/>
          <w:color w:val="auto"/>
        </w:rPr>
      </w:pPr>
    </w:p>
    <w:p>
      <w:pPr>
        <w:ind w:left="1100" w:hanging="363"/>
        <w:spacing w:after="0"/>
        <w:tabs>
          <w:tab w:leader="none" w:pos="11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procedure costs to patients; and</w:t>
      </w:r>
    </w:p>
    <w:p>
      <w:pPr>
        <w:spacing w:after="0" w:line="117" w:lineRule="exact"/>
        <w:rPr>
          <w:rFonts w:ascii="Arial" w:cs="Arial" w:eastAsia="Arial" w:hAnsi="Arial"/>
          <w:sz w:val="18"/>
          <w:szCs w:val="18"/>
          <w:color w:val="auto"/>
        </w:rPr>
      </w:pPr>
    </w:p>
    <w:p>
      <w:pPr>
        <w:ind w:left="1100" w:hanging="363"/>
        <w:spacing w:after="0"/>
        <w:tabs>
          <w:tab w:leader="none" w:pos="11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dedicated practice development teams; and dedicated clinical training teams.</w:t>
      </w:r>
    </w:p>
    <w:p>
      <w:pPr>
        <w:spacing w:after="0" w:line="117"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Many of our surgical device and equipment competitors have greater capital resources, sales and marketing operations and service infrastructures than we do, as well as longer commercial histories and more extensive relationships with physicians.</w:t>
      </w:r>
    </w:p>
    <w:p>
      <w:pPr>
        <w:spacing w:after="0" w:line="62" w:lineRule="exact"/>
        <w:rPr>
          <w:sz w:val="20"/>
          <w:szCs w:val="20"/>
          <w:color w:val="auto"/>
        </w:rPr>
      </w:pPr>
    </w:p>
    <w:p>
      <w:pPr>
        <w:ind w:right="180"/>
        <w:spacing w:after="0" w:line="264" w:lineRule="auto"/>
        <w:rPr>
          <w:sz w:val="20"/>
          <w:szCs w:val="20"/>
          <w:color w:val="auto"/>
        </w:rPr>
      </w:pPr>
      <w:r>
        <w:rPr>
          <w:rFonts w:ascii="Arial" w:cs="Arial" w:eastAsia="Arial" w:hAnsi="Arial"/>
          <w:sz w:val="18"/>
          <w:szCs w:val="18"/>
          <w:color w:val="231F20"/>
        </w:rPr>
        <w:t>Strip surgery and some manual FUE procedures have a greater penetration into the hair restoration market. We face resistance from some established hair restoration practices in converting to ARTAS procedures due to workflow and staffing changes required, even though we believe that staffing requirements are reduced with the adoption of ARTAS procedures.</w:t>
      </w:r>
    </w:p>
    <w:p>
      <w:pPr>
        <w:spacing w:after="0" w:line="73" w:lineRule="exact"/>
        <w:rPr>
          <w:sz w:val="20"/>
          <w:szCs w:val="20"/>
          <w:color w:val="auto"/>
        </w:rPr>
      </w:pPr>
    </w:p>
    <w:p>
      <w:pPr>
        <w:spacing w:after="0"/>
        <w:rPr>
          <w:sz w:val="20"/>
          <w:szCs w:val="20"/>
          <w:color w:val="auto"/>
        </w:rPr>
      </w:pPr>
      <w:r>
        <w:rPr>
          <w:rFonts w:ascii="Arial" w:cs="Arial" w:eastAsia="Arial" w:hAnsi="Arial"/>
          <w:sz w:val="18"/>
          <w:szCs w:val="18"/>
          <w:color w:val="231F20"/>
        </w:rPr>
        <w:t>We face competition to recruit and retain qualified sales, training and other personnel.</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231F20"/>
        </w:rPr>
        <w:t>We face competition for attention from our distributors as they may also sell other non-competing products.</w:t>
      </w:r>
    </w:p>
    <w:p>
      <w:pPr>
        <w:spacing w:after="0" w:line="117" w:lineRule="exact"/>
        <w:rPr>
          <w:sz w:val="20"/>
          <w:szCs w:val="20"/>
          <w:color w:val="auto"/>
        </w:rPr>
      </w:pPr>
    </w:p>
    <w:p>
      <w:pPr>
        <w:ind w:right="80"/>
        <w:spacing w:after="0" w:line="264" w:lineRule="auto"/>
        <w:rPr>
          <w:sz w:val="20"/>
          <w:szCs w:val="20"/>
          <w:color w:val="auto"/>
        </w:rPr>
      </w:pPr>
      <w:r>
        <w:rPr>
          <w:rFonts w:ascii="Arial" w:cs="Arial" w:eastAsia="Arial" w:hAnsi="Arial"/>
          <w:sz w:val="18"/>
          <w:szCs w:val="18"/>
          <w:color w:val="231F20"/>
        </w:rPr>
        <w:t>Our indirect competition includes non-surgical treatments for hair loss, such as prescription therapeutics, including Propecia, and non-prescription remedies, such as wigs, hair pieces and spray-on applications. We also face competition from other aesthetic devices that physicians may consider adding to their practice in lieu of building a hair restoration practice.</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b w:val="1"/>
          <w:bCs w:val="1"/>
          <w:color w:val="231F20"/>
        </w:rPr>
        <w:t>Manufacturing</w:t>
      </w:r>
    </w:p>
    <w:p>
      <w:pPr>
        <w:spacing w:after="0" w:line="121" w:lineRule="exact"/>
        <w:rPr>
          <w:sz w:val="20"/>
          <w:szCs w:val="20"/>
          <w:color w:val="auto"/>
        </w:rPr>
      </w:pPr>
    </w:p>
    <w:p>
      <w:pPr>
        <w:ind w:right="20"/>
        <w:spacing w:after="0" w:line="257" w:lineRule="auto"/>
        <w:rPr>
          <w:sz w:val="20"/>
          <w:szCs w:val="20"/>
          <w:color w:val="auto"/>
        </w:rPr>
      </w:pPr>
      <w:r>
        <w:rPr>
          <w:rFonts w:ascii="Arial" w:cs="Arial" w:eastAsia="Arial" w:hAnsi="Arial"/>
          <w:sz w:val="18"/>
          <w:szCs w:val="18"/>
          <w:color w:val="auto"/>
        </w:rPr>
        <w:t>The ARTAS System, reusable and disposable kits and upgrade kits are assembled exclusively for us by Evolve Manufacturing Technologies, Inc., or Evolve, a contract manufacturer based in Fremont, California. We have two master agreements and a component pricing agreement with Evolve for the supply of the ARTAS System, and consumable products, including reusable and disposable procedure kits and upgrade kits used with the ARTAS System, pursuant to both of which we make purchases on a purchase order basis. The terms of these master agreements are substantially similar. The master agreement for the sale of ARTAS Systems was effective beginning</w:t>
      </w:r>
    </w:p>
    <w:p>
      <w:pPr>
        <w:spacing w:after="0" w:line="200" w:lineRule="exact"/>
        <w:rPr>
          <w:sz w:val="20"/>
          <w:szCs w:val="20"/>
          <w:color w:val="auto"/>
        </w:rPr>
      </w:pPr>
    </w:p>
    <w:p>
      <w:pPr>
        <w:spacing w:after="0" w:line="231"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360"/>
          </w:cols>
          <w:pgMar w:left="240" w:top="449" w:right="299" w:bottom="1440" w:gutter="0" w:footer="0" w:header="0"/>
        </w:sectPr>
      </w:pPr>
    </w:p>
    <w:bookmarkStart w:id="16" w:name="page17"/>
    <w:bookmarkEnd w:id="16"/>
    <w:p>
      <w:pPr>
        <w:ind w:right="100"/>
        <w:spacing w:after="0" w:line="255" w:lineRule="auto"/>
        <w:rPr>
          <w:sz w:val="20"/>
          <w:szCs w:val="20"/>
          <w:color w:val="auto"/>
        </w:rPr>
      </w:pPr>
      <w:r>
        <w:rPr>
          <w:rFonts w:ascii="Arial" w:cs="Arial" w:eastAsia="Arial" w:hAnsi="Arial"/>
          <w:sz w:val="18"/>
          <w:szCs w:val="18"/>
          <w:color w:val="auto"/>
        </w:rPr>
        <w:t>on April 1, 2016 and the master agreement for the sale of kits used with the ARTAS System was effective beginning on March 1, 2016. Both agreements are effective for an initial term of two years and will continue to automatically renew for additional twelve month periods, subject to either party’s right to terminate the agreement upon 180 days advance notice during the initial term if our quarterly forecasted demand falls below 75% of our historical forecasted demand for the same period in the previous year or upon 120 days’ advance notice after the initial term. Our agreement with Evolve for the pricing of certain components at certain quantities was effective on August 1, 2016 and expires on August 1, 2018. Otherwise, Evolve is not required, and may not be able or willing, to meet our future requirements at current prices, or at all.</w:t>
      </w:r>
    </w:p>
    <w:p>
      <w:pPr>
        <w:spacing w:after="0" w:line="85"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The components that make up the ARTAS System are manufactured by many different providers, including major components manufactured by sole source suppliers, such as the robotic arm, which is manufactured by Stäubli Corporation, the cameras, which are manufactured by FLIR Integrated Imaging Solutions Inc. and the product casing, which is manufactured by Preproduction Plastics Inc. Each of the ARTAS Systems undergoes testing at multiple interim stages during the manufacturing process, and is tested during one last time prior to delivery.</w:t>
      </w:r>
    </w:p>
    <w:p>
      <w:pPr>
        <w:spacing w:after="0" w:line="79" w:lineRule="exact"/>
        <w:rPr>
          <w:sz w:val="20"/>
          <w:szCs w:val="20"/>
          <w:color w:val="auto"/>
        </w:rPr>
      </w:pPr>
    </w:p>
    <w:p>
      <w:pPr>
        <w:ind w:right="100"/>
        <w:spacing w:after="0" w:line="293" w:lineRule="auto"/>
        <w:rPr>
          <w:sz w:val="20"/>
          <w:szCs w:val="20"/>
          <w:color w:val="auto"/>
        </w:rPr>
      </w:pPr>
      <w:r>
        <w:rPr>
          <w:rFonts w:ascii="Arial" w:cs="Arial" w:eastAsia="Arial" w:hAnsi="Arial"/>
          <w:sz w:val="16"/>
          <w:szCs w:val="16"/>
          <w:color w:val="auto"/>
        </w:rPr>
        <w:t>Given that we utilize one partner to assemble the ARTAS System and the reusable and disposable kits, and source manufacturing of its component parts, we do not believe we could replace Evolve without incurring any material delay or other significant effects on production. We may also have difficulty maintaining sufficient production requirements in the event that Evolve’s relationship with any of Evolve’s sole source suppliers or manufacturers terminates in the future. Where practicable, we are seeking, or intending to seek second-source manufacturers for certain of our components. We believe that existing third-party facilities will be adequate to meet our current and anticipated manufacturing needs. In the last three years, we have not experienced any material delays in obtaining any of our products, nor has the ready supply of finished product to our customers been adversely affected.</w:t>
      </w:r>
    </w:p>
    <w:p>
      <w:pPr>
        <w:spacing w:after="0" w:line="57" w:lineRule="exact"/>
        <w:rPr>
          <w:sz w:val="20"/>
          <w:szCs w:val="20"/>
          <w:color w:val="auto"/>
        </w:rPr>
      </w:pPr>
    </w:p>
    <w:p>
      <w:pPr>
        <w:ind w:right="80"/>
        <w:spacing w:after="0" w:line="255" w:lineRule="auto"/>
        <w:rPr>
          <w:sz w:val="20"/>
          <w:szCs w:val="20"/>
          <w:color w:val="auto"/>
        </w:rPr>
      </w:pPr>
      <w:r>
        <w:rPr>
          <w:rFonts w:ascii="Arial" w:cs="Arial" w:eastAsia="Arial" w:hAnsi="Arial"/>
          <w:sz w:val="18"/>
          <w:szCs w:val="18"/>
          <w:color w:val="auto"/>
        </w:rPr>
        <w:t>In the U.S., we and Evolve are required to manufacture our products in compliance with the FDA’s Quality System Regulation, or QSR. The QSR covers the methods and documentation used in, and the facilities used for the design, testing, control, manufacturing, labeling, quality assurance, packaging, storage and shipping of our products. In international markets, we also maintain various quality assurance and quality management certifications. We have obtained the following certifications that enable us to market our products in the European Union member states: Quality Management System ISO 13485 certificate, EC certificate #3806999CE01. We have additionally obtained and maintain our product registration in a number of other foreign markets such as Canada and China.</w:t>
      </w:r>
    </w:p>
    <w:p>
      <w:pPr>
        <w:spacing w:after="0" w:line="12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Services and Support</w:t>
      </w:r>
    </w:p>
    <w:p>
      <w:pPr>
        <w:spacing w:after="0" w:line="121" w:lineRule="exact"/>
        <w:rPr>
          <w:sz w:val="20"/>
          <w:szCs w:val="20"/>
          <w:color w:val="auto"/>
        </w:rPr>
      </w:pPr>
    </w:p>
    <w:p>
      <w:pPr>
        <w:ind w:right="20"/>
        <w:spacing w:after="0" w:line="264" w:lineRule="auto"/>
        <w:rPr>
          <w:sz w:val="20"/>
          <w:szCs w:val="20"/>
          <w:color w:val="auto"/>
        </w:rPr>
      </w:pPr>
      <w:r>
        <w:rPr>
          <w:rFonts w:ascii="Arial" w:cs="Arial" w:eastAsia="Arial" w:hAnsi="Arial"/>
          <w:sz w:val="18"/>
          <w:szCs w:val="18"/>
          <w:color w:val="auto"/>
        </w:rPr>
        <w:t>We provide a warranty that typically has a term of one year and covers all the components of the system. Once the warranty expires, customers have the option of purchasing a service contract, which is typically for a term of one or two years. The service contracts that we offer cover preventative and corrective maintenance visits for all components of the system as well as system updates.</w:t>
      </w:r>
    </w:p>
    <w:p>
      <w:pPr>
        <w:spacing w:after="0" w:line="73"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For both warranties and service contracts, the customer’s typical first point of contact for system failures or other technical issues is our customer support line. If the problem cannot be resolved over the phone or by directly connecting to the customer’s system electronically, a field service engineer will be dispatched to the customer site. We generally have a 24-hour response time or less for service calls. Our goal is to minimize the disruption caused by a service event.</w:t>
      </w:r>
    </w:p>
    <w:p>
      <w:pPr>
        <w:spacing w:after="0" w:line="79" w:lineRule="exact"/>
        <w:rPr>
          <w:sz w:val="20"/>
          <w:szCs w:val="20"/>
          <w:color w:val="auto"/>
        </w:rPr>
      </w:pPr>
    </w:p>
    <w:p>
      <w:pPr>
        <w:ind w:right="100"/>
        <w:spacing w:after="0" w:line="257" w:lineRule="auto"/>
        <w:rPr>
          <w:sz w:val="20"/>
          <w:szCs w:val="20"/>
          <w:color w:val="auto"/>
        </w:rPr>
      </w:pPr>
      <w:r>
        <w:rPr>
          <w:rFonts w:ascii="Arial" w:cs="Arial" w:eastAsia="Arial" w:hAnsi="Arial"/>
          <w:sz w:val="18"/>
          <w:szCs w:val="18"/>
          <w:color w:val="auto"/>
        </w:rPr>
        <w:t>We strive to provide highly responsive service and support for the ARTAS System. Our disposable and reusable kits are shipped from Legacy Transportation Services Inc. All kits are identified with lot numbers and date codes that indicate the expiration date of the product and are fully warranted until the date of expiration. We maintain a staff of customer service personnel in our San Jose, California facility that is available by phone to answer questions regarding the use of the ARTAS System. In addition, in the U.S. and certain international territories, our direct service organization provides on-site support and training to our customers in the use of the ARTAS System.</w:t>
      </w:r>
    </w:p>
    <w:p>
      <w:pPr>
        <w:spacing w:after="0" w:line="80" w:lineRule="exact"/>
        <w:rPr>
          <w:sz w:val="20"/>
          <w:szCs w:val="20"/>
          <w:color w:val="auto"/>
        </w:rPr>
      </w:pPr>
    </w:p>
    <w:p>
      <w:pPr>
        <w:ind w:right="220"/>
        <w:spacing w:after="0" w:line="277" w:lineRule="auto"/>
        <w:rPr>
          <w:sz w:val="20"/>
          <w:szCs w:val="20"/>
          <w:color w:val="auto"/>
        </w:rPr>
      </w:pPr>
      <w:r>
        <w:rPr>
          <w:rFonts w:ascii="Arial" w:cs="Arial" w:eastAsia="Arial" w:hAnsi="Arial"/>
          <w:sz w:val="18"/>
          <w:szCs w:val="18"/>
          <w:color w:val="auto"/>
        </w:rPr>
        <w:t>In the U.S. and certain international territories, the ARTAS System is shipped to a customer’s site for installation by one of our Field Service Engineers and training by one of our CTM’s. Our Field Service Engineers, CTMs and PSMs provide post-installation support and service.</w:t>
      </w:r>
    </w:p>
    <w:p>
      <w:pPr>
        <w:spacing w:after="0" w:line="62" w:lineRule="exact"/>
        <w:rPr>
          <w:sz w:val="20"/>
          <w:szCs w:val="20"/>
          <w:color w:val="auto"/>
        </w:rPr>
      </w:pPr>
    </w:p>
    <w:p>
      <w:pPr>
        <w:ind w:right="40"/>
        <w:spacing w:after="0" w:line="286" w:lineRule="auto"/>
        <w:rPr>
          <w:sz w:val="20"/>
          <w:szCs w:val="20"/>
          <w:color w:val="auto"/>
        </w:rPr>
      </w:pPr>
      <w:r>
        <w:rPr>
          <w:rFonts w:ascii="Arial" w:cs="Arial" w:eastAsia="Arial" w:hAnsi="Arial"/>
          <w:sz w:val="17"/>
          <w:szCs w:val="17"/>
          <w:color w:val="auto"/>
        </w:rPr>
        <w:t>In markets where we utilize distributors, the ARTAS System is serviced and supported through our independent distributors. We typically provide distributors with a warranty for each ARTAS System during the warranty period. Once the warranty period ends, the distributors have the option to continue providing support to the end-user customer by purchasing parts through our Parts and Services program or on an as-needed basis.</w:t>
      </w:r>
    </w:p>
    <w:p>
      <w:pPr>
        <w:spacing w:after="0" w:line="200" w:lineRule="exact"/>
        <w:rPr>
          <w:sz w:val="20"/>
          <w:szCs w:val="20"/>
          <w:color w:val="auto"/>
        </w:rPr>
      </w:pPr>
    </w:p>
    <w:p>
      <w:pPr>
        <w:spacing w:after="0" w:line="20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449" w:right="239" w:bottom="1440" w:gutter="0" w:footer="0" w:header="0"/>
        </w:sectPr>
      </w:pPr>
    </w:p>
    <w:bookmarkStart w:id="17" w:name="page18"/>
    <w:bookmarkEnd w:id="17"/>
    <w:p>
      <w:pPr>
        <w:spacing w:after="0"/>
        <w:rPr>
          <w:sz w:val="20"/>
          <w:szCs w:val="20"/>
          <w:color w:val="auto"/>
        </w:rPr>
      </w:pPr>
      <w:r>
        <w:rPr>
          <w:rFonts w:ascii="Arial" w:cs="Arial" w:eastAsia="Arial" w:hAnsi="Arial"/>
          <w:sz w:val="18"/>
          <w:szCs w:val="18"/>
          <w:b w:val="1"/>
          <w:bCs w:val="1"/>
          <w:color w:val="231F20"/>
        </w:rPr>
        <w:t>Government Regulation</w:t>
      </w:r>
    </w:p>
    <w:p>
      <w:pPr>
        <w:spacing w:after="0" w:line="121" w:lineRule="exact"/>
        <w:rPr>
          <w:sz w:val="20"/>
          <w:szCs w:val="20"/>
          <w:color w:val="auto"/>
        </w:rPr>
      </w:pPr>
    </w:p>
    <w:p>
      <w:pPr>
        <w:ind w:right="80"/>
        <w:spacing w:after="0" w:line="273" w:lineRule="auto"/>
        <w:rPr>
          <w:sz w:val="20"/>
          <w:szCs w:val="20"/>
          <w:color w:val="auto"/>
        </w:rPr>
      </w:pPr>
      <w:r>
        <w:rPr>
          <w:rFonts w:ascii="Arial" w:cs="Arial" w:eastAsia="Arial" w:hAnsi="Arial"/>
          <w:sz w:val="17"/>
          <w:szCs w:val="17"/>
          <w:color w:val="auto"/>
        </w:rPr>
        <w:t>Our products and our operations are subject to extensive regulation by the FDA and other federal and state authorities in the U.S., as well as comparable authorities in foreign jurisdictions. Our products are subject to regulation as medical devices in the U.S. under the Federal Food, Drug, and Cosmetic Act, or FDCA, as implemented and enforced by the FDA. The FDA regulates the development, design, non-clinical and clinical research, manufacturing, safety, efficacy, labeling, packaging, storage, installation, servicing, recordkeeping, premarket clearance or approval, import, export, adverse event reporting, advertising, promotion, marketing and distribution, and import and export of medical devices to ensure that medical devices distributed domestically are safe and effective for their intended uses and otherwise meet the requirements of the FDCA.</w:t>
      </w:r>
    </w:p>
    <w:p>
      <w:pPr>
        <w:spacing w:after="0" w:line="9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231F20"/>
        </w:rPr>
        <w:t>FDA Premarket Clearance and Approval Requirements</w:t>
      </w:r>
    </w:p>
    <w:p>
      <w:pPr>
        <w:spacing w:after="0" w:line="117" w:lineRule="exact"/>
        <w:rPr>
          <w:sz w:val="20"/>
          <w:szCs w:val="20"/>
          <w:color w:val="auto"/>
        </w:rPr>
      </w:pPr>
    </w:p>
    <w:p>
      <w:pPr>
        <w:ind w:right="20"/>
        <w:spacing w:after="0" w:line="286" w:lineRule="auto"/>
        <w:rPr>
          <w:sz w:val="20"/>
          <w:szCs w:val="20"/>
          <w:color w:val="auto"/>
        </w:rPr>
      </w:pPr>
      <w:r>
        <w:rPr>
          <w:rFonts w:ascii="Arial" w:cs="Arial" w:eastAsia="Arial" w:hAnsi="Arial"/>
          <w:sz w:val="16"/>
          <w:szCs w:val="16"/>
          <w:color w:val="231F20"/>
        </w:rPr>
        <w:t>Unless an exemption applies, each medical device commercially distributed in the U.S. requires either FDA clearance of a 510(k) premarket notification, or approval of a premarket approval application, or PMA. Under the FDCA, medical devices are classified into one of three classes—Class I, Class II or Class III—depending on the degree of risk associated with each medical device and the extent of manufacturer and regulatory control needed to ensure its safety and effectiveness. Class I includes devices with the lowest risk to the patient, and Class I devices are those for which safety and effectiveness can be assured by adherence to the FDA’s General Controls for medical devices, which include compliance with the applicable portions of the Quality System Regulation, or QSR, facility registration and product listing, reporting of adverse medical events, and truthful and non-misleading labeling, advertising, and promotional materials. Class II devices are subject to the FDA’s General Controls, and special controls as deemed necessary by the FDA to ensure the safety and effectiveness of the device. These special controls can include performance standards, post market surveillance, patient registries and FDA guidance documents. While most Class I devices are exempt from the 510(k) premarket notification requirement, manufacturers of most Class II devices are required to submit to the FDA a premarket notification under Section 510(k) of the FDCA requesting permission to commercially distribute the device. The FDA’s permission to commercially distribute a device subject to a 510(k) premarket notification is generally known as 510(k) clearance. Devices deemed by the FDA to pose the greatest risks, such as life-sustaining, life-supporting or some implantable devices, or devices that have a new intended use, or use advanced technology that is not substantially equivalent to that of a legally marketed device, are placed in Class III, requiring approval of a PMA. Some pre-amendment devices are unclassified, but are subject to the FDA’s premarket notification and clearance process in order to be commercially distributed. To date, our products have been subject to the 510(k) clearance process.</w:t>
      </w:r>
    </w:p>
    <w:p>
      <w:pPr>
        <w:spacing w:after="0" w:line="101" w:lineRule="exact"/>
        <w:rPr>
          <w:sz w:val="20"/>
          <w:szCs w:val="20"/>
          <w:color w:val="auto"/>
        </w:rPr>
      </w:pPr>
    </w:p>
    <w:p>
      <w:pPr>
        <w:spacing w:after="0"/>
        <w:rPr>
          <w:sz w:val="20"/>
          <w:szCs w:val="20"/>
          <w:color w:val="auto"/>
        </w:rPr>
      </w:pPr>
      <w:r>
        <w:rPr>
          <w:rFonts w:ascii="Arial" w:cs="Arial" w:eastAsia="Arial" w:hAnsi="Arial"/>
          <w:sz w:val="18"/>
          <w:szCs w:val="18"/>
          <w:i w:val="1"/>
          <w:iCs w:val="1"/>
          <w:color w:val="231F20"/>
        </w:rPr>
        <w:t>510(k) Marketing Clearance Pathway</w:t>
      </w:r>
    </w:p>
    <w:p>
      <w:pPr>
        <w:spacing w:after="0" w:line="117" w:lineRule="exact"/>
        <w:rPr>
          <w:sz w:val="20"/>
          <w:szCs w:val="20"/>
          <w:color w:val="auto"/>
        </w:rPr>
      </w:pPr>
    </w:p>
    <w:p>
      <w:pPr>
        <w:ind w:right="300"/>
        <w:spacing w:after="0" w:line="255" w:lineRule="auto"/>
        <w:rPr>
          <w:sz w:val="20"/>
          <w:szCs w:val="20"/>
          <w:color w:val="auto"/>
        </w:rPr>
      </w:pPr>
      <w:r>
        <w:rPr>
          <w:rFonts w:ascii="Arial" w:cs="Arial" w:eastAsia="Arial" w:hAnsi="Arial"/>
          <w:sz w:val="18"/>
          <w:szCs w:val="18"/>
          <w:color w:val="231F20"/>
        </w:rPr>
        <w:t xml:space="preserve">To obtain 510(k) clearance, we must submit to the FDA a premarket notification submission demonstrating that the proposed device is ‘‘substantially equivalent’’ to a predicate device already on the market. A predicate device is a legally marketed device that is not subject to premarket approval, </w:t>
      </w:r>
      <w:r>
        <w:rPr>
          <w:rFonts w:ascii="Arial" w:cs="Arial" w:eastAsia="Arial" w:hAnsi="Arial"/>
          <w:sz w:val="18"/>
          <w:szCs w:val="18"/>
          <w:i w:val="1"/>
          <w:iCs w:val="1"/>
          <w:color w:val="231F20"/>
        </w:rPr>
        <w:t>i.e.</w:t>
      </w:r>
      <w:r>
        <w:rPr>
          <w:rFonts w:ascii="Arial" w:cs="Arial" w:eastAsia="Arial" w:hAnsi="Arial"/>
          <w:sz w:val="18"/>
          <w:szCs w:val="18"/>
          <w:color w:val="231F20"/>
        </w:rPr>
        <w:t>, a device that was legally marketed prior to May 28, 1976 (pre-amendments device) and for which a PMA is not required, a device that has been reclassified from Class III to Class II or I, or a device that was found substantially equivalent through the 510(k) process. The FDA’s 510(k) clearance process usually takes from nine to twelve months, but may take significantly longer. The FDA may require additional information, including clinical data, to make a determination regarding substantial equivalence.</w:t>
      </w:r>
    </w:p>
    <w:p>
      <w:pPr>
        <w:spacing w:after="0" w:line="85" w:lineRule="exact"/>
        <w:rPr>
          <w:sz w:val="20"/>
          <w:szCs w:val="20"/>
          <w:color w:val="auto"/>
        </w:rPr>
      </w:pPr>
    </w:p>
    <w:p>
      <w:pPr>
        <w:spacing w:after="0" w:line="257" w:lineRule="auto"/>
        <w:rPr>
          <w:sz w:val="20"/>
          <w:szCs w:val="20"/>
          <w:color w:val="auto"/>
        </w:rPr>
      </w:pPr>
      <w:r>
        <w:rPr>
          <w:rFonts w:ascii="Arial" w:cs="Arial" w:eastAsia="Arial" w:hAnsi="Arial"/>
          <w:sz w:val="18"/>
          <w:szCs w:val="18"/>
          <w:color w:val="231F20"/>
        </w:rPr>
        <w:t>If the FDA agrees that the device is substantially equivalent to a predicate device on the market, it will grant 510(k) clearance to commercially market the device. If the FDA determines that the device is “not substantially equivalent” to a previously cleared device, the device is automatically designated as a Class III device. The device sponsor must then fulfill more rigorous PMA requirements, or can request a risk-based classification determination for the device in accordance with the “de novo” process, which is a route to market for novel medical devices that are low to moderate risk and are not substantially equivalent to a predicate device.</w:t>
      </w:r>
    </w:p>
    <w:p>
      <w:pPr>
        <w:spacing w:after="0" w:line="80"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231F20"/>
        </w:rPr>
        <w:t>After a device receives 510(k) marketing clearance, any modification that could significantly affect its safety or effectiveness, or that would constitute a major change or modification in its intended use, will require a new 510(k) marketing clearance or, depending on the modification, a de novo classification or PMA approval. The FDA requires each manufacturer to determine whether the proposed change requires submission of a 510(k) or a PMA in the first instance, but the FDA can review any such decision and disagree with a manufacturer’s determination. Many minor modifications today are accomplished by a letter-to-file in which the manufacture documents the change in an internal letter-to-file. The letter-to-file is in lieu of submitting a new 510(k) to obtain clearance for</w:t>
      </w:r>
    </w:p>
    <w:p>
      <w:pPr>
        <w:spacing w:after="0" w:line="200" w:lineRule="exact"/>
        <w:rPr>
          <w:sz w:val="20"/>
          <w:szCs w:val="20"/>
          <w:color w:val="auto"/>
        </w:rPr>
      </w:pPr>
    </w:p>
    <w:p>
      <w:pPr>
        <w:spacing w:after="0" w:line="23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486" w:right="259" w:bottom="1440" w:gutter="0" w:footer="0" w:header="0"/>
        </w:sectPr>
      </w:pPr>
    </w:p>
    <w:bookmarkStart w:id="18" w:name="page19"/>
    <w:bookmarkEnd w:id="18"/>
    <w:p>
      <w:pPr>
        <w:ind w:right="220"/>
        <w:spacing w:after="0" w:line="302" w:lineRule="auto"/>
        <w:rPr>
          <w:sz w:val="20"/>
          <w:szCs w:val="20"/>
          <w:color w:val="auto"/>
        </w:rPr>
      </w:pPr>
      <w:r>
        <w:rPr>
          <w:rFonts w:ascii="Arial" w:cs="Arial" w:eastAsia="Arial" w:hAnsi="Arial"/>
          <w:sz w:val="16"/>
          <w:szCs w:val="16"/>
          <w:color w:val="231F20"/>
        </w:rPr>
        <w:t>every change. The FDA may review these letters-to-file during an inspection. If the FDA disagrees with a manufacturer’s determination that no 510(k) was required for the change, the FDA can require the manufacturer to cease marketing and/or request the recall of the modified device until 510(k) marketing clearance or PMA approval is obtained. Also, in these circumstances, we may be subject to significant regulatory fines or penalties. The FDA has issued guidance, originally in 1997, to assist device manufacturers in making the determination as to whether a modification to a device requires a new 510(k).</w:t>
      </w:r>
    </w:p>
    <w:p>
      <w:pPr>
        <w:spacing w:after="0" w:line="87" w:lineRule="exact"/>
        <w:rPr>
          <w:sz w:val="20"/>
          <w:szCs w:val="20"/>
          <w:color w:val="auto"/>
        </w:rPr>
      </w:pPr>
    </w:p>
    <w:p>
      <w:pPr>
        <w:spacing w:after="0"/>
        <w:rPr>
          <w:sz w:val="20"/>
          <w:szCs w:val="20"/>
          <w:color w:val="auto"/>
        </w:rPr>
      </w:pPr>
      <w:r>
        <w:rPr>
          <w:rFonts w:ascii="Arial" w:cs="Arial" w:eastAsia="Arial" w:hAnsi="Arial"/>
          <w:sz w:val="18"/>
          <w:szCs w:val="18"/>
          <w:i w:val="1"/>
          <w:iCs w:val="1"/>
          <w:color w:val="231F20"/>
        </w:rPr>
        <w:t>PMA Approval Pathway</w:t>
      </w:r>
    </w:p>
    <w:p>
      <w:pPr>
        <w:spacing w:after="0" w:line="117" w:lineRule="exact"/>
        <w:rPr>
          <w:sz w:val="20"/>
          <w:szCs w:val="20"/>
          <w:color w:val="auto"/>
        </w:rPr>
      </w:pPr>
    </w:p>
    <w:p>
      <w:pPr>
        <w:ind w:right="60"/>
        <w:spacing w:after="0" w:line="288" w:lineRule="auto"/>
        <w:rPr>
          <w:sz w:val="20"/>
          <w:szCs w:val="20"/>
          <w:color w:val="auto"/>
        </w:rPr>
      </w:pPr>
      <w:r>
        <w:rPr>
          <w:rFonts w:ascii="Arial" w:cs="Arial" w:eastAsia="Arial" w:hAnsi="Arial"/>
          <w:sz w:val="16"/>
          <w:szCs w:val="16"/>
          <w:color w:val="231F20"/>
        </w:rPr>
        <w:t>Class III devices require PMA approval before they can be marketed although some pre-amendment Class III devices for which the FDA has not yet required a PMA are cleared through the 510(k) process. The PMA process is more demanding than the 510(k) premarket notification process. In a PMA, the manufacturer must demonstrate that the device is safe and effective, and the PMA must be supported by extensive data, including data from preclinical studies and human clinical trials. The PMA must also contain a full description of the device and its components, a full description of the methods, facilities and controls used for manufacturing, and proposed labeling. Following receipt of a PMA, the FDA determines whether the application is sufficiently complete to permit a substantive review. If the FDA accepts the application for review, it has 180 days under the FDCA to complete its review of a PMA, although in practice, the FDA’s review often takes significantly longer, and can take up to several years. An advisory panel of experts from outside the FDA may be convened to review and evaluate the application and provide recommendations to the FDA as to the approvability of the device. The FDA may or may not accept the panel’s recommendation. In addition, the FDA will generally conduct a pre-approval inspection of the applicant or its third-party manufacturers’ or suppliers’ manufacturing facility or facilities to ensure compliance with the Quality System Regulation, or QSR.</w:t>
      </w:r>
    </w:p>
    <w:p>
      <w:pPr>
        <w:spacing w:after="0" w:line="61" w:lineRule="exact"/>
        <w:rPr>
          <w:sz w:val="20"/>
          <w:szCs w:val="20"/>
          <w:color w:val="auto"/>
        </w:rPr>
      </w:pPr>
    </w:p>
    <w:p>
      <w:pPr>
        <w:spacing w:after="0" w:line="290" w:lineRule="auto"/>
        <w:rPr>
          <w:sz w:val="20"/>
          <w:szCs w:val="20"/>
          <w:color w:val="auto"/>
        </w:rPr>
      </w:pPr>
      <w:r>
        <w:rPr>
          <w:rFonts w:ascii="Arial" w:cs="Arial" w:eastAsia="Arial" w:hAnsi="Arial"/>
          <w:sz w:val="16"/>
          <w:szCs w:val="16"/>
          <w:color w:val="231F20"/>
        </w:rPr>
        <w:t>The FDA will approve the new device for commercial distribution if it determines that the data and information in the PMA constitute valid scientific evidence and that there is reasonable assurance that the device is safe and effective for its intended use(s). The FDA may approve a PMA with post-approval conditions intended to ensure the safety and effectiveness of the device, including, among other things, restrictions on labeling, promotion, sale and distribution, and collection of long-term follow-up data from patients in the clinical study that supported PMA approval or requirements to conduct additional clinical studies post-approval. The FDA may condition PMA approval on some form of post-market surveillance when deemed necessary to protect the public health or to provide additional safety and efficacy data for the device in a larger population or for a longer period of use. In such cases, the manufacturer might be required to follow certain patient groups for a number of years and to make periodic reports to the FDA on the clinical status of those patients. Failure to comply with the conditions of approval can result in material adverse enforcement action, including withdrawal of the approval.</w:t>
      </w:r>
    </w:p>
    <w:p>
      <w:pPr>
        <w:spacing w:after="0" w:line="58" w:lineRule="exact"/>
        <w:rPr>
          <w:sz w:val="20"/>
          <w:szCs w:val="20"/>
          <w:color w:val="auto"/>
        </w:rPr>
      </w:pPr>
    </w:p>
    <w:p>
      <w:pPr>
        <w:spacing w:after="0" w:line="272" w:lineRule="auto"/>
        <w:rPr>
          <w:sz w:val="20"/>
          <w:szCs w:val="20"/>
          <w:color w:val="auto"/>
        </w:rPr>
      </w:pPr>
      <w:r>
        <w:rPr>
          <w:rFonts w:ascii="Arial" w:cs="Arial" w:eastAsia="Arial" w:hAnsi="Arial"/>
          <w:sz w:val="17"/>
          <w:szCs w:val="17"/>
          <w:color w:val="231F20"/>
        </w:rPr>
        <w:t>Certain changes to an approved device, such as changes in manufacturing facilities, methods, or quality control procedures, or changes in the design performance specifications, which affect the safety or effectiveness of the device, require submission of a PMA supplement. PMA supplements often require submission of the same type of information as a PMA, except that the supplement is limited to information needed to support any changes from the device covered by the original PMA and may not require as extensive clinical data or the convening of an advisory panel. Certain other changes to an approved device require the submission of a new PMA, such as when the design change causes a different intended use, mode of operation, and technical basis of operation, or when the design change is so significant that a new generation of the device will be developed, and the data that were submitted with the original PMA are not applicable for the change in demonstrating a reasonable assurance of safety and effectiveness.</w:t>
      </w:r>
    </w:p>
    <w:p>
      <w:pPr>
        <w:spacing w:after="0" w:line="9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231F20"/>
        </w:rPr>
        <w:t>Clinical Trials</w:t>
      </w:r>
    </w:p>
    <w:p>
      <w:pPr>
        <w:spacing w:after="0" w:line="117" w:lineRule="exact"/>
        <w:rPr>
          <w:sz w:val="20"/>
          <w:szCs w:val="20"/>
          <w:color w:val="auto"/>
        </w:rPr>
      </w:pPr>
    </w:p>
    <w:p>
      <w:pPr>
        <w:ind w:right="80"/>
        <w:spacing w:after="0" w:line="272" w:lineRule="auto"/>
        <w:rPr>
          <w:sz w:val="20"/>
          <w:szCs w:val="20"/>
          <w:color w:val="auto"/>
        </w:rPr>
      </w:pPr>
      <w:r>
        <w:rPr>
          <w:rFonts w:ascii="Arial" w:cs="Arial" w:eastAsia="Arial" w:hAnsi="Arial"/>
          <w:sz w:val="17"/>
          <w:szCs w:val="17"/>
          <w:color w:val="231F20"/>
        </w:rPr>
        <w:t>Clinical trials are almost always required to support a PMA and are sometimes required to support a 510(k) submission. All clinical investigations of investigational devices to determine safety and effectiveness must be conducted in accordance with the FDA’s investigational device exemption, or IDE, regulations which govern investigational device labeling, prohibit promotion of the investigational device, and specify an array of recordkeeping, reporting and monitoring responsibilities of study sponsors and study investigators. If the device presents a “significant risk” to human health, as defined by the FDA, the FDA requires the device sponsor to submit an IDE application to the FDA, which must become effective prior to commencing human clinical trials. A significant risk device is one that presents a potential for serious risk to the health, safety or welfare of a patient and either is implanted, used in supporting or sustaining human life, substantially important in diagnosing, curing,</w:t>
      </w:r>
    </w:p>
    <w:p>
      <w:pPr>
        <w:spacing w:after="0" w:line="200" w:lineRule="exact"/>
        <w:rPr>
          <w:sz w:val="20"/>
          <w:szCs w:val="20"/>
          <w:color w:val="auto"/>
        </w:rPr>
      </w:pP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449" w:right="239" w:bottom="1440" w:gutter="0" w:footer="0" w:header="0"/>
        </w:sectPr>
      </w:pPr>
    </w:p>
    <w:bookmarkStart w:id="19" w:name="page20"/>
    <w:bookmarkEnd w:id="19"/>
    <w:p>
      <w:pPr>
        <w:ind w:right="140"/>
        <w:spacing w:after="0" w:line="257" w:lineRule="auto"/>
        <w:rPr>
          <w:sz w:val="20"/>
          <w:szCs w:val="20"/>
          <w:color w:val="auto"/>
        </w:rPr>
      </w:pPr>
      <w:r>
        <w:rPr>
          <w:rFonts w:ascii="Arial" w:cs="Arial" w:eastAsia="Arial" w:hAnsi="Arial"/>
          <w:sz w:val="18"/>
          <w:szCs w:val="18"/>
          <w:color w:val="231F20"/>
        </w:rPr>
        <w:t>mitigating or treating disease or otherwise preventing impairment of human health, or otherwise presents a potential for serious risk to a subject. An IDE application must be supported by appropriate data, such as animal and laboratory test results, showing that it is safe to test the device in humans and that the testing protocol is scientifically sound. The IDE will automatically become effective 30 days after receipt by the FDA unless the FDA notifies the company that the investigation may not begin. If the FDA determines that there are deficiencies or other concerns with an IDE for which it requires modification, the FDA may permit a clinical trial to proceed under a conditional approval.</w:t>
      </w:r>
    </w:p>
    <w:p>
      <w:pPr>
        <w:spacing w:after="0" w:line="80" w:lineRule="exact"/>
        <w:rPr>
          <w:sz w:val="20"/>
          <w:szCs w:val="20"/>
          <w:color w:val="auto"/>
        </w:rPr>
      </w:pPr>
    </w:p>
    <w:p>
      <w:pPr>
        <w:spacing w:after="0" w:line="270" w:lineRule="auto"/>
        <w:rPr>
          <w:sz w:val="20"/>
          <w:szCs w:val="20"/>
          <w:color w:val="auto"/>
        </w:rPr>
      </w:pPr>
      <w:r>
        <w:rPr>
          <w:rFonts w:ascii="Arial" w:cs="Arial" w:eastAsia="Arial" w:hAnsi="Arial"/>
          <w:sz w:val="17"/>
          <w:szCs w:val="17"/>
          <w:color w:val="231F20"/>
        </w:rPr>
        <w:t>In addition, the study must be approved by, and conducted under the oversight of, an Institutional Review Board, or IRB, for each clinical site. The IRB is responsible for the initial and continuing review of the IDE, and may pose additional requirements for the conduct of the study. If an IDE application is approved by the FDA and one or more IRBs, human clinical trials may begin at a specific number of investigational sites with a specific number of patients, as approved by the FDA. If the device presents a non-significant risk to the patient, a sponsor may begin the clinical trial after obtaining approval for the trial by one or more IRBs without separate approval from the FDA, but must still follow abbreviated IDE requirements, such as monitoring the investigation, ensuring that the investigators obtain informed consent, and labeling and record-keeping requirements. Acceptance of an IDE application for review does not guarantee that the FDA will allow the IDE to become effective and, if it does become effective, the FDA may or may not determine that the data derived from the trials support the safety and effectiveness of the device or warrant the continuation of clinical trials. An IDE supplement must be submitted to, and approved by, the FDA before a sponsor or investigator may make a change to the investigational plan that may affect its scientific soundness, study plan or the rights, safety or welfare of human subjects.</w:t>
      </w:r>
    </w:p>
    <w:p>
      <w:pPr>
        <w:spacing w:after="0" w:line="70" w:lineRule="exact"/>
        <w:rPr>
          <w:sz w:val="20"/>
          <w:szCs w:val="20"/>
          <w:color w:val="auto"/>
        </w:rPr>
      </w:pPr>
    </w:p>
    <w:p>
      <w:pPr>
        <w:ind w:right="220"/>
        <w:spacing w:after="0" w:line="293" w:lineRule="auto"/>
        <w:rPr>
          <w:sz w:val="20"/>
          <w:szCs w:val="20"/>
          <w:color w:val="auto"/>
        </w:rPr>
      </w:pPr>
      <w:r>
        <w:rPr>
          <w:rFonts w:ascii="Arial" w:cs="Arial" w:eastAsia="Arial" w:hAnsi="Arial"/>
          <w:sz w:val="16"/>
          <w:szCs w:val="16"/>
          <w:color w:val="231F20"/>
        </w:rPr>
        <w:t>During a study, the sponsor is required to comply with the applicable FDA requirements, including, for example, trial monitoring, selecting clinical investigators and providing them with the investigational plan, ensuring IRB review, adverse event reporting, record keeping and prohibitions on the promotion of investigational devices or on making safety or effectiveness claims for them. The clinical investigators in the clinical study are also subject to FDA regulations and must obtain patient informed consent, rigorously follow the investigational plan and study protocol, control the disposition of the investigational device, and comply with all reporting and recordkeeping requirements. Additionally, after a trial begins, we, the FDA or the IRB could suspend or terminate a clinical trial at any time for various reasons, including a belief that the risks to study subjects outweigh the anticipated benefits.</w:t>
      </w:r>
    </w:p>
    <w:p>
      <w:pPr>
        <w:spacing w:after="0" w:line="9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231F20"/>
        </w:rPr>
        <w:t>Post-market Regulation</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231F20"/>
        </w:rPr>
        <w:t>After a device is cleared or approved for marketing, numerous and pervasive regulatory requirements continue to apply. These include:</w:t>
      </w:r>
    </w:p>
    <w:p>
      <w:pPr>
        <w:spacing w:after="0" w:line="117" w:lineRule="exact"/>
        <w:rPr>
          <w:sz w:val="20"/>
          <w:szCs w:val="20"/>
          <w:color w:val="auto"/>
        </w:rPr>
      </w:pPr>
    </w:p>
    <w:p>
      <w:pPr>
        <w:ind w:left="1100" w:hanging="363"/>
        <w:spacing w:after="0"/>
        <w:tabs>
          <w:tab w:leader="none" w:pos="1100" w:val="left"/>
        </w:tabs>
        <w:numPr>
          <w:ilvl w:val="0"/>
          <w:numId w:val="11"/>
        </w:numPr>
        <w:rPr>
          <w:rFonts w:ascii="Arial" w:cs="Arial" w:eastAsia="Arial" w:hAnsi="Arial"/>
          <w:sz w:val="16"/>
          <w:szCs w:val="16"/>
          <w:color w:val="231F20"/>
        </w:rPr>
      </w:pPr>
      <w:r>
        <w:rPr>
          <w:rFonts w:ascii="Arial" w:cs="Arial" w:eastAsia="Arial" w:hAnsi="Arial"/>
          <w:sz w:val="18"/>
          <w:szCs w:val="18"/>
          <w:color w:val="231F20"/>
        </w:rPr>
        <w:t>establishment registration and device listing with the FDA;</w:t>
      </w:r>
    </w:p>
    <w:p>
      <w:pPr>
        <w:spacing w:after="0" w:line="117" w:lineRule="exact"/>
        <w:rPr>
          <w:rFonts w:ascii="Arial" w:cs="Arial" w:eastAsia="Arial" w:hAnsi="Arial"/>
          <w:sz w:val="16"/>
          <w:szCs w:val="16"/>
          <w:color w:val="231F20"/>
        </w:rPr>
      </w:pPr>
    </w:p>
    <w:p>
      <w:pPr>
        <w:ind w:left="1100" w:right="980" w:hanging="363"/>
        <w:spacing w:after="0" w:line="308" w:lineRule="auto"/>
        <w:tabs>
          <w:tab w:leader="none" w:pos="1100" w:val="left"/>
        </w:tabs>
        <w:numPr>
          <w:ilvl w:val="0"/>
          <w:numId w:val="11"/>
        </w:numPr>
        <w:rPr>
          <w:rFonts w:ascii="Arial" w:cs="Arial" w:eastAsia="Arial" w:hAnsi="Arial"/>
          <w:sz w:val="15"/>
          <w:szCs w:val="15"/>
          <w:color w:val="231F20"/>
        </w:rPr>
      </w:pPr>
      <w:r>
        <w:rPr>
          <w:rFonts w:ascii="Arial" w:cs="Arial" w:eastAsia="Arial" w:hAnsi="Arial"/>
          <w:sz w:val="17"/>
          <w:szCs w:val="17"/>
          <w:color w:val="231F20"/>
        </w:rPr>
        <w:t>QSR requirements, which require manufacturers, including third-party manufacturers, to follow stringent design, testing, control, documentation and other quality assurance procedures during all aspects of the design and manufacturing process;</w:t>
      </w:r>
    </w:p>
    <w:p>
      <w:pPr>
        <w:spacing w:after="0" w:line="38" w:lineRule="exact"/>
        <w:rPr>
          <w:rFonts w:ascii="Arial" w:cs="Arial" w:eastAsia="Arial" w:hAnsi="Arial"/>
          <w:sz w:val="15"/>
          <w:szCs w:val="15"/>
          <w:color w:val="231F20"/>
        </w:rPr>
      </w:pPr>
    </w:p>
    <w:p>
      <w:pPr>
        <w:jc w:val="both"/>
        <w:ind w:left="1100" w:right="160" w:hanging="363"/>
        <w:spacing w:after="0" w:line="264" w:lineRule="auto"/>
        <w:tabs>
          <w:tab w:leader="none" w:pos="1100" w:val="left"/>
        </w:tabs>
        <w:numPr>
          <w:ilvl w:val="0"/>
          <w:numId w:val="11"/>
        </w:numPr>
        <w:rPr>
          <w:rFonts w:ascii="Arial" w:cs="Arial" w:eastAsia="Arial" w:hAnsi="Arial"/>
          <w:sz w:val="16"/>
          <w:szCs w:val="16"/>
          <w:color w:val="231F20"/>
        </w:rPr>
      </w:pPr>
      <w:r>
        <w:rPr>
          <w:rFonts w:ascii="Arial" w:cs="Arial" w:eastAsia="Arial" w:hAnsi="Arial"/>
          <w:sz w:val="18"/>
          <w:szCs w:val="18"/>
          <w:color w:val="231F20"/>
        </w:rPr>
        <w:t>labeling and marketing regulations, which require that promotion is truthful, not misleading, fairly balanced and provide adequate directions for use and that all claims are substantiated, and also prohibit the promotion of products for unapproved or “off-label” uses and impose other restrictions on labeling;</w:t>
      </w:r>
    </w:p>
    <w:p>
      <w:pPr>
        <w:spacing w:after="0" w:line="73" w:lineRule="exact"/>
        <w:rPr>
          <w:rFonts w:ascii="Arial" w:cs="Arial" w:eastAsia="Arial" w:hAnsi="Arial"/>
          <w:sz w:val="16"/>
          <w:szCs w:val="16"/>
          <w:color w:val="231F20"/>
        </w:rPr>
      </w:pPr>
    </w:p>
    <w:p>
      <w:pPr>
        <w:ind w:left="1100" w:right="220" w:hanging="363"/>
        <w:spacing w:after="0" w:line="277" w:lineRule="auto"/>
        <w:tabs>
          <w:tab w:leader="none" w:pos="1100" w:val="left"/>
        </w:tabs>
        <w:numPr>
          <w:ilvl w:val="0"/>
          <w:numId w:val="11"/>
        </w:numPr>
        <w:rPr>
          <w:rFonts w:ascii="Arial" w:cs="Arial" w:eastAsia="Arial" w:hAnsi="Arial"/>
          <w:sz w:val="16"/>
          <w:szCs w:val="16"/>
          <w:color w:val="231F20"/>
        </w:rPr>
      </w:pPr>
      <w:r>
        <w:rPr>
          <w:rFonts w:ascii="Arial" w:cs="Arial" w:eastAsia="Arial" w:hAnsi="Arial"/>
          <w:sz w:val="18"/>
          <w:szCs w:val="18"/>
          <w:color w:val="231F20"/>
        </w:rPr>
        <w:t>clearance or approval of product modifications to 510(k)-cleared devices that could significantly affect safety or effectiveness or that would constitute a major change in intended use of one of our cleared devices;</w:t>
      </w:r>
    </w:p>
    <w:p>
      <w:pPr>
        <w:spacing w:after="0" w:line="62" w:lineRule="exact"/>
        <w:rPr>
          <w:rFonts w:ascii="Arial" w:cs="Arial" w:eastAsia="Arial" w:hAnsi="Arial"/>
          <w:sz w:val="16"/>
          <w:szCs w:val="16"/>
          <w:color w:val="231F20"/>
        </w:rPr>
      </w:pPr>
    </w:p>
    <w:p>
      <w:pPr>
        <w:ind w:left="1100" w:right="380" w:hanging="363"/>
        <w:spacing w:after="0" w:line="264" w:lineRule="auto"/>
        <w:tabs>
          <w:tab w:leader="none" w:pos="1100" w:val="left"/>
        </w:tabs>
        <w:numPr>
          <w:ilvl w:val="0"/>
          <w:numId w:val="11"/>
        </w:numPr>
        <w:rPr>
          <w:rFonts w:ascii="Arial" w:cs="Arial" w:eastAsia="Arial" w:hAnsi="Arial"/>
          <w:sz w:val="16"/>
          <w:szCs w:val="16"/>
          <w:color w:val="231F20"/>
        </w:rPr>
      </w:pPr>
      <w:r>
        <w:rPr>
          <w:rFonts w:ascii="Arial" w:cs="Arial" w:eastAsia="Arial" w:hAnsi="Arial"/>
          <w:sz w:val="18"/>
          <w:szCs w:val="18"/>
          <w:color w:val="231F20"/>
        </w:rPr>
        <w:t>medical device reporting regulations, which require that a manufacturer report to the FDA if a device it markets may have caused or contributed to a death or serious injury, or has malfunctioned and the device or a similar device that it markets would be likely to cause or contribute to a death or serious injury, if the malfunction were to recur;</w:t>
      </w:r>
    </w:p>
    <w:p>
      <w:pPr>
        <w:spacing w:after="0" w:line="73" w:lineRule="exact"/>
        <w:rPr>
          <w:rFonts w:ascii="Arial" w:cs="Arial" w:eastAsia="Arial" w:hAnsi="Arial"/>
          <w:sz w:val="16"/>
          <w:szCs w:val="16"/>
          <w:color w:val="231F20"/>
        </w:rPr>
      </w:pPr>
    </w:p>
    <w:p>
      <w:pPr>
        <w:ind w:left="1100" w:hanging="363"/>
        <w:spacing w:after="0" w:line="342" w:lineRule="auto"/>
        <w:tabs>
          <w:tab w:leader="none" w:pos="1100" w:val="left"/>
        </w:tabs>
        <w:numPr>
          <w:ilvl w:val="0"/>
          <w:numId w:val="11"/>
        </w:numPr>
        <w:rPr>
          <w:rFonts w:ascii="Arial" w:cs="Arial" w:eastAsia="Arial" w:hAnsi="Arial"/>
          <w:sz w:val="14"/>
          <w:szCs w:val="14"/>
          <w:color w:val="231F20"/>
        </w:rPr>
      </w:pPr>
      <w:r>
        <w:rPr>
          <w:rFonts w:ascii="Arial" w:cs="Arial" w:eastAsia="Arial" w:hAnsi="Arial"/>
          <w:sz w:val="16"/>
          <w:szCs w:val="16"/>
          <w:color w:val="231F20"/>
        </w:rPr>
        <w:t>correction, removal and recall reporting regulations, which require that manufacturers report to the FDA field corrections and product recalls or removals if undertaken to reduce a risk to health posed by the device or to remedy a violation of the FDCA that may present a risk to health;</w:t>
      </w:r>
    </w:p>
    <w:p>
      <w:pPr>
        <w:spacing w:after="0" w:line="36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449" w:right="259" w:bottom="1440" w:gutter="0" w:footer="0" w:header="0"/>
        </w:sectPr>
      </w:pPr>
    </w:p>
    <w:bookmarkStart w:id="20" w:name="page21"/>
    <w:bookmarkEnd w:id="20"/>
    <w:p>
      <w:pPr>
        <w:ind w:left="1100" w:right="340" w:hanging="363"/>
        <w:spacing w:after="0" w:line="277" w:lineRule="auto"/>
        <w:tabs>
          <w:tab w:leader="none" w:pos="1100" w:val="left"/>
        </w:tabs>
        <w:numPr>
          <w:ilvl w:val="0"/>
          <w:numId w:val="12"/>
        </w:numPr>
        <w:rPr>
          <w:rFonts w:ascii="Arial" w:cs="Arial" w:eastAsia="Arial" w:hAnsi="Arial"/>
          <w:sz w:val="16"/>
          <w:szCs w:val="16"/>
          <w:color w:val="231F20"/>
        </w:rPr>
      </w:pPr>
      <w:r>
        <w:rPr>
          <w:rFonts w:ascii="Arial" w:cs="Arial" w:eastAsia="Arial" w:hAnsi="Arial"/>
          <w:sz w:val="18"/>
          <w:szCs w:val="18"/>
          <w:color w:val="231F20"/>
        </w:rPr>
        <w:t>complying with the federal law and regulations requiring Unique Device Identifiers (UDI) on devices and also requiring the submission of certain information about each device to the FDA’s Global Unique Device Identification Database, or GUDID;</w:t>
      </w:r>
    </w:p>
    <w:p>
      <w:pPr>
        <w:spacing w:after="0" w:line="62" w:lineRule="exact"/>
        <w:rPr>
          <w:rFonts w:ascii="Arial" w:cs="Arial" w:eastAsia="Arial" w:hAnsi="Arial"/>
          <w:sz w:val="16"/>
          <w:szCs w:val="16"/>
          <w:color w:val="231F20"/>
        </w:rPr>
      </w:pPr>
    </w:p>
    <w:p>
      <w:pPr>
        <w:ind w:left="1100" w:right="520" w:hanging="363"/>
        <w:spacing w:after="0" w:line="277" w:lineRule="auto"/>
        <w:tabs>
          <w:tab w:leader="none" w:pos="1100" w:val="left"/>
        </w:tabs>
        <w:numPr>
          <w:ilvl w:val="0"/>
          <w:numId w:val="12"/>
        </w:numPr>
        <w:rPr>
          <w:rFonts w:ascii="Arial" w:cs="Arial" w:eastAsia="Arial" w:hAnsi="Arial"/>
          <w:sz w:val="16"/>
          <w:szCs w:val="16"/>
          <w:color w:val="231F20"/>
        </w:rPr>
      </w:pPr>
      <w:r>
        <w:rPr>
          <w:rFonts w:ascii="Arial" w:cs="Arial" w:eastAsia="Arial" w:hAnsi="Arial"/>
          <w:sz w:val="18"/>
          <w:szCs w:val="18"/>
          <w:color w:val="231F20"/>
        </w:rPr>
        <w:t>the FDA’s recall authority, whereby the agency can order device manufacturers to recall from the market a product that is in violation of governing laws and regulations; and</w:t>
      </w:r>
    </w:p>
    <w:p>
      <w:pPr>
        <w:spacing w:after="0" w:line="62" w:lineRule="exact"/>
        <w:rPr>
          <w:rFonts w:ascii="Arial" w:cs="Arial" w:eastAsia="Arial" w:hAnsi="Arial"/>
          <w:sz w:val="16"/>
          <w:szCs w:val="16"/>
          <w:color w:val="231F20"/>
        </w:rPr>
      </w:pPr>
    </w:p>
    <w:p>
      <w:pPr>
        <w:ind w:left="1100" w:right="280" w:hanging="363"/>
        <w:spacing w:after="0" w:line="277" w:lineRule="auto"/>
        <w:tabs>
          <w:tab w:leader="none" w:pos="1100" w:val="left"/>
        </w:tabs>
        <w:numPr>
          <w:ilvl w:val="0"/>
          <w:numId w:val="12"/>
        </w:numPr>
        <w:rPr>
          <w:rFonts w:ascii="Arial" w:cs="Arial" w:eastAsia="Arial" w:hAnsi="Arial"/>
          <w:sz w:val="16"/>
          <w:szCs w:val="16"/>
          <w:color w:val="231F20"/>
        </w:rPr>
      </w:pPr>
      <w:r>
        <w:rPr>
          <w:rFonts w:ascii="Arial" w:cs="Arial" w:eastAsia="Arial" w:hAnsi="Arial"/>
          <w:sz w:val="18"/>
          <w:szCs w:val="18"/>
          <w:color w:val="231F20"/>
        </w:rPr>
        <w:t>post-market surveillance activities and regulations, which apply when deemed by the FDA to be necessary to protect the public health or to provide additional safety and effectiveness data for the device.</w:t>
      </w:r>
    </w:p>
    <w:p>
      <w:pPr>
        <w:spacing w:after="0" w:line="62" w:lineRule="exact"/>
        <w:rPr>
          <w:sz w:val="20"/>
          <w:szCs w:val="20"/>
          <w:color w:val="auto"/>
        </w:rPr>
      </w:pPr>
    </w:p>
    <w:p>
      <w:pPr>
        <w:spacing w:after="0" w:line="271" w:lineRule="auto"/>
        <w:rPr>
          <w:sz w:val="20"/>
          <w:szCs w:val="20"/>
          <w:color w:val="auto"/>
        </w:rPr>
      </w:pPr>
      <w:r>
        <w:rPr>
          <w:rFonts w:ascii="Arial" w:cs="Arial" w:eastAsia="Arial" w:hAnsi="Arial"/>
          <w:sz w:val="17"/>
          <w:szCs w:val="17"/>
          <w:color w:val="231F20"/>
        </w:rPr>
        <w:t>We may be subject to similar foreign laws that may include applicable post-marketing requirements such as safety surveillance. Our manufacturing processes are required to comply with the applicable portions of the QSR, which cover the methods and the facilities and controls for the design, manufacture, testing, production, processes, controls, quality assurance, labeling, packaging, distribution, installation and servicing of finished devices intended for human use. The QSR also requires, among other things, maintenance of a device master file, device history file, and complaint files. As a manufacturer, we are subject to periodic scheduled or unscheduled inspections by the FDA. A failure to maintain compliance with the QSR requirements could result in the shut-down of, or restrictions on, manufacturing operations and the recall or seizure of products. The FDA has broad regulatory compliance and enforcement powers. If the FDA determines that we failed to comply with applicable regulatory requirements, it can take a variety of compliance or enforcement actions, which may result in any of the following sanctions:</w:t>
      </w:r>
    </w:p>
    <w:p>
      <w:pPr>
        <w:spacing w:after="0" w:line="71" w:lineRule="exact"/>
        <w:rPr>
          <w:sz w:val="20"/>
          <w:szCs w:val="20"/>
          <w:color w:val="auto"/>
        </w:rPr>
      </w:pPr>
    </w:p>
    <w:p>
      <w:pPr>
        <w:ind w:left="1100" w:hanging="363"/>
        <w:spacing w:after="0"/>
        <w:tabs>
          <w:tab w:leader="none" w:pos="1100" w:val="left"/>
        </w:tabs>
        <w:numPr>
          <w:ilvl w:val="0"/>
          <w:numId w:val="13"/>
        </w:numPr>
        <w:rPr>
          <w:rFonts w:ascii="Arial" w:cs="Arial" w:eastAsia="Arial" w:hAnsi="Arial"/>
          <w:sz w:val="16"/>
          <w:szCs w:val="16"/>
          <w:color w:val="231F20"/>
        </w:rPr>
      </w:pPr>
      <w:r>
        <w:rPr>
          <w:rFonts w:ascii="Arial" w:cs="Arial" w:eastAsia="Arial" w:hAnsi="Arial"/>
          <w:sz w:val="18"/>
          <w:szCs w:val="18"/>
          <w:color w:val="231F20"/>
        </w:rPr>
        <w:t>warning letters, untitled letters, fines, injunctions, consent decrees and civil penalties;</w:t>
      </w:r>
    </w:p>
    <w:p>
      <w:pPr>
        <w:spacing w:after="0" w:line="117" w:lineRule="exact"/>
        <w:rPr>
          <w:rFonts w:ascii="Arial" w:cs="Arial" w:eastAsia="Arial" w:hAnsi="Arial"/>
          <w:sz w:val="16"/>
          <w:szCs w:val="16"/>
          <w:color w:val="231F20"/>
        </w:rPr>
      </w:pPr>
    </w:p>
    <w:p>
      <w:pPr>
        <w:ind w:left="1100" w:hanging="363"/>
        <w:spacing w:after="0"/>
        <w:tabs>
          <w:tab w:leader="none" w:pos="1100" w:val="left"/>
        </w:tabs>
        <w:numPr>
          <w:ilvl w:val="0"/>
          <w:numId w:val="13"/>
        </w:numPr>
        <w:rPr>
          <w:rFonts w:ascii="Arial" w:cs="Arial" w:eastAsia="Arial" w:hAnsi="Arial"/>
          <w:sz w:val="16"/>
          <w:szCs w:val="16"/>
          <w:color w:val="231F20"/>
        </w:rPr>
      </w:pPr>
      <w:r>
        <w:rPr>
          <w:rFonts w:ascii="Arial" w:cs="Arial" w:eastAsia="Arial" w:hAnsi="Arial"/>
          <w:sz w:val="18"/>
          <w:szCs w:val="18"/>
          <w:color w:val="231F20"/>
        </w:rPr>
        <w:t>recalls, withdrawals, or administrative detention or seizure of our products;</w:t>
      </w:r>
    </w:p>
    <w:p>
      <w:pPr>
        <w:spacing w:after="0" w:line="117" w:lineRule="exact"/>
        <w:rPr>
          <w:rFonts w:ascii="Arial" w:cs="Arial" w:eastAsia="Arial" w:hAnsi="Arial"/>
          <w:sz w:val="16"/>
          <w:szCs w:val="16"/>
          <w:color w:val="231F20"/>
        </w:rPr>
      </w:pPr>
    </w:p>
    <w:p>
      <w:pPr>
        <w:ind w:left="1100" w:hanging="363"/>
        <w:spacing w:after="0"/>
        <w:tabs>
          <w:tab w:leader="none" w:pos="1100" w:val="left"/>
        </w:tabs>
        <w:numPr>
          <w:ilvl w:val="0"/>
          <w:numId w:val="13"/>
        </w:numPr>
        <w:rPr>
          <w:rFonts w:ascii="Arial" w:cs="Arial" w:eastAsia="Arial" w:hAnsi="Arial"/>
          <w:sz w:val="16"/>
          <w:szCs w:val="16"/>
          <w:color w:val="231F20"/>
        </w:rPr>
      </w:pPr>
      <w:r>
        <w:rPr>
          <w:rFonts w:ascii="Arial" w:cs="Arial" w:eastAsia="Arial" w:hAnsi="Arial"/>
          <w:sz w:val="18"/>
          <w:szCs w:val="18"/>
          <w:color w:val="231F20"/>
        </w:rPr>
        <w:t>operating restrictions or partial suspension or total shutdown of production;</w:t>
      </w:r>
    </w:p>
    <w:p>
      <w:pPr>
        <w:spacing w:after="0" w:line="117" w:lineRule="exact"/>
        <w:rPr>
          <w:rFonts w:ascii="Arial" w:cs="Arial" w:eastAsia="Arial" w:hAnsi="Arial"/>
          <w:sz w:val="16"/>
          <w:szCs w:val="16"/>
          <w:color w:val="231F20"/>
        </w:rPr>
      </w:pPr>
    </w:p>
    <w:p>
      <w:pPr>
        <w:ind w:left="1100" w:hanging="363"/>
        <w:spacing w:after="0"/>
        <w:tabs>
          <w:tab w:leader="none" w:pos="1100" w:val="left"/>
        </w:tabs>
        <w:numPr>
          <w:ilvl w:val="0"/>
          <w:numId w:val="13"/>
        </w:numPr>
        <w:rPr>
          <w:rFonts w:ascii="Arial" w:cs="Arial" w:eastAsia="Arial" w:hAnsi="Arial"/>
          <w:sz w:val="16"/>
          <w:szCs w:val="16"/>
          <w:color w:val="231F20"/>
        </w:rPr>
      </w:pPr>
      <w:r>
        <w:rPr>
          <w:rFonts w:ascii="Arial" w:cs="Arial" w:eastAsia="Arial" w:hAnsi="Arial"/>
          <w:sz w:val="18"/>
          <w:szCs w:val="18"/>
          <w:color w:val="231F20"/>
        </w:rPr>
        <w:t>refusing or delaying requests for 510(k) marketing clearance or PMA approvals of new products or modified products;</w:t>
      </w:r>
    </w:p>
    <w:p>
      <w:pPr>
        <w:spacing w:after="0" w:line="117" w:lineRule="exact"/>
        <w:rPr>
          <w:rFonts w:ascii="Arial" w:cs="Arial" w:eastAsia="Arial" w:hAnsi="Arial"/>
          <w:sz w:val="16"/>
          <w:szCs w:val="16"/>
          <w:color w:val="231F20"/>
        </w:rPr>
      </w:pPr>
    </w:p>
    <w:p>
      <w:pPr>
        <w:ind w:left="1100" w:hanging="363"/>
        <w:spacing w:after="0"/>
        <w:tabs>
          <w:tab w:leader="none" w:pos="1100" w:val="left"/>
        </w:tabs>
        <w:numPr>
          <w:ilvl w:val="0"/>
          <w:numId w:val="13"/>
        </w:numPr>
        <w:rPr>
          <w:rFonts w:ascii="Arial" w:cs="Arial" w:eastAsia="Arial" w:hAnsi="Arial"/>
          <w:sz w:val="16"/>
          <w:szCs w:val="16"/>
          <w:color w:val="231F20"/>
        </w:rPr>
      </w:pPr>
      <w:r>
        <w:rPr>
          <w:rFonts w:ascii="Arial" w:cs="Arial" w:eastAsia="Arial" w:hAnsi="Arial"/>
          <w:sz w:val="18"/>
          <w:szCs w:val="18"/>
          <w:color w:val="231F20"/>
        </w:rPr>
        <w:t>withdrawing 510(k) clearances or PMA approvals that have already been granted;</w:t>
      </w:r>
    </w:p>
    <w:p>
      <w:pPr>
        <w:spacing w:after="0" w:line="117" w:lineRule="exact"/>
        <w:rPr>
          <w:rFonts w:ascii="Arial" w:cs="Arial" w:eastAsia="Arial" w:hAnsi="Arial"/>
          <w:sz w:val="16"/>
          <w:szCs w:val="16"/>
          <w:color w:val="231F20"/>
        </w:rPr>
      </w:pPr>
    </w:p>
    <w:p>
      <w:pPr>
        <w:ind w:left="1100" w:hanging="363"/>
        <w:spacing w:after="0"/>
        <w:tabs>
          <w:tab w:leader="none" w:pos="1100" w:val="left"/>
        </w:tabs>
        <w:numPr>
          <w:ilvl w:val="0"/>
          <w:numId w:val="13"/>
        </w:numPr>
        <w:rPr>
          <w:rFonts w:ascii="Arial" w:cs="Arial" w:eastAsia="Arial" w:hAnsi="Arial"/>
          <w:sz w:val="16"/>
          <w:szCs w:val="16"/>
          <w:color w:val="231F20"/>
        </w:rPr>
      </w:pPr>
      <w:r>
        <w:rPr>
          <w:rFonts w:ascii="Arial" w:cs="Arial" w:eastAsia="Arial" w:hAnsi="Arial"/>
          <w:sz w:val="18"/>
          <w:szCs w:val="18"/>
          <w:color w:val="231F20"/>
        </w:rPr>
        <w:t>refusal to grant export or import approvals for our products; or</w:t>
      </w:r>
    </w:p>
    <w:p>
      <w:pPr>
        <w:spacing w:after="0" w:line="117" w:lineRule="exact"/>
        <w:rPr>
          <w:rFonts w:ascii="Arial" w:cs="Arial" w:eastAsia="Arial" w:hAnsi="Arial"/>
          <w:sz w:val="16"/>
          <w:szCs w:val="16"/>
          <w:color w:val="231F20"/>
        </w:rPr>
      </w:pPr>
    </w:p>
    <w:p>
      <w:pPr>
        <w:ind w:left="1100" w:hanging="363"/>
        <w:spacing w:after="0"/>
        <w:tabs>
          <w:tab w:leader="none" w:pos="1100" w:val="left"/>
        </w:tabs>
        <w:numPr>
          <w:ilvl w:val="0"/>
          <w:numId w:val="13"/>
        </w:numPr>
        <w:rPr>
          <w:rFonts w:ascii="Arial" w:cs="Arial" w:eastAsia="Arial" w:hAnsi="Arial"/>
          <w:sz w:val="16"/>
          <w:szCs w:val="16"/>
          <w:color w:val="231F20"/>
        </w:rPr>
      </w:pPr>
      <w:r>
        <w:rPr>
          <w:rFonts w:ascii="Arial" w:cs="Arial" w:eastAsia="Arial" w:hAnsi="Arial"/>
          <w:sz w:val="18"/>
          <w:szCs w:val="18"/>
          <w:color w:val="231F20"/>
        </w:rPr>
        <w:t>criminal prosecution.</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231F20"/>
        </w:rPr>
        <w:t>Other Health Care Laws</w:t>
      </w:r>
    </w:p>
    <w:p>
      <w:pPr>
        <w:spacing w:after="0" w:line="117" w:lineRule="exact"/>
        <w:rPr>
          <w:sz w:val="20"/>
          <w:szCs w:val="20"/>
          <w:color w:val="auto"/>
        </w:rPr>
      </w:pPr>
    </w:p>
    <w:p>
      <w:pPr>
        <w:ind w:right="40"/>
        <w:spacing w:after="0" w:line="269" w:lineRule="auto"/>
        <w:rPr>
          <w:sz w:val="20"/>
          <w:szCs w:val="20"/>
          <w:color w:val="auto"/>
        </w:rPr>
      </w:pPr>
      <w:r>
        <w:rPr>
          <w:rFonts w:ascii="Arial" w:cs="Arial" w:eastAsia="Arial" w:hAnsi="Arial"/>
          <w:sz w:val="17"/>
          <w:szCs w:val="17"/>
          <w:color w:val="231F20"/>
        </w:rPr>
        <w:t>In addition to FDA restrictions on the marketing and promotion of medical devices, other federal and state healthcare laws and regulations could restrict our business practices. Although none of the procedures using our products are covered by any federal or state government healthcare program or any other third-party payor, applicable agencies and regulators may nonetheless interpret that we are subject to numerous federal healthcare anti-fraud laws, which include the federal Anti-Kickback Statute, False Claims Act and physician payment transparency laws that are intended to reduce waste, fraud and abuse in the healthcare industry, and analogous state laws that may apply to healthcare items and services paid for by any payors, including private insurers. In addition, we are subject to certain state reporting requirements in states with physician payment transparency laws that apply regardless of payor. Violations of any of these health regulatory laws may result in potentially significant penalties, including criminal and civil and administrative penalties, damages, fines, disgorgement, imprisonment, exclusion from participation in government healthcare programs, contractual damages, reputational harm, administrative burdens, diminished profits and future earnings, and the curtailment or restructuring of our operations. To the extent that any of our products are sold in a foreign country, we may be subject to similar foreign laws, which may include, for instance, applicable post-marketing requirements, including safety surveillance, anti-fraud and abuse laws and implementation of corporate compliance programs and reporting of payments or transfers of value to healthcare professionals.</w:t>
      </w:r>
    </w:p>
    <w:p>
      <w:pPr>
        <w:spacing w:after="0" w:line="9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231F20"/>
        </w:rPr>
        <w:t>Healthcare Reform</w:t>
      </w:r>
    </w:p>
    <w:p>
      <w:pPr>
        <w:spacing w:after="0" w:line="117" w:lineRule="exact"/>
        <w:rPr>
          <w:sz w:val="20"/>
          <w:szCs w:val="20"/>
          <w:color w:val="auto"/>
        </w:rPr>
      </w:pPr>
    </w:p>
    <w:p>
      <w:pPr>
        <w:ind w:right="160"/>
        <w:spacing w:after="0" w:line="279" w:lineRule="auto"/>
        <w:rPr>
          <w:sz w:val="20"/>
          <w:szCs w:val="20"/>
          <w:color w:val="auto"/>
        </w:rPr>
      </w:pPr>
      <w:r>
        <w:rPr>
          <w:rFonts w:ascii="Arial" w:cs="Arial" w:eastAsia="Arial" w:hAnsi="Arial"/>
          <w:sz w:val="17"/>
          <w:szCs w:val="17"/>
          <w:color w:val="231F20"/>
        </w:rPr>
        <w:t>The U.S. and some foreign jurisdictions are considering or have enacted a number of legislative and regulatory proposals to change the healthcare system in ways that could affect our ability to sell our products profitably. For example, the implementation of the Patient Protection and Affordable Care Act, as amended by the Healthcare and Education Reconciliation Act, or the Affordable Care Act, has changed healthcare financing and delivery by both governmental and private insurers substantially and has affected medical device manufacturers significantly. The</w:t>
      </w:r>
    </w:p>
    <w:p>
      <w:pPr>
        <w:spacing w:after="0" w:line="200" w:lineRule="exact"/>
        <w:rPr>
          <w:sz w:val="20"/>
          <w:szCs w:val="20"/>
          <w:color w:val="auto"/>
        </w:rPr>
      </w:pPr>
    </w:p>
    <w:p>
      <w:pPr>
        <w:spacing w:after="0" w:line="21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449" w:right="239" w:bottom="1440" w:gutter="0" w:footer="0" w:header="0"/>
        </w:sectPr>
      </w:pPr>
    </w:p>
    <w:bookmarkStart w:id="21" w:name="page22"/>
    <w:bookmarkEnd w:id="21"/>
    <w:p>
      <w:pPr>
        <w:ind w:right="100"/>
        <w:spacing w:after="0" w:line="289" w:lineRule="auto"/>
        <w:rPr>
          <w:sz w:val="20"/>
          <w:szCs w:val="20"/>
          <w:color w:val="auto"/>
        </w:rPr>
      </w:pPr>
      <w:r>
        <w:rPr>
          <w:rFonts w:ascii="Arial" w:cs="Arial" w:eastAsia="Arial" w:hAnsi="Arial"/>
          <w:sz w:val="16"/>
          <w:szCs w:val="16"/>
          <w:color w:val="231F20"/>
        </w:rPr>
        <w:t>Affordable Care Act imposed, among other things, a new federal excise tax on the sale of certain medical devices, which is suspended but, absent further legislative action, will be reinstated starting January 1, 2020. In addition, the Affordable Care Act provided incentives to programs that increase the federal government’s comparative effectiveness research, and implemented payment system reforms including a national pilot program on payment bundling to encourage hospitals, physicians and other providers to improve the coordination, quality and efficiency of certain healthcare services through bundled payment models. Since its enactment, there have been judicial and Congressional challenges to certain aspects of the Affordable Care Act, and we expect there will be additional challenges and amendments to the Affordable Care Act in the future. The current Presidential Administration and U.S. Congress will likely continue to seek to modify, repeal, or otherwise invalidate all, or certain provisions of, the Affordable Care Act. It is uncertain the extent to which any such changes may impact our business or financial condition. We expect additional state and federal healthcare reform measures to be adopted in the future, any of which could result in reduced demand for our products or additional pricing pressure.</w:t>
      </w:r>
    </w:p>
    <w:p>
      <w:pPr>
        <w:spacing w:after="0" w:line="95" w:lineRule="exact"/>
        <w:rPr>
          <w:sz w:val="20"/>
          <w:szCs w:val="20"/>
          <w:color w:val="auto"/>
        </w:rPr>
      </w:pPr>
    </w:p>
    <w:p>
      <w:pPr>
        <w:spacing w:after="0"/>
        <w:rPr>
          <w:sz w:val="20"/>
          <w:szCs w:val="20"/>
          <w:color w:val="auto"/>
        </w:rPr>
      </w:pPr>
      <w:r>
        <w:rPr>
          <w:rFonts w:ascii="Arial" w:cs="Arial" w:eastAsia="Arial" w:hAnsi="Arial"/>
          <w:sz w:val="18"/>
          <w:szCs w:val="18"/>
          <w:b w:val="1"/>
          <w:bCs w:val="1"/>
          <w:color w:val="231F20"/>
        </w:rPr>
        <w:t>Employees</w:t>
      </w:r>
    </w:p>
    <w:p>
      <w:pPr>
        <w:spacing w:after="0" w:line="121" w:lineRule="exact"/>
        <w:rPr>
          <w:sz w:val="20"/>
          <w:szCs w:val="20"/>
          <w:color w:val="auto"/>
        </w:rPr>
      </w:pPr>
    </w:p>
    <w:p>
      <w:pPr>
        <w:spacing w:after="0" w:line="259" w:lineRule="auto"/>
        <w:rPr>
          <w:sz w:val="20"/>
          <w:szCs w:val="20"/>
          <w:color w:val="auto"/>
        </w:rPr>
      </w:pPr>
      <w:r>
        <w:rPr>
          <w:rFonts w:ascii="Arial" w:cs="Arial" w:eastAsia="Arial" w:hAnsi="Arial"/>
          <w:sz w:val="18"/>
          <w:szCs w:val="18"/>
          <w:color w:val="231F20"/>
        </w:rPr>
        <w:t>As of December 31, 2017, we had 87 employees, with 35 employees in sales and marketing, 15 employees in customer support, 21 employees in research and development, including clinical, regulatory and certain quality control functions, four employees in manufacturing operations and 12 employees in general management and administration. None of our employees are represented by a labor union or covered by a collective bargaining agreement. We consider our relationship with our employees to be good.</w:t>
      </w:r>
    </w:p>
    <w:p>
      <w:pPr>
        <w:spacing w:after="0" w:line="102" w:lineRule="exact"/>
        <w:rPr>
          <w:sz w:val="20"/>
          <w:szCs w:val="20"/>
          <w:color w:val="auto"/>
        </w:rPr>
      </w:pPr>
    </w:p>
    <w:p>
      <w:pPr>
        <w:spacing w:after="0"/>
        <w:rPr>
          <w:sz w:val="20"/>
          <w:szCs w:val="20"/>
          <w:color w:val="auto"/>
        </w:rPr>
      </w:pPr>
      <w:r>
        <w:rPr>
          <w:rFonts w:ascii="Arial" w:cs="Arial" w:eastAsia="Arial" w:hAnsi="Arial"/>
          <w:sz w:val="18"/>
          <w:szCs w:val="18"/>
          <w:b w:val="1"/>
          <w:bCs w:val="1"/>
          <w:color w:val="231F20"/>
        </w:rPr>
        <w:t>Financial Information</w:t>
      </w:r>
    </w:p>
    <w:p>
      <w:pPr>
        <w:spacing w:after="0" w:line="121" w:lineRule="exact"/>
        <w:rPr>
          <w:sz w:val="20"/>
          <w:szCs w:val="20"/>
          <w:color w:val="auto"/>
        </w:rPr>
      </w:pPr>
    </w:p>
    <w:p>
      <w:pPr>
        <w:ind w:right="420"/>
        <w:spacing w:after="0" w:line="264" w:lineRule="auto"/>
        <w:rPr>
          <w:sz w:val="20"/>
          <w:szCs w:val="20"/>
          <w:color w:val="auto"/>
        </w:rPr>
      </w:pPr>
      <w:r>
        <w:rPr>
          <w:rFonts w:ascii="Arial" w:cs="Arial" w:eastAsia="Arial" w:hAnsi="Arial"/>
          <w:sz w:val="18"/>
          <w:szCs w:val="18"/>
          <w:color w:val="231F20"/>
        </w:rPr>
        <w:t>We manage our operations and allocate resources as a single reporting segment. Financial information regarding our operations, assets and liabilities, including our net loss for the years ended December 31, 2017, 2016 and 2015, and our total assets as of December 31, 2017 and 2016, is included in our Consolidated Financial Statements in Item 8 of this Annual Report on Form 10-K.</w:t>
      </w:r>
    </w:p>
    <w:p>
      <w:pPr>
        <w:spacing w:after="0" w:line="1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Corporate Information</w:t>
      </w:r>
    </w:p>
    <w:p>
      <w:pPr>
        <w:spacing w:after="0" w:line="121" w:lineRule="exact"/>
        <w:rPr>
          <w:sz w:val="20"/>
          <w:szCs w:val="20"/>
          <w:color w:val="auto"/>
        </w:rPr>
      </w:pPr>
    </w:p>
    <w:p>
      <w:pPr>
        <w:spacing w:after="0" w:line="288" w:lineRule="auto"/>
        <w:rPr>
          <w:sz w:val="20"/>
          <w:szCs w:val="20"/>
          <w:color w:val="auto"/>
        </w:rPr>
      </w:pPr>
      <w:r>
        <w:rPr>
          <w:rFonts w:ascii="Arial" w:cs="Arial" w:eastAsia="Arial" w:hAnsi="Arial"/>
          <w:sz w:val="16"/>
          <w:szCs w:val="16"/>
          <w:color w:val="231F20"/>
        </w:rPr>
        <w:t>We were founded on November 22, 2002 as a Delaware corporation under the name Restoration Robotics, Inc. Our principal executive offices are located at 128 Baytech Drive, San Jose, CA 95134, and our telephone number is (408) 883-6888. You may find on our website at www.restorationrobotics.com electronic copies of our annual report on Form 10-K, quarterly reports on Form 10-Q, current reports on Form 8-K, and amendments to those reports filed or furnished pursuant to Section 13(a) or 15(d) of the Securities Exchange Act of 1934. Such filings are placed on our website as soon as reasonably possible after they are filed with the SEC. Our most recent charter for our audit, compensation, and nominating and corporate governance committees and our Code of Business Conduct and Ethics are available on our website as well. Any waiver of our Code of Business Conduct and Ethics may be made only by our board of directors. Any waiver of our Code of Business Conduct and Ethics for any of our directors or executive officers must be disclosed on a Current Report on Form 8-K within four business days, or such shorter period as may be required under applicable regulation. Information contained on, or that can be accessed through, our website is not incorporated by reference into this Annual Report on Form 10-K, and you should not consider information on our website to be part of this Annual Report on Form 10-K. We have included our website address as an inactive textual reference only.</w:t>
      </w:r>
    </w:p>
    <w:p>
      <w:pPr>
        <w:spacing w:after="0" w:line="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Available Information</w:t>
      </w:r>
    </w:p>
    <w:p>
      <w:pPr>
        <w:spacing w:after="0" w:line="121" w:lineRule="exact"/>
        <w:rPr>
          <w:sz w:val="20"/>
          <w:szCs w:val="20"/>
          <w:color w:val="auto"/>
        </w:rPr>
      </w:pPr>
    </w:p>
    <w:p>
      <w:pPr>
        <w:ind w:right="20"/>
        <w:spacing w:after="0" w:line="276" w:lineRule="auto"/>
        <w:rPr>
          <w:sz w:val="20"/>
          <w:szCs w:val="20"/>
          <w:color w:val="auto"/>
        </w:rPr>
      </w:pPr>
      <w:r>
        <w:rPr>
          <w:rFonts w:ascii="Arial" w:cs="Arial" w:eastAsia="Arial" w:hAnsi="Arial"/>
          <w:sz w:val="17"/>
          <w:szCs w:val="17"/>
          <w:color w:val="231F20"/>
        </w:rPr>
        <w:t>We file Annual Reports on Form 10-K, Quarterly Reports on Form 10-Q, Current Reports on Form 8-K and other information with the Securities and Exchange Commission (SEC). Our filings with the SEC are available free of charge on the SEC’s website at www.sec.gov and on our website under the “Investors” tab as soon as reasonably practicable after we electronically file such material with, or furnish it to, the SEC. You may also read and copy, at SEC prescribed rates, any document we file with the SEC at the SEC’s Public Reference Room located at 100 F Street, N.E., Washington D.C. 20549. You can call the SEC at 1-800-SEC-0330 to obtain information on the operation of the Public Reference Room.</w:t>
      </w:r>
    </w:p>
    <w:p>
      <w:pPr>
        <w:spacing w:after="0" w:line="8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1A. Risk Factors.</w:t>
      </w:r>
    </w:p>
    <w:p>
      <w:pPr>
        <w:spacing w:after="0" w:line="121" w:lineRule="exact"/>
        <w:rPr>
          <w:sz w:val="20"/>
          <w:szCs w:val="20"/>
          <w:color w:val="auto"/>
        </w:rPr>
      </w:pPr>
    </w:p>
    <w:p>
      <w:pPr>
        <w:jc w:val="both"/>
        <w:spacing w:after="0" w:line="264" w:lineRule="auto"/>
        <w:rPr>
          <w:sz w:val="20"/>
          <w:szCs w:val="20"/>
          <w:color w:val="auto"/>
        </w:rPr>
      </w:pPr>
      <w:r>
        <w:rPr>
          <w:rFonts w:ascii="Arial" w:cs="Arial" w:eastAsia="Arial" w:hAnsi="Arial"/>
          <w:sz w:val="18"/>
          <w:szCs w:val="18"/>
          <w:i w:val="1"/>
          <w:iCs w:val="1"/>
          <w:color w:val="231F20"/>
        </w:rPr>
        <w:t>Our operations and financial results are subject to various risk and uncertainties, including those described below, any of which could adversely effect on our business, results of operations, financial condition and prospects. In such an event, the market price of our common stock could decline, and you may lose all or part of your investment.</w:t>
      </w:r>
    </w:p>
    <w:p>
      <w:pPr>
        <w:spacing w:after="0" w:line="200" w:lineRule="exact"/>
        <w:rPr>
          <w:sz w:val="20"/>
          <w:szCs w:val="20"/>
          <w:color w:val="auto"/>
        </w:rPr>
      </w:pPr>
    </w:p>
    <w:p>
      <w:pPr>
        <w:spacing w:after="0" w:line="22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449" w:right="259" w:bottom="1440" w:gutter="0" w:footer="0" w:header="0"/>
        </w:sectPr>
      </w:pPr>
    </w:p>
    <w:bookmarkStart w:id="22" w:name="page23"/>
    <w:bookmarkEnd w:id="22"/>
    <w:p>
      <w:pPr>
        <w:ind w:right="180"/>
        <w:spacing w:after="0" w:line="286" w:lineRule="auto"/>
        <w:rPr>
          <w:sz w:val="20"/>
          <w:szCs w:val="20"/>
          <w:color w:val="auto"/>
        </w:rPr>
      </w:pPr>
      <w:r>
        <w:rPr>
          <w:rFonts w:ascii="Arial" w:cs="Arial" w:eastAsia="Arial" w:hAnsi="Arial"/>
          <w:sz w:val="17"/>
          <w:szCs w:val="17"/>
          <w:i w:val="1"/>
          <w:iCs w:val="1"/>
          <w:color w:val="231F20"/>
        </w:rPr>
        <w:t>Additional risks and uncertainties not presently known to us or that we currently deem immaterial may also impair our business operations. You should carefully consider the risk described below and the other information in this Annual Report on Form 10-K, including our consolidated financial statements and the related notes thereto, and “Management’s Discussion and Analysis of Financial Condition and Results of Operations.”</w:t>
      </w:r>
    </w:p>
    <w:p>
      <w:pPr>
        <w:spacing w:after="0" w:line="94" w:lineRule="exact"/>
        <w:rPr>
          <w:sz w:val="20"/>
          <w:szCs w:val="20"/>
          <w:color w:val="auto"/>
        </w:rPr>
      </w:pPr>
    </w:p>
    <w:p>
      <w:pPr>
        <w:spacing w:after="0"/>
        <w:rPr>
          <w:sz w:val="20"/>
          <w:szCs w:val="20"/>
          <w:color w:val="auto"/>
        </w:rPr>
      </w:pPr>
      <w:r>
        <w:rPr>
          <w:rFonts w:ascii="Arial" w:cs="Arial" w:eastAsia="Arial" w:hAnsi="Arial"/>
          <w:sz w:val="18"/>
          <w:szCs w:val="18"/>
          <w:b w:val="1"/>
          <w:bCs w:val="1"/>
          <w:color w:val="231F20"/>
        </w:rPr>
        <w:t>Related to Our Business</w:t>
      </w:r>
    </w:p>
    <w:p>
      <w:pPr>
        <w:spacing w:after="0" w:line="121" w:lineRule="exact"/>
        <w:rPr>
          <w:sz w:val="20"/>
          <w:szCs w:val="20"/>
          <w:color w:val="auto"/>
        </w:rPr>
      </w:pPr>
    </w:p>
    <w:p>
      <w:pPr>
        <w:ind w:right="240"/>
        <w:spacing w:after="0" w:line="308" w:lineRule="auto"/>
        <w:rPr>
          <w:sz w:val="20"/>
          <w:szCs w:val="20"/>
          <w:color w:val="auto"/>
        </w:rPr>
      </w:pPr>
      <w:r>
        <w:rPr>
          <w:rFonts w:ascii="Arial" w:cs="Arial" w:eastAsia="Arial" w:hAnsi="Arial"/>
          <w:sz w:val="17"/>
          <w:szCs w:val="17"/>
          <w:b w:val="1"/>
          <w:bCs w:val="1"/>
          <w:i w:val="1"/>
          <w:iCs w:val="1"/>
          <w:color w:val="231F20"/>
        </w:rPr>
        <w:t>We have limited commercial history and we have incurred significant losses since our inception. We anticipate that we will continue to incur losses for the foreseeable future, which, together with our limited operating history, makes it difficult to assess our future viability.</w:t>
      </w:r>
    </w:p>
    <w:p>
      <w:pPr>
        <w:spacing w:after="0" w:line="38" w:lineRule="exact"/>
        <w:rPr>
          <w:sz w:val="20"/>
          <w:szCs w:val="20"/>
          <w:color w:val="auto"/>
        </w:rPr>
      </w:pPr>
    </w:p>
    <w:p>
      <w:pPr>
        <w:spacing w:after="0" w:line="269" w:lineRule="auto"/>
        <w:rPr>
          <w:sz w:val="20"/>
          <w:szCs w:val="20"/>
          <w:color w:val="auto"/>
        </w:rPr>
      </w:pPr>
      <w:r>
        <w:rPr>
          <w:rFonts w:ascii="Arial" w:cs="Arial" w:eastAsia="Arial" w:hAnsi="Arial"/>
          <w:sz w:val="17"/>
          <w:szCs w:val="17"/>
          <w:color w:val="231F20"/>
        </w:rPr>
        <w:t>We have a limited commercial history and have focused primarily on research and development, product design and engineering, establishing supply and manufacturing relationships, seeking regulatory clearances and approvals to market the ARTAS Robotic Hair Restoration System, or the ARTAS System, and selling and marketing. We have incurred losses in each year since our inception in 2002. Our net losses were approximately $17.8 million, $21.8 million, and $23.0 million for the years ended December 31, 2017, 2016, and 2015, respectively. As of December 31, 2017, we had an accumulated deficit of $164.5 million. We will continue to incur significant expenses for the foreseeable future as we expand our sales and marketing, research and development, and clinical and regulatory activities. We may never generate sufficient revenue to achieve or sustain profitability. Even if we do achieve profitability, we may not be able to sustain or increase profitability. Furthermore, because of our limited operating history and because the market for aesthetic products is rapidly evolving, we have limited insight into the trends or competitive products that may emerge and affect our business. Before investing, you should consider an investment in our common stock in light of the risks, uncertainties, and difficulties frequently encountered by early-stage medical technology companies in rapidly evolving markets such as ours. We may not be able to successfully address any or all of these risks, and the failure to adequately do so could cause our business, results of operations, and financial condition to suffer.</w:t>
      </w:r>
    </w:p>
    <w:p>
      <w:pPr>
        <w:spacing w:after="0" w:line="10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231F20"/>
        </w:rPr>
        <w:t>We may not be able to correctly estimate or control our future operating expenses, which could lead to cash shortfalls.</w:t>
      </w:r>
    </w:p>
    <w:p>
      <w:pPr>
        <w:spacing w:after="0" w:line="117" w:lineRule="exact"/>
        <w:rPr>
          <w:sz w:val="20"/>
          <w:szCs w:val="20"/>
          <w:color w:val="auto"/>
        </w:rPr>
      </w:pPr>
    </w:p>
    <w:p>
      <w:pPr>
        <w:ind w:right="320"/>
        <w:spacing w:after="0" w:line="277" w:lineRule="auto"/>
        <w:rPr>
          <w:sz w:val="20"/>
          <w:szCs w:val="20"/>
          <w:color w:val="auto"/>
        </w:rPr>
      </w:pPr>
      <w:r>
        <w:rPr>
          <w:rFonts w:ascii="Arial" w:cs="Arial" w:eastAsia="Arial" w:hAnsi="Arial"/>
          <w:sz w:val="18"/>
          <w:szCs w:val="18"/>
          <w:color w:val="231F20"/>
        </w:rPr>
        <w:t>Our operating expenses may fluctuate significantly in the future as a result of a variety of factors, many of which are outside of our control. These factors include:</w:t>
      </w:r>
    </w:p>
    <w:p>
      <w:pPr>
        <w:spacing w:after="0" w:line="62" w:lineRule="exact"/>
        <w:rPr>
          <w:sz w:val="20"/>
          <w:szCs w:val="20"/>
          <w:color w:val="auto"/>
        </w:rPr>
      </w:pPr>
    </w:p>
    <w:p>
      <w:pPr>
        <w:ind w:left="1100" w:right="60" w:hanging="363"/>
        <w:spacing w:after="0" w:line="308" w:lineRule="auto"/>
        <w:tabs>
          <w:tab w:leader="none" w:pos="1100" w:val="left"/>
        </w:tabs>
        <w:numPr>
          <w:ilvl w:val="0"/>
          <w:numId w:val="14"/>
        </w:numPr>
        <w:rPr>
          <w:rFonts w:ascii="Arial" w:cs="Arial" w:eastAsia="Arial" w:hAnsi="Arial"/>
          <w:sz w:val="17"/>
          <w:szCs w:val="17"/>
          <w:color w:val="auto"/>
        </w:rPr>
      </w:pPr>
      <w:r>
        <w:rPr>
          <w:rFonts w:ascii="Arial" w:cs="Arial" w:eastAsia="Arial" w:hAnsi="Arial"/>
          <w:sz w:val="17"/>
          <w:szCs w:val="17"/>
          <w:color w:val="231F20"/>
        </w:rPr>
        <w:t>the time, resources and expense required to develop and conduct clinical trials and seek additional regulatory clearances and approvals for the robotic implantation functionality which is in clinical development, and for any other products or indications we may develop;</w:t>
      </w:r>
    </w:p>
    <w:p>
      <w:pPr>
        <w:spacing w:after="0" w:line="38" w:lineRule="exact"/>
        <w:rPr>
          <w:rFonts w:ascii="Arial" w:cs="Arial" w:eastAsia="Arial" w:hAnsi="Arial"/>
          <w:sz w:val="17"/>
          <w:szCs w:val="17"/>
          <w:color w:val="auto"/>
        </w:rPr>
      </w:pPr>
    </w:p>
    <w:p>
      <w:pPr>
        <w:ind w:left="1100" w:right="80" w:hanging="363"/>
        <w:spacing w:after="0" w:line="277" w:lineRule="auto"/>
        <w:tabs>
          <w:tab w:leader="none" w:pos="1100" w:val="left"/>
        </w:tabs>
        <w:numPr>
          <w:ilvl w:val="0"/>
          <w:numId w:val="14"/>
        </w:numPr>
        <w:rPr>
          <w:rFonts w:ascii="Arial" w:cs="Arial" w:eastAsia="Arial" w:hAnsi="Arial"/>
          <w:sz w:val="18"/>
          <w:szCs w:val="18"/>
          <w:color w:val="auto"/>
        </w:rPr>
      </w:pPr>
      <w:r>
        <w:rPr>
          <w:rFonts w:ascii="Arial" w:cs="Arial" w:eastAsia="Arial" w:hAnsi="Arial"/>
          <w:sz w:val="18"/>
          <w:szCs w:val="18"/>
          <w:color w:val="231F20"/>
        </w:rPr>
        <w:t>the costs of preparing, filing, prosecuting, defending, and enforcing patent claims and other patent related costs, including litigation costs and the results of such litigation;</w:t>
      </w:r>
    </w:p>
    <w:p>
      <w:pPr>
        <w:spacing w:after="0" w:line="62" w:lineRule="exact"/>
        <w:rPr>
          <w:rFonts w:ascii="Arial" w:cs="Arial" w:eastAsia="Arial" w:hAnsi="Arial"/>
          <w:sz w:val="18"/>
          <w:szCs w:val="18"/>
          <w:color w:val="auto"/>
        </w:rPr>
      </w:pPr>
    </w:p>
    <w:p>
      <w:pPr>
        <w:ind w:left="1100" w:hanging="363"/>
        <w:spacing w:after="0"/>
        <w:tabs>
          <w:tab w:leader="none" w:pos="1100" w:val="left"/>
        </w:tabs>
        <w:numPr>
          <w:ilvl w:val="0"/>
          <w:numId w:val="14"/>
        </w:numPr>
        <w:rPr>
          <w:rFonts w:ascii="Arial" w:cs="Arial" w:eastAsia="Arial" w:hAnsi="Arial"/>
          <w:sz w:val="18"/>
          <w:szCs w:val="18"/>
          <w:color w:val="auto"/>
        </w:rPr>
      </w:pPr>
      <w:r>
        <w:rPr>
          <w:rFonts w:ascii="Arial" w:cs="Arial" w:eastAsia="Arial" w:hAnsi="Arial"/>
          <w:sz w:val="18"/>
          <w:szCs w:val="18"/>
          <w:color w:val="231F20"/>
        </w:rPr>
        <w:t>the costs of manufacturing and maintaining sufficient inventories of our products to meet anticipated demand;</w:t>
      </w:r>
    </w:p>
    <w:p>
      <w:pPr>
        <w:spacing w:after="0" w:line="117" w:lineRule="exact"/>
        <w:rPr>
          <w:rFonts w:ascii="Arial" w:cs="Arial" w:eastAsia="Arial" w:hAnsi="Arial"/>
          <w:sz w:val="18"/>
          <w:szCs w:val="18"/>
          <w:color w:val="auto"/>
        </w:rPr>
      </w:pPr>
    </w:p>
    <w:p>
      <w:pPr>
        <w:ind w:left="1100" w:hanging="363"/>
        <w:spacing w:after="0"/>
        <w:tabs>
          <w:tab w:leader="none" w:pos="1100" w:val="left"/>
        </w:tabs>
        <w:numPr>
          <w:ilvl w:val="0"/>
          <w:numId w:val="14"/>
        </w:numPr>
        <w:rPr>
          <w:rFonts w:ascii="Arial" w:cs="Arial" w:eastAsia="Arial" w:hAnsi="Arial"/>
          <w:sz w:val="18"/>
          <w:szCs w:val="18"/>
          <w:color w:val="auto"/>
        </w:rPr>
      </w:pPr>
      <w:r>
        <w:rPr>
          <w:rFonts w:ascii="Arial" w:cs="Arial" w:eastAsia="Arial" w:hAnsi="Arial"/>
          <w:sz w:val="18"/>
          <w:szCs w:val="18"/>
          <w:color w:val="231F20"/>
        </w:rPr>
        <w:t>the costs of enhancing the existing functionality and development of new functionalities for the ARTAS System;</w:t>
      </w:r>
    </w:p>
    <w:p>
      <w:pPr>
        <w:spacing w:after="0" w:line="117" w:lineRule="exact"/>
        <w:rPr>
          <w:rFonts w:ascii="Arial" w:cs="Arial" w:eastAsia="Arial" w:hAnsi="Arial"/>
          <w:sz w:val="18"/>
          <w:szCs w:val="18"/>
          <w:color w:val="auto"/>
        </w:rPr>
      </w:pPr>
    </w:p>
    <w:p>
      <w:pPr>
        <w:ind w:left="1100" w:hanging="363"/>
        <w:spacing w:after="0"/>
        <w:tabs>
          <w:tab w:leader="none" w:pos="1100" w:val="left"/>
        </w:tabs>
        <w:numPr>
          <w:ilvl w:val="0"/>
          <w:numId w:val="14"/>
        </w:numPr>
        <w:rPr>
          <w:rFonts w:ascii="Arial" w:cs="Arial" w:eastAsia="Arial" w:hAnsi="Arial"/>
          <w:sz w:val="16"/>
          <w:szCs w:val="16"/>
          <w:color w:val="231F20"/>
        </w:rPr>
      </w:pPr>
      <w:r>
        <w:rPr>
          <w:rFonts w:ascii="Arial" w:cs="Arial" w:eastAsia="Arial" w:hAnsi="Arial"/>
          <w:sz w:val="16"/>
          <w:szCs w:val="16"/>
          <w:color w:val="231F20"/>
        </w:rPr>
        <w:t>any product liability or other lawsuits related to our products and the costs associated with defending them or the results of such lawsuits;</w:t>
      </w:r>
    </w:p>
    <w:p>
      <w:pPr>
        <w:spacing w:after="0" w:line="140" w:lineRule="exact"/>
        <w:rPr>
          <w:rFonts w:ascii="Arial" w:cs="Arial" w:eastAsia="Arial" w:hAnsi="Arial"/>
          <w:sz w:val="16"/>
          <w:szCs w:val="16"/>
          <w:color w:val="231F20"/>
        </w:rPr>
      </w:pPr>
    </w:p>
    <w:p>
      <w:pPr>
        <w:ind w:left="1100" w:hanging="363"/>
        <w:spacing w:after="0"/>
        <w:tabs>
          <w:tab w:leader="none" w:pos="1100" w:val="left"/>
        </w:tabs>
        <w:numPr>
          <w:ilvl w:val="0"/>
          <w:numId w:val="14"/>
        </w:numPr>
        <w:rPr>
          <w:rFonts w:ascii="Arial" w:cs="Arial" w:eastAsia="Arial" w:hAnsi="Arial"/>
          <w:sz w:val="18"/>
          <w:szCs w:val="18"/>
          <w:color w:val="auto"/>
        </w:rPr>
      </w:pPr>
      <w:r>
        <w:rPr>
          <w:rFonts w:ascii="Arial" w:cs="Arial" w:eastAsia="Arial" w:hAnsi="Arial"/>
          <w:sz w:val="18"/>
          <w:szCs w:val="18"/>
          <w:color w:val="231F20"/>
        </w:rPr>
        <w:t>the cost of growing our ongoing commercialization and sales and marketing activities;</w:t>
      </w:r>
    </w:p>
    <w:p>
      <w:pPr>
        <w:spacing w:after="0" w:line="117" w:lineRule="exact"/>
        <w:rPr>
          <w:rFonts w:ascii="Arial" w:cs="Arial" w:eastAsia="Arial" w:hAnsi="Arial"/>
          <w:sz w:val="18"/>
          <w:szCs w:val="18"/>
          <w:color w:val="auto"/>
        </w:rPr>
      </w:pPr>
    </w:p>
    <w:p>
      <w:pPr>
        <w:ind w:left="1100" w:hanging="363"/>
        <w:spacing w:after="0"/>
        <w:tabs>
          <w:tab w:leader="none" w:pos="1100" w:val="left"/>
        </w:tabs>
        <w:numPr>
          <w:ilvl w:val="0"/>
          <w:numId w:val="14"/>
        </w:numPr>
        <w:rPr>
          <w:rFonts w:ascii="Arial" w:cs="Arial" w:eastAsia="Arial" w:hAnsi="Arial"/>
          <w:sz w:val="18"/>
          <w:szCs w:val="18"/>
          <w:color w:val="auto"/>
        </w:rPr>
      </w:pPr>
      <w:r>
        <w:rPr>
          <w:rFonts w:ascii="Arial" w:cs="Arial" w:eastAsia="Arial" w:hAnsi="Arial"/>
          <w:sz w:val="18"/>
          <w:szCs w:val="18"/>
          <w:color w:val="231F20"/>
        </w:rPr>
        <w:t>the costs associated with conducting business and maintaining subsidiaries in foreign jurisdictions;</w:t>
      </w:r>
    </w:p>
    <w:p>
      <w:pPr>
        <w:spacing w:after="0" w:line="117" w:lineRule="exact"/>
        <w:rPr>
          <w:rFonts w:ascii="Arial" w:cs="Arial" w:eastAsia="Arial" w:hAnsi="Arial"/>
          <w:sz w:val="18"/>
          <w:szCs w:val="18"/>
          <w:color w:val="auto"/>
        </w:rPr>
      </w:pPr>
    </w:p>
    <w:p>
      <w:pPr>
        <w:ind w:left="1100" w:hanging="363"/>
        <w:spacing w:after="0"/>
        <w:tabs>
          <w:tab w:leader="none" w:pos="1100" w:val="left"/>
        </w:tabs>
        <w:numPr>
          <w:ilvl w:val="0"/>
          <w:numId w:val="14"/>
        </w:numPr>
        <w:rPr>
          <w:rFonts w:ascii="Arial" w:cs="Arial" w:eastAsia="Arial" w:hAnsi="Arial"/>
          <w:sz w:val="18"/>
          <w:szCs w:val="18"/>
          <w:color w:val="auto"/>
        </w:rPr>
      </w:pPr>
      <w:r>
        <w:rPr>
          <w:rFonts w:ascii="Arial" w:cs="Arial" w:eastAsia="Arial" w:hAnsi="Arial"/>
          <w:sz w:val="18"/>
          <w:szCs w:val="18"/>
          <w:color w:val="231F20"/>
        </w:rPr>
        <w:t>the costs to attract and retain personnel with the skills required for effective operations; and</w:t>
      </w:r>
    </w:p>
    <w:p>
      <w:pPr>
        <w:spacing w:after="0" w:line="117" w:lineRule="exact"/>
        <w:rPr>
          <w:rFonts w:ascii="Arial" w:cs="Arial" w:eastAsia="Arial" w:hAnsi="Arial"/>
          <w:sz w:val="18"/>
          <w:szCs w:val="18"/>
          <w:color w:val="auto"/>
        </w:rPr>
      </w:pPr>
    </w:p>
    <w:p>
      <w:pPr>
        <w:ind w:left="1100" w:hanging="363"/>
        <w:spacing w:after="0"/>
        <w:tabs>
          <w:tab w:leader="none" w:pos="1100" w:val="left"/>
        </w:tabs>
        <w:numPr>
          <w:ilvl w:val="0"/>
          <w:numId w:val="14"/>
        </w:numPr>
        <w:rPr>
          <w:rFonts w:ascii="Arial" w:cs="Arial" w:eastAsia="Arial" w:hAnsi="Arial"/>
          <w:sz w:val="18"/>
          <w:szCs w:val="18"/>
          <w:color w:val="auto"/>
        </w:rPr>
      </w:pPr>
      <w:r>
        <w:rPr>
          <w:rFonts w:ascii="Arial" w:cs="Arial" w:eastAsia="Arial" w:hAnsi="Arial"/>
          <w:sz w:val="18"/>
          <w:szCs w:val="18"/>
          <w:color w:val="231F20"/>
        </w:rPr>
        <w:t>the costs associated with being a public company.</w:t>
      </w:r>
    </w:p>
    <w:p>
      <w:pPr>
        <w:spacing w:after="0" w:line="117" w:lineRule="exact"/>
        <w:rPr>
          <w:sz w:val="20"/>
          <w:szCs w:val="20"/>
          <w:color w:val="auto"/>
        </w:rPr>
      </w:pPr>
    </w:p>
    <w:p>
      <w:pPr>
        <w:jc w:val="both"/>
        <w:ind w:right="40"/>
        <w:spacing w:after="0" w:line="259" w:lineRule="auto"/>
        <w:rPr>
          <w:sz w:val="20"/>
          <w:szCs w:val="20"/>
          <w:color w:val="auto"/>
        </w:rPr>
      </w:pPr>
      <w:r>
        <w:rPr>
          <w:rFonts w:ascii="Arial" w:cs="Arial" w:eastAsia="Arial" w:hAnsi="Arial"/>
          <w:sz w:val="18"/>
          <w:szCs w:val="18"/>
          <w:color w:val="231F20"/>
        </w:rPr>
        <w:t>Our budgeted expense levels are based in part on our expectations concerning future revenue from ARTAS System sales, servicing and procedure based fees. We may be unable to reduce our expenditures in a timely manner to compensate for any unexpected shortfalls in revenue. Accordingly, a significant shortfall in market acceptance or demand for the ARTAS System and procedures could have an immediate and material adverse impact on our business and financial condition.</w:t>
      </w:r>
    </w:p>
    <w:p>
      <w:pPr>
        <w:spacing w:after="0" w:line="200" w:lineRule="exact"/>
        <w:rPr>
          <w:sz w:val="20"/>
          <w:szCs w:val="20"/>
          <w:color w:val="auto"/>
        </w:rPr>
      </w:pPr>
    </w:p>
    <w:p>
      <w:pPr>
        <w:spacing w:after="0" w:line="23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380"/>
          </w:cols>
          <w:pgMar w:left="240" w:top="449" w:right="279" w:bottom="1440" w:gutter="0" w:footer="0" w:header="0"/>
        </w:sectPr>
      </w:pPr>
    </w:p>
    <w:bookmarkStart w:id="23" w:name="page24"/>
    <w:bookmarkEnd w:id="23"/>
    <w:p>
      <w:pPr>
        <w:spacing w:after="0"/>
        <w:rPr>
          <w:sz w:val="20"/>
          <w:szCs w:val="20"/>
          <w:color w:val="auto"/>
        </w:rPr>
      </w:pPr>
      <w:r>
        <w:rPr>
          <w:rFonts w:ascii="Arial" w:cs="Arial" w:eastAsia="Arial" w:hAnsi="Arial"/>
          <w:sz w:val="18"/>
          <w:szCs w:val="18"/>
          <w:b w:val="1"/>
          <w:bCs w:val="1"/>
          <w:i w:val="1"/>
          <w:iCs w:val="1"/>
          <w:color w:val="231F20"/>
        </w:rPr>
        <w:t>It is difficult to forecast our future performance and our financial results may fluctuate unpredictably.</w:t>
      </w:r>
    </w:p>
    <w:p>
      <w:pPr>
        <w:spacing w:after="0" w:line="117" w:lineRule="exact"/>
        <w:rPr>
          <w:sz w:val="20"/>
          <w:szCs w:val="20"/>
          <w:color w:val="auto"/>
        </w:rPr>
      </w:pPr>
    </w:p>
    <w:p>
      <w:pPr>
        <w:ind w:right="160"/>
        <w:spacing w:after="0" w:line="308" w:lineRule="auto"/>
        <w:rPr>
          <w:sz w:val="20"/>
          <w:szCs w:val="20"/>
          <w:color w:val="auto"/>
        </w:rPr>
      </w:pPr>
      <w:r>
        <w:rPr>
          <w:rFonts w:ascii="Arial" w:cs="Arial" w:eastAsia="Arial" w:hAnsi="Arial"/>
          <w:sz w:val="17"/>
          <w:szCs w:val="17"/>
          <w:color w:val="231F20"/>
        </w:rPr>
        <w:t>Our limited commercial history and the rapid evolution of the markets for medical technologies and aesthetic products make it difficult for us to predict our future performance. A number of factors, many of which are outside of our control, may contribute to fluctuations in our financial results, such as:</w:t>
      </w:r>
    </w:p>
    <w:p>
      <w:pPr>
        <w:spacing w:after="0" w:line="38" w:lineRule="exact"/>
        <w:rPr>
          <w:sz w:val="20"/>
          <w:szCs w:val="20"/>
          <w:color w:val="auto"/>
        </w:rPr>
      </w:pPr>
    </w:p>
    <w:p>
      <w:pPr>
        <w:ind w:left="1100" w:hanging="363"/>
        <w:spacing w:after="0"/>
        <w:tabs>
          <w:tab w:leader="none" w:pos="1100" w:val="left"/>
        </w:tabs>
        <w:numPr>
          <w:ilvl w:val="0"/>
          <w:numId w:val="15"/>
        </w:numPr>
        <w:rPr>
          <w:rFonts w:ascii="Arial" w:cs="Arial" w:eastAsia="Arial" w:hAnsi="Arial"/>
          <w:sz w:val="18"/>
          <w:szCs w:val="18"/>
          <w:color w:val="auto"/>
        </w:rPr>
      </w:pPr>
      <w:r>
        <w:rPr>
          <w:rFonts w:ascii="Arial" w:cs="Arial" w:eastAsia="Arial" w:hAnsi="Arial"/>
          <w:sz w:val="18"/>
          <w:szCs w:val="18"/>
          <w:color w:val="231F20"/>
        </w:rPr>
        <w:t>physician demand for the ARTAS System and procedure usage may vary from quarter to quarter;</w:t>
      </w:r>
    </w:p>
    <w:p>
      <w:pPr>
        <w:spacing w:after="0" w:line="117" w:lineRule="exact"/>
        <w:rPr>
          <w:rFonts w:ascii="Arial" w:cs="Arial" w:eastAsia="Arial" w:hAnsi="Arial"/>
          <w:sz w:val="18"/>
          <w:szCs w:val="18"/>
          <w:color w:val="auto"/>
        </w:rPr>
      </w:pPr>
    </w:p>
    <w:p>
      <w:pPr>
        <w:ind w:left="1100" w:hanging="363"/>
        <w:spacing w:after="0"/>
        <w:tabs>
          <w:tab w:leader="none" w:pos="1100" w:val="left"/>
        </w:tabs>
        <w:numPr>
          <w:ilvl w:val="0"/>
          <w:numId w:val="15"/>
        </w:numPr>
        <w:rPr>
          <w:rFonts w:ascii="Arial" w:cs="Arial" w:eastAsia="Arial" w:hAnsi="Arial"/>
          <w:sz w:val="18"/>
          <w:szCs w:val="18"/>
          <w:color w:val="auto"/>
        </w:rPr>
      </w:pPr>
      <w:r>
        <w:rPr>
          <w:rFonts w:ascii="Arial" w:cs="Arial" w:eastAsia="Arial" w:hAnsi="Arial"/>
          <w:sz w:val="18"/>
          <w:szCs w:val="18"/>
          <w:color w:val="231F20"/>
        </w:rPr>
        <w:t>the inability of physicians to obtain the necessary financing to purchase the ARTAS System;</w:t>
      </w:r>
    </w:p>
    <w:p>
      <w:pPr>
        <w:spacing w:after="0" w:line="117" w:lineRule="exact"/>
        <w:rPr>
          <w:rFonts w:ascii="Arial" w:cs="Arial" w:eastAsia="Arial" w:hAnsi="Arial"/>
          <w:sz w:val="18"/>
          <w:szCs w:val="18"/>
          <w:color w:val="auto"/>
        </w:rPr>
      </w:pPr>
    </w:p>
    <w:p>
      <w:pPr>
        <w:ind w:left="1100" w:hanging="363"/>
        <w:spacing w:after="0"/>
        <w:tabs>
          <w:tab w:leader="none" w:pos="1100" w:val="left"/>
        </w:tabs>
        <w:numPr>
          <w:ilvl w:val="0"/>
          <w:numId w:val="15"/>
        </w:numPr>
        <w:rPr>
          <w:rFonts w:ascii="Arial" w:cs="Arial" w:eastAsia="Arial" w:hAnsi="Arial"/>
          <w:sz w:val="18"/>
          <w:szCs w:val="18"/>
          <w:color w:val="auto"/>
        </w:rPr>
      </w:pPr>
      <w:r>
        <w:rPr>
          <w:rFonts w:ascii="Arial" w:cs="Arial" w:eastAsia="Arial" w:hAnsi="Arial"/>
          <w:sz w:val="18"/>
          <w:szCs w:val="18"/>
          <w:color w:val="231F20"/>
        </w:rPr>
        <w:t>changes in the length of our sales process for the ARTAS System;</w:t>
      </w:r>
    </w:p>
    <w:p>
      <w:pPr>
        <w:spacing w:after="0" w:line="117" w:lineRule="exact"/>
        <w:rPr>
          <w:rFonts w:ascii="Arial" w:cs="Arial" w:eastAsia="Arial" w:hAnsi="Arial"/>
          <w:sz w:val="18"/>
          <w:szCs w:val="18"/>
          <w:color w:val="auto"/>
        </w:rPr>
      </w:pPr>
    </w:p>
    <w:p>
      <w:pPr>
        <w:ind w:left="1100" w:hanging="363"/>
        <w:spacing w:after="0"/>
        <w:tabs>
          <w:tab w:leader="none" w:pos="1100" w:val="left"/>
        </w:tabs>
        <w:numPr>
          <w:ilvl w:val="0"/>
          <w:numId w:val="15"/>
        </w:numPr>
        <w:rPr>
          <w:rFonts w:ascii="Arial" w:cs="Arial" w:eastAsia="Arial" w:hAnsi="Arial"/>
          <w:sz w:val="18"/>
          <w:szCs w:val="18"/>
          <w:color w:val="auto"/>
        </w:rPr>
      </w:pPr>
      <w:r>
        <w:rPr>
          <w:rFonts w:ascii="Arial" w:cs="Arial" w:eastAsia="Arial" w:hAnsi="Arial"/>
          <w:sz w:val="18"/>
          <w:szCs w:val="18"/>
          <w:color w:val="231F20"/>
        </w:rPr>
        <w:t>performance of our international distributors;</w:t>
      </w:r>
    </w:p>
    <w:p>
      <w:pPr>
        <w:spacing w:after="0" w:line="117" w:lineRule="exact"/>
        <w:rPr>
          <w:rFonts w:ascii="Arial" w:cs="Arial" w:eastAsia="Arial" w:hAnsi="Arial"/>
          <w:sz w:val="18"/>
          <w:szCs w:val="18"/>
          <w:color w:val="auto"/>
        </w:rPr>
      </w:pPr>
    </w:p>
    <w:p>
      <w:pPr>
        <w:ind w:left="1100" w:hanging="363"/>
        <w:spacing w:after="0"/>
        <w:tabs>
          <w:tab w:leader="none" w:pos="1100" w:val="left"/>
        </w:tabs>
        <w:numPr>
          <w:ilvl w:val="0"/>
          <w:numId w:val="15"/>
        </w:numPr>
        <w:rPr>
          <w:rFonts w:ascii="Arial" w:cs="Arial" w:eastAsia="Arial" w:hAnsi="Arial"/>
          <w:sz w:val="17"/>
          <w:szCs w:val="17"/>
          <w:color w:val="auto"/>
        </w:rPr>
      </w:pPr>
      <w:r>
        <w:rPr>
          <w:rFonts w:ascii="Arial" w:cs="Arial" w:eastAsia="Arial" w:hAnsi="Arial"/>
          <w:sz w:val="17"/>
          <w:szCs w:val="17"/>
          <w:color w:val="231F20"/>
        </w:rPr>
        <w:t>positive or negative media coverage of the ARTAS System, the procedures or products of our competitors, or our industry generally;</w:t>
      </w:r>
    </w:p>
    <w:p>
      <w:pPr>
        <w:spacing w:after="0" w:line="128" w:lineRule="exact"/>
        <w:rPr>
          <w:rFonts w:ascii="Arial" w:cs="Arial" w:eastAsia="Arial" w:hAnsi="Arial"/>
          <w:sz w:val="17"/>
          <w:szCs w:val="17"/>
          <w:color w:val="auto"/>
        </w:rPr>
      </w:pPr>
    </w:p>
    <w:p>
      <w:pPr>
        <w:ind w:left="1100" w:hanging="363"/>
        <w:spacing w:after="0"/>
        <w:tabs>
          <w:tab w:leader="none" w:pos="1100" w:val="left"/>
        </w:tabs>
        <w:numPr>
          <w:ilvl w:val="0"/>
          <w:numId w:val="15"/>
        </w:numPr>
        <w:rPr>
          <w:rFonts w:ascii="Arial" w:cs="Arial" w:eastAsia="Arial" w:hAnsi="Arial"/>
          <w:sz w:val="18"/>
          <w:szCs w:val="18"/>
          <w:color w:val="auto"/>
        </w:rPr>
      </w:pPr>
      <w:r>
        <w:rPr>
          <w:rFonts w:ascii="Arial" w:cs="Arial" w:eastAsia="Arial" w:hAnsi="Arial"/>
          <w:sz w:val="18"/>
          <w:szCs w:val="18"/>
          <w:color w:val="231F20"/>
        </w:rPr>
        <w:t>our ability to maintain our current, or obtain further, regulatory clearances or approvals;</w:t>
      </w:r>
    </w:p>
    <w:p>
      <w:pPr>
        <w:spacing w:after="0" w:line="117" w:lineRule="exact"/>
        <w:rPr>
          <w:rFonts w:ascii="Arial" w:cs="Arial" w:eastAsia="Arial" w:hAnsi="Arial"/>
          <w:sz w:val="18"/>
          <w:szCs w:val="18"/>
          <w:color w:val="auto"/>
        </w:rPr>
      </w:pPr>
    </w:p>
    <w:p>
      <w:pPr>
        <w:ind w:left="1100" w:hanging="363"/>
        <w:spacing w:after="0"/>
        <w:tabs>
          <w:tab w:leader="none" w:pos="1100" w:val="left"/>
        </w:tabs>
        <w:numPr>
          <w:ilvl w:val="0"/>
          <w:numId w:val="15"/>
        </w:numPr>
        <w:rPr>
          <w:rFonts w:ascii="Arial" w:cs="Arial" w:eastAsia="Arial" w:hAnsi="Arial"/>
          <w:sz w:val="18"/>
          <w:szCs w:val="18"/>
          <w:color w:val="auto"/>
        </w:rPr>
      </w:pPr>
      <w:r>
        <w:rPr>
          <w:rFonts w:ascii="Arial" w:cs="Arial" w:eastAsia="Arial" w:hAnsi="Arial"/>
          <w:sz w:val="18"/>
          <w:szCs w:val="18"/>
          <w:color w:val="231F20"/>
        </w:rPr>
        <w:t>delays in, or failure of, product and component deliveries by our third-party manufacturers or suppliers;</w:t>
      </w:r>
    </w:p>
    <w:p>
      <w:pPr>
        <w:spacing w:after="0" w:line="117" w:lineRule="exact"/>
        <w:rPr>
          <w:rFonts w:ascii="Arial" w:cs="Arial" w:eastAsia="Arial" w:hAnsi="Arial"/>
          <w:sz w:val="18"/>
          <w:szCs w:val="18"/>
          <w:color w:val="auto"/>
        </w:rPr>
      </w:pPr>
    </w:p>
    <w:p>
      <w:pPr>
        <w:ind w:left="1100" w:hanging="363"/>
        <w:spacing w:after="0"/>
        <w:tabs>
          <w:tab w:leader="none" w:pos="1100" w:val="left"/>
        </w:tabs>
        <w:numPr>
          <w:ilvl w:val="0"/>
          <w:numId w:val="15"/>
        </w:numPr>
        <w:rPr>
          <w:rFonts w:ascii="Arial" w:cs="Arial" w:eastAsia="Arial" w:hAnsi="Arial"/>
          <w:sz w:val="18"/>
          <w:szCs w:val="18"/>
          <w:color w:val="auto"/>
        </w:rPr>
      </w:pPr>
      <w:r>
        <w:rPr>
          <w:rFonts w:ascii="Arial" w:cs="Arial" w:eastAsia="Arial" w:hAnsi="Arial"/>
          <w:sz w:val="18"/>
          <w:szCs w:val="18"/>
          <w:color w:val="231F20"/>
        </w:rPr>
        <w:t>seasonal or other variations in patient demand for aesthetic procedures;</w:t>
      </w:r>
    </w:p>
    <w:p>
      <w:pPr>
        <w:spacing w:after="0" w:line="117" w:lineRule="exact"/>
        <w:rPr>
          <w:rFonts w:ascii="Arial" w:cs="Arial" w:eastAsia="Arial" w:hAnsi="Arial"/>
          <w:sz w:val="18"/>
          <w:szCs w:val="18"/>
          <w:color w:val="auto"/>
        </w:rPr>
      </w:pPr>
    </w:p>
    <w:p>
      <w:pPr>
        <w:ind w:left="1100" w:hanging="363"/>
        <w:spacing w:after="0"/>
        <w:tabs>
          <w:tab w:leader="none" w:pos="1100" w:val="left"/>
        </w:tabs>
        <w:numPr>
          <w:ilvl w:val="0"/>
          <w:numId w:val="15"/>
        </w:numPr>
        <w:rPr>
          <w:rFonts w:ascii="Arial" w:cs="Arial" w:eastAsia="Arial" w:hAnsi="Arial"/>
          <w:sz w:val="18"/>
          <w:szCs w:val="18"/>
          <w:color w:val="auto"/>
        </w:rPr>
      </w:pPr>
      <w:r>
        <w:rPr>
          <w:rFonts w:ascii="Arial" w:cs="Arial" w:eastAsia="Arial" w:hAnsi="Arial"/>
          <w:sz w:val="18"/>
          <w:szCs w:val="18"/>
          <w:color w:val="231F20"/>
        </w:rPr>
        <w:t>introduction of new aesthetic procedures or products that compete with the ARTAS System;</w:t>
      </w:r>
    </w:p>
    <w:p>
      <w:pPr>
        <w:spacing w:after="0" w:line="117" w:lineRule="exact"/>
        <w:rPr>
          <w:rFonts w:ascii="Arial" w:cs="Arial" w:eastAsia="Arial" w:hAnsi="Arial"/>
          <w:sz w:val="18"/>
          <w:szCs w:val="18"/>
          <w:color w:val="auto"/>
        </w:rPr>
      </w:pPr>
    </w:p>
    <w:p>
      <w:pPr>
        <w:ind w:left="1100" w:hanging="363"/>
        <w:spacing w:after="0"/>
        <w:tabs>
          <w:tab w:leader="none" w:pos="1100" w:val="left"/>
        </w:tabs>
        <w:numPr>
          <w:ilvl w:val="0"/>
          <w:numId w:val="15"/>
        </w:numPr>
        <w:rPr>
          <w:rFonts w:ascii="Arial" w:cs="Arial" w:eastAsia="Arial" w:hAnsi="Arial"/>
          <w:sz w:val="17"/>
          <w:szCs w:val="17"/>
          <w:color w:val="auto"/>
        </w:rPr>
      </w:pPr>
      <w:r>
        <w:rPr>
          <w:rFonts w:ascii="Arial" w:cs="Arial" w:eastAsia="Arial" w:hAnsi="Arial"/>
          <w:sz w:val="17"/>
          <w:szCs w:val="17"/>
          <w:color w:val="231F20"/>
        </w:rPr>
        <w:t>changes in accounting rules that may cause restatement of our consolidated financial statements or have other adverse effects; and</w:t>
      </w:r>
    </w:p>
    <w:p>
      <w:pPr>
        <w:spacing w:after="0" w:line="128" w:lineRule="exact"/>
        <w:rPr>
          <w:rFonts w:ascii="Arial" w:cs="Arial" w:eastAsia="Arial" w:hAnsi="Arial"/>
          <w:sz w:val="17"/>
          <w:szCs w:val="17"/>
          <w:color w:val="auto"/>
        </w:rPr>
      </w:pPr>
    </w:p>
    <w:p>
      <w:pPr>
        <w:ind w:left="1100" w:hanging="363"/>
        <w:spacing w:after="0"/>
        <w:tabs>
          <w:tab w:leader="none" w:pos="1100" w:val="left"/>
        </w:tabs>
        <w:numPr>
          <w:ilvl w:val="0"/>
          <w:numId w:val="15"/>
        </w:numPr>
        <w:rPr>
          <w:rFonts w:ascii="Arial" w:cs="Arial" w:eastAsia="Arial" w:hAnsi="Arial"/>
          <w:sz w:val="18"/>
          <w:szCs w:val="18"/>
          <w:color w:val="auto"/>
        </w:rPr>
      </w:pPr>
      <w:r>
        <w:rPr>
          <w:rFonts w:ascii="Arial" w:cs="Arial" w:eastAsia="Arial" w:hAnsi="Arial"/>
          <w:sz w:val="18"/>
          <w:szCs w:val="18"/>
          <w:color w:val="231F20"/>
        </w:rPr>
        <w:t>adverse changes in the economy that reduce patient demand for elective aesthetic procedures.</w:t>
      </w:r>
    </w:p>
    <w:p>
      <w:pPr>
        <w:spacing w:after="0" w:line="144" w:lineRule="exact"/>
        <w:rPr>
          <w:sz w:val="20"/>
          <w:szCs w:val="20"/>
          <w:color w:val="auto"/>
        </w:rPr>
      </w:pPr>
    </w:p>
    <w:p>
      <w:pPr>
        <w:ind w:right="460"/>
        <w:spacing w:after="0" w:line="264" w:lineRule="auto"/>
        <w:rPr>
          <w:sz w:val="20"/>
          <w:szCs w:val="20"/>
          <w:color w:val="auto"/>
        </w:rPr>
      </w:pPr>
      <w:r>
        <w:rPr>
          <w:rFonts w:ascii="Arial" w:cs="Arial" w:eastAsia="Arial" w:hAnsi="Arial"/>
          <w:sz w:val="18"/>
          <w:szCs w:val="18"/>
          <w:b w:val="1"/>
          <w:bCs w:val="1"/>
          <w:i w:val="1"/>
          <w:iCs w:val="1"/>
          <w:color w:val="231F20"/>
        </w:rPr>
        <w:t>The long sales cycle, low unit volume for sales of the ARTAS System and the historic seasonality of our industry, each may contribute to substantial fluctuations in our operating results and stock price and make it difficult to compare our results of operations to prior periods and predict future financial results.</w:t>
      </w:r>
    </w:p>
    <w:p>
      <w:pPr>
        <w:spacing w:after="0" w:line="73" w:lineRule="exact"/>
        <w:rPr>
          <w:sz w:val="20"/>
          <w:szCs w:val="20"/>
          <w:color w:val="auto"/>
        </w:rPr>
      </w:pPr>
    </w:p>
    <w:p>
      <w:pPr>
        <w:ind w:right="100"/>
        <w:spacing w:after="0" w:line="288" w:lineRule="auto"/>
        <w:rPr>
          <w:sz w:val="20"/>
          <w:szCs w:val="20"/>
          <w:color w:val="auto"/>
        </w:rPr>
      </w:pPr>
      <w:r>
        <w:rPr>
          <w:rFonts w:ascii="Arial" w:cs="Arial" w:eastAsia="Arial" w:hAnsi="Arial"/>
          <w:sz w:val="16"/>
          <w:szCs w:val="16"/>
          <w:color w:val="231F20"/>
        </w:rPr>
        <w:t>We sell a relatively small number of ARTAS Systems at a relatively high price, with each sale of an ARTAS System typically involving a significant amount of time. Because of the relatively small number of ARTAS Systems we expect to sell in any period, each sale of the ARTAS System could represent a significant percentage of our revenue for a particular period. Furthermore, due to the significant amount of time it can take to finalize the sale of an ARTAS System, it is likely that a sale could be recognized in a subsequent period which could have a material effect on our results from quarter to quarter and increase the volatility of quarterly results. In addition, our industry is characterized by seasonally lower demand during the third quarter of the calendar year, generally when both physicians and prospective patients take summer vacation. As a result of these factors, future fluctuations in quarterly results could cause our revenue and cash flows to be below analyst and investor expectations, which could cause decline in our stock price. Due to future fluctuations in revenue and costs, as well as other potential fluctuations, you should not rely upon our operating results in any particular period as an indication of future performance. If we do not sell ARTAS Systems as anticipated, our operating results will vary significantly from our expectations. In addition, selling the ARTAS System requires significant marketing effort and expenditure in advance of the receipt of revenue and our efforts may not result in a sale.</w:t>
      </w:r>
    </w:p>
    <w:p>
      <w:pPr>
        <w:spacing w:after="0" w:line="102"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231F20"/>
        </w:rPr>
        <w:t>Our recurring losses from operations and negative cash flows have raised substantial doubt regarding our ability to continue as a going concern.</w:t>
      </w:r>
    </w:p>
    <w:p>
      <w:pPr>
        <w:spacing w:after="0" w:line="140" w:lineRule="exact"/>
        <w:rPr>
          <w:sz w:val="20"/>
          <w:szCs w:val="20"/>
          <w:color w:val="auto"/>
        </w:rPr>
      </w:pPr>
    </w:p>
    <w:p>
      <w:pPr>
        <w:spacing w:after="0" w:line="257" w:lineRule="auto"/>
        <w:rPr>
          <w:sz w:val="20"/>
          <w:szCs w:val="20"/>
          <w:color w:val="auto"/>
        </w:rPr>
      </w:pPr>
      <w:r>
        <w:rPr>
          <w:rFonts w:ascii="Arial" w:cs="Arial" w:eastAsia="Arial" w:hAnsi="Arial"/>
          <w:sz w:val="18"/>
          <w:szCs w:val="18"/>
          <w:color w:val="231F20"/>
        </w:rPr>
        <w:t>Our independent registered public accounting firm included an explanatory paragraph in its report on our consolidated financial statements as of, and for the year ended, December 31, 2017 that our recurring losses from operations and negative cash flows raise substantial doubt about our ability to continue as a going concern. Our ability to continue as a going concern will require us to obtain additional financing to fund our operations. The perception of our ability to continue as a going concern may make it more difficult for us to obtain financing for the continuation of our operations and could result in the loss of confidence by investors, suppliers and employees.</w:t>
      </w:r>
    </w:p>
    <w:p>
      <w:pPr>
        <w:spacing w:after="0" w:line="200" w:lineRule="exact"/>
        <w:rPr>
          <w:sz w:val="20"/>
          <w:szCs w:val="20"/>
          <w:color w:val="auto"/>
        </w:rPr>
      </w:pPr>
    </w:p>
    <w:p>
      <w:pPr>
        <w:spacing w:after="0" w:line="23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490" w:right="259" w:bottom="1440" w:gutter="0" w:footer="0" w:header="0"/>
        </w:sectPr>
      </w:pPr>
    </w:p>
    <w:bookmarkStart w:id="24" w:name="page25"/>
    <w:bookmarkEnd w:id="24"/>
    <w:p>
      <w:pPr>
        <w:ind w:right="140"/>
        <w:spacing w:after="0" w:line="342" w:lineRule="auto"/>
        <w:rPr>
          <w:sz w:val="20"/>
          <w:szCs w:val="20"/>
          <w:color w:val="auto"/>
        </w:rPr>
      </w:pPr>
      <w:r>
        <w:rPr>
          <w:rFonts w:ascii="Arial" w:cs="Arial" w:eastAsia="Arial" w:hAnsi="Arial"/>
          <w:sz w:val="16"/>
          <w:szCs w:val="16"/>
          <w:b w:val="1"/>
          <w:bCs w:val="1"/>
          <w:i w:val="1"/>
          <w:iCs w:val="1"/>
          <w:color w:val="231F20"/>
        </w:rPr>
        <w:t>We will require substantial additional financing to achieve our goals, and a failure to obtain this necessary capital when needed on acceptable terms, or at all, could force us to delay, limit, reduce or terminate our product development, commercialization and other operations or efforts.</w:t>
      </w:r>
    </w:p>
    <w:p>
      <w:pPr>
        <w:spacing w:after="0" w:line="16" w:lineRule="exact"/>
        <w:rPr>
          <w:sz w:val="20"/>
          <w:szCs w:val="20"/>
          <w:color w:val="auto"/>
        </w:rPr>
      </w:pPr>
    </w:p>
    <w:p>
      <w:pPr>
        <w:spacing w:after="0" w:line="254" w:lineRule="auto"/>
        <w:rPr>
          <w:sz w:val="20"/>
          <w:szCs w:val="20"/>
          <w:color w:val="auto"/>
        </w:rPr>
      </w:pPr>
      <w:r>
        <w:rPr>
          <w:rFonts w:ascii="Arial" w:cs="Arial" w:eastAsia="Arial" w:hAnsi="Arial"/>
          <w:sz w:val="18"/>
          <w:szCs w:val="18"/>
          <w:color w:val="231F20"/>
        </w:rPr>
        <w:t>Since our inception, we have invested a significant portion of our efforts and financial resources in research and development and sales and marketing activities. Research and development, clinical trials, product engineering, ongoing product upgrades and other enhancements such as software-updates for the ARTAS System, and seeking regulatory clearances and approvals to market future products, including the robotic implantation functionality which is in clinical development, will require substantial funds to complete. As of December 31, 2017, we had capital resources consisting of cash and cash equivalents of $23.5 million. In connection with our initial public offering (IPO), we raised an additional $22.1 million of proceeds, net of underwriting discounts and commissions and offering expenses. We believe that we will continue to expend substantial resources for the foreseeable future in connection with the ongoing commercializing of the ARTAS System, increasing our sales and marketing efforts, and continuing research and development and product enhancements activities.</w:t>
      </w:r>
    </w:p>
    <w:p>
      <w:pPr>
        <w:spacing w:after="0" w:line="84" w:lineRule="exact"/>
        <w:rPr>
          <w:sz w:val="20"/>
          <w:szCs w:val="20"/>
          <w:color w:val="auto"/>
        </w:rPr>
      </w:pPr>
    </w:p>
    <w:p>
      <w:pPr>
        <w:ind w:right="60"/>
        <w:spacing w:after="0" w:line="291" w:lineRule="auto"/>
        <w:rPr>
          <w:sz w:val="20"/>
          <w:szCs w:val="20"/>
          <w:color w:val="auto"/>
        </w:rPr>
      </w:pPr>
      <w:r>
        <w:rPr>
          <w:rFonts w:ascii="Arial" w:cs="Arial" w:eastAsia="Arial" w:hAnsi="Arial"/>
          <w:sz w:val="16"/>
          <w:szCs w:val="16"/>
          <w:color w:val="231F20"/>
        </w:rPr>
        <w:t xml:space="preserve">We believe our existing cash and cash equivalents (inclusive of the net proceeds from our IPO and the issuance of the Convertible Notes) and cash expected to be generated from the sale of our products, will not be sufficient for us to fund our planned </w:t>
      </w:r>
      <w:r>
        <w:rPr>
          <w:rFonts w:ascii="Arial" w:cs="Arial" w:eastAsia="Arial" w:hAnsi="Arial"/>
          <w:sz w:val="16"/>
          <w:szCs w:val="16"/>
          <w:color w:val="000000"/>
        </w:rPr>
        <w:t>operations</w:t>
      </w:r>
      <w:r>
        <w:rPr>
          <w:rFonts w:ascii="Arial" w:cs="Arial" w:eastAsia="Arial" w:hAnsi="Arial"/>
          <w:sz w:val="16"/>
          <w:szCs w:val="16"/>
          <w:color w:val="231F20"/>
        </w:rPr>
        <w:t xml:space="preserve"> for the next twelve months. Therefore, we will need additional capital to fund our future operations. In addition, our operating plans may change as a result of many factors some of which may be unknown to us, and we may need to seek additional funds sooner than planned, through public or private equity or debt financings or other sources, such as strategic collaborations. Such financing may result in dilution to stockholders, imposition of burdensome debt covenants and repayment obligations, the licensing of rights to our technology or other restrictions that may affect our business. In addition, we may seek additional capital due to favorable market conditions or strategic considerations even if we believe we have sufficient funds for our current or future operating plans.</w:t>
      </w:r>
    </w:p>
    <w:p>
      <w:pPr>
        <w:spacing w:after="0" w:line="59" w:lineRule="exact"/>
        <w:rPr>
          <w:sz w:val="20"/>
          <w:szCs w:val="20"/>
          <w:color w:val="auto"/>
        </w:rPr>
      </w:pPr>
    </w:p>
    <w:p>
      <w:pPr>
        <w:ind w:right="180"/>
        <w:spacing w:after="0" w:line="277" w:lineRule="auto"/>
        <w:rPr>
          <w:sz w:val="20"/>
          <w:szCs w:val="20"/>
          <w:color w:val="auto"/>
        </w:rPr>
      </w:pPr>
      <w:r>
        <w:rPr>
          <w:rFonts w:ascii="Arial" w:cs="Arial" w:eastAsia="Arial" w:hAnsi="Arial"/>
          <w:sz w:val="18"/>
          <w:szCs w:val="18"/>
          <w:color w:val="231F20"/>
        </w:rPr>
        <w:t>Additional funds may not be available when we need them, on terms that are acceptable to us, or at all. If adequate funds are not available to us on a timely basis, we may be required to:</w:t>
      </w:r>
    </w:p>
    <w:p>
      <w:pPr>
        <w:spacing w:after="0" w:line="62" w:lineRule="exact"/>
        <w:rPr>
          <w:sz w:val="20"/>
          <w:szCs w:val="20"/>
          <w:color w:val="auto"/>
        </w:rPr>
      </w:pPr>
    </w:p>
    <w:p>
      <w:pPr>
        <w:ind w:left="1100" w:right="200" w:hanging="363"/>
        <w:spacing w:after="0" w:line="277" w:lineRule="auto"/>
        <w:tabs>
          <w:tab w:leader="none" w:pos="1100" w:val="left"/>
        </w:tabs>
        <w:numPr>
          <w:ilvl w:val="0"/>
          <w:numId w:val="16"/>
        </w:numPr>
        <w:rPr>
          <w:rFonts w:ascii="Arial" w:cs="Arial" w:eastAsia="Arial" w:hAnsi="Arial"/>
          <w:sz w:val="18"/>
          <w:szCs w:val="18"/>
          <w:color w:val="auto"/>
        </w:rPr>
      </w:pPr>
      <w:r>
        <w:rPr>
          <w:rFonts w:ascii="Arial" w:cs="Arial" w:eastAsia="Arial" w:hAnsi="Arial"/>
          <w:sz w:val="18"/>
          <w:szCs w:val="18"/>
          <w:color w:val="231F20"/>
        </w:rPr>
        <w:t>delay or curtail our efforts to develop enhancements to the ARTAS System, including any clinical trials that may be required to market such enhancements;</w:t>
      </w:r>
    </w:p>
    <w:p>
      <w:pPr>
        <w:spacing w:after="0" w:line="62" w:lineRule="exact"/>
        <w:rPr>
          <w:rFonts w:ascii="Arial" w:cs="Arial" w:eastAsia="Arial" w:hAnsi="Arial"/>
          <w:sz w:val="18"/>
          <w:szCs w:val="18"/>
          <w:color w:val="auto"/>
        </w:rPr>
      </w:pPr>
    </w:p>
    <w:p>
      <w:pPr>
        <w:ind w:left="1100" w:hanging="363"/>
        <w:spacing w:after="0"/>
        <w:tabs>
          <w:tab w:leader="none" w:pos="1100" w:val="left"/>
        </w:tabs>
        <w:numPr>
          <w:ilvl w:val="0"/>
          <w:numId w:val="16"/>
        </w:numPr>
        <w:rPr>
          <w:rFonts w:ascii="Arial" w:cs="Arial" w:eastAsia="Arial" w:hAnsi="Arial"/>
          <w:sz w:val="18"/>
          <w:szCs w:val="18"/>
          <w:color w:val="auto"/>
        </w:rPr>
      </w:pPr>
      <w:r>
        <w:rPr>
          <w:rFonts w:ascii="Arial" w:cs="Arial" w:eastAsia="Arial" w:hAnsi="Arial"/>
          <w:sz w:val="18"/>
          <w:szCs w:val="18"/>
          <w:color w:val="231F20"/>
        </w:rPr>
        <w:t>delay or curtail our plans to increase and expand our sales and marketing efforts; or</w:t>
      </w:r>
    </w:p>
    <w:p>
      <w:pPr>
        <w:spacing w:after="0" w:line="117" w:lineRule="exact"/>
        <w:rPr>
          <w:rFonts w:ascii="Arial" w:cs="Arial" w:eastAsia="Arial" w:hAnsi="Arial"/>
          <w:sz w:val="18"/>
          <w:szCs w:val="18"/>
          <w:color w:val="auto"/>
        </w:rPr>
      </w:pPr>
    </w:p>
    <w:p>
      <w:pPr>
        <w:ind w:left="1100" w:hanging="363"/>
        <w:spacing w:after="0"/>
        <w:tabs>
          <w:tab w:leader="none" w:pos="1100" w:val="left"/>
        </w:tabs>
        <w:numPr>
          <w:ilvl w:val="0"/>
          <w:numId w:val="16"/>
        </w:numPr>
        <w:rPr>
          <w:rFonts w:ascii="Arial" w:cs="Arial" w:eastAsia="Arial" w:hAnsi="Arial"/>
          <w:sz w:val="18"/>
          <w:szCs w:val="18"/>
          <w:color w:val="auto"/>
        </w:rPr>
      </w:pPr>
      <w:r>
        <w:rPr>
          <w:rFonts w:ascii="Arial" w:cs="Arial" w:eastAsia="Arial" w:hAnsi="Arial"/>
          <w:sz w:val="18"/>
          <w:szCs w:val="18"/>
          <w:color w:val="231F20"/>
        </w:rPr>
        <w:t>delay or curtail our plans to enhance our customer support and marketing activities.</w:t>
      </w:r>
    </w:p>
    <w:p>
      <w:pPr>
        <w:spacing w:after="0" w:line="117"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color w:val="231F20"/>
        </w:rPr>
        <w:t>We are restricted by covenants in our term loan agreement with Oxford Finance LLC, or Oxford. These covenants restrict, among other things, our ability to incur additional debt without Oxford’s consent, which may limit our ability to obtain additional funds.</w:t>
      </w:r>
    </w:p>
    <w:p>
      <w:pPr>
        <w:spacing w:after="0" w:line="89" w:lineRule="exact"/>
        <w:rPr>
          <w:sz w:val="20"/>
          <w:szCs w:val="20"/>
          <w:color w:val="auto"/>
        </w:rPr>
      </w:pPr>
    </w:p>
    <w:p>
      <w:pPr>
        <w:ind w:right="220"/>
        <w:spacing w:after="0" w:line="375" w:lineRule="auto"/>
        <w:rPr>
          <w:sz w:val="20"/>
          <w:szCs w:val="20"/>
          <w:color w:val="auto"/>
        </w:rPr>
      </w:pPr>
      <w:r>
        <w:rPr>
          <w:rFonts w:ascii="Arial" w:cs="Arial" w:eastAsia="Arial" w:hAnsi="Arial"/>
          <w:sz w:val="15"/>
          <w:szCs w:val="15"/>
          <w:b w:val="1"/>
          <w:bCs w:val="1"/>
          <w:i w:val="1"/>
          <w:iCs w:val="1"/>
          <w:color w:val="auto"/>
        </w:rPr>
        <w:t>We are dependent upon the success of the ARTAS System, which has a limited commercial history. If we are unsuccessful in developing the market for robotic hair restoration or the market acceptance for the ARTAS System fails to grow significantly, our business and future prospects will be harmed.</w:t>
      </w:r>
    </w:p>
    <w:p>
      <w:pPr>
        <w:spacing w:after="0" w:line="1" w:lineRule="exact"/>
        <w:rPr>
          <w:sz w:val="20"/>
          <w:szCs w:val="20"/>
          <w:color w:val="auto"/>
        </w:rPr>
      </w:pPr>
    </w:p>
    <w:p>
      <w:pPr>
        <w:ind w:right="60"/>
        <w:spacing w:after="0" w:line="270" w:lineRule="auto"/>
        <w:rPr>
          <w:sz w:val="20"/>
          <w:szCs w:val="20"/>
          <w:color w:val="auto"/>
        </w:rPr>
      </w:pPr>
      <w:r>
        <w:rPr>
          <w:rFonts w:ascii="Arial" w:cs="Arial" w:eastAsia="Arial" w:hAnsi="Arial"/>
          <w:sz w:val="17"/>
          <w:szCs w:val="17"/>
          <w:color w:val="auto"/>
        </w:rPr>
        <w:t>We commenced commercial sales of the ARTAS System for hair follicle dissection in the U.S. in 2011, and expect that the revenue we generate from both system sales and servicing as well as recurring procedure based fees will account for all of our revenue for the foreseeable future. Accordingly, our success depends on the acceptance among physicians and patients of the ARTAS System as the preferred system for performing hair restoration surgery. Acceptance of the ARTAS System by physicians is significantly dependent on our ability to convince physicians of the benefits of the ARTAS System to their practices and, accordingly, develop the market for robotic-assisted hair restoration surgery. Acceptance of the ARTAS procedure by patients is equally important as patient demand will influence physicians to offer the ARTAS procedure. Although we have received FDA clearance to market the ARTAS System for the harvesting of hair follicles for transplant in the U.S. and the ARTAS System is otherwise authorized for marketing in 61 international countries, the degree of market acceptance of the ARTAS System by physicians and patients is unproven. We believe that market acceptance of the ARTAS System will depend on many factors, including:</w:t>
      </w:r>
    </w:p>
    <w:p>
      <w:pPr>
        <w:spacing w:after="0" w:line="74" w:lineRule="exact"/>
        <w:rPr>
          <w:sz w:val="20"/>
          <w:szCs w:val="20"/>
          <w:color w:val="auto"/>
        </w:rPr>
      </w:pPr>
    </w:p>
    <w:p>
      <w:pPr>
        <w:ind w:left="1100" w:hanging="363"/>
        <w:spacing w:after="0"/>
        <w:tabs>
          <w:tab w:leader="none" w:pos="1100" w:val="left"/>
        </w:tabs>
        <w:numPr>
          <w:ilvl w:val="0"/>
          <w:numId w:val="17"/>
        </w:numPr>
        <w:rPr>
          <w:rFonts w:ascii="Arial" w:cs="Arial" w:eastAsia="Arial" w:hAnsi="Arial"/>
          <w:sz w:val="16"/>
          <w:szCs w:val="16"/>
          <w:color w:val="231F20"/>
        </w:rPr>
      </w:pPr>
      <w:r>
        <w:rPr>
          <w:rFonts w:ascii="Arial" w:cs="Arial" w:eastAsia="Arial" w:hAnsi="Arial"/>
          <w:sz w:val="18"/>
          <w:szCs w:val="18"/>
          <w:color w:val="231F20"/>
        </w:rPr>
        <w:t>the perceived advantages or disadvantages of the ARTAS System compared to other hair restoration products and treatments;</w:t>
      </w:r>
    </w:p>
    <w:p>
      <w:pPr>
        <w:spacing w:after="0" w:line="117" w:lineRule="exact"/>
        <w:rPr>
          <w:rFonts w:ascii="Arial" w:cs="Arial" w:eastAsia="Arial" w:hAnsi="Arial"/>
          <w:sz w:val="16"/>
          <w:szCs w:val="16"/>
          <w:color w:val="231F20"/>
        </w:rPr>
      </w:pPr>
    </w:p>
    <w:p>
      <w:pPr>
        <w:ind w:left="1100" w:hanging="363"/>
        <w:spacing w:after="0"/>
        <w:tabs>
          <w:tab w:leader="none" w:pos="1100" w:val="left"/>
        </w:tabs>
        <w:numPr>
          <w:ilvl w:val="0"/>
          <w:numId w:val="17"/>
        </w:numPr>
        <w:rPr>
          <w:rFonts w:ascii="Arial" w:cs="Arial" w:eastAsia="Arial" w:hAnsi="Arial"/>
          <w:sz w:val="16"/>
          <w:szCs w:val="16"/>
          <w:color w:val="231F20"/>
        </w:rPr>
      </w:pPr>
      <w:r>
        <w:rPr>
          <w:rFonts w:ascii="Arial" w:cs="Arial" w:eastAsia="Arial" w:hAnsi="Arial"/>
          <w:sz w:val="18"/>
          <w:szCs w:val="18"/>
          <w:color w:val="231F20"/>
        </w:rPr>
        <w:t>the safety and efficacy of the ARTAS System relative to other hair restoration products and treatments;</w:t>
      </w:r>
    </w:p>
    <w:p>
      <w:pPr>
        <w:spacing w:after="0" w:line="200" w:lineRule="exact"/>
        <w:rPr>
          <w:sz w:val="20"/>
          <w:szCs w:val="20"/>
          <w:color w:val="auto"/>
        </w:rPr>
      </w:pPr>
    </w:p>
    <w:p>
      <w:pPr>
        <w:spacing w:after="0" w:line="26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380"/>
          </w:cols>
          <w:pgMar w:left="240" w:top="490" w:right="279" w:bottom="1440" w:gutter="0" w:footer="0" w:header="0"/>
        </w:sectPr>
      </w:pPr>
    </w:p>
    <w:bookmarkStart w:id="25" w:name="page26"/>
    <w:bookmarkEnd w:id="25"/>
    <w:p>
      <w:pPr>
        <w:ind w:left="1100" w:hanging="363"/>
        <w:spacing w:after="0"/>
        <w:tabs>
          <w:tab w:leader="none" w:pos="1100" w:val="left"/>
        </w:tabs>
        <w:numPr>
          <w:ilvl w:val="0"/>
          <w:numId w:val="18"/>
        </w:numPr>
        <w:rPr>
          <w:rFonts w:ascii="Arial" w:cs="Arial" w:eastAsia="Arial" w:hAnsi="Arial"/>
          <w:sz w:val="16"/>
          <w:szCs w:val="16"/>
          <w:color w:val="231F20"/>
        </w:rPr>
      </w:pPr>
      <w:r>
        <w:rPr>
          <w:rFonts w:ascii="Arial" w:cs="Arial" w:eastAsia="Arial" w:hAnsi="Arial"/>
          <w:sz w:val="18"/>
          <w:szCs w:val="18"/>
          <w:color w:val="231F20"/>
        </w:rPr>
        <w:t>the price of the ARTAS System relative to other hair restoration products and treatments;</w:t>
      </w:r>
    </w:p>
    <w:p>
      <w:pPr>
        <w:spacing w:after="0" w:line="117" w:lineRule="exact"/>
        <w:rPr>
          <w:rFonts w:ascii="Arial" w:cs="Arial" w:eastAsia="Arial" w:hAnsi="Arial"/>
          <w:sz w:val="16"/>
          <w:szCs w:val="16"/>
          <w:color w:val="231F20"/>
        </w:rPr>
      </w:pPr>
    </w:p>
    <w:p>
      <w:pPr>
        <w:ind w:left="1100" w:hanging="363"/>
        <w:spacing w:after="0"/>
        <w:tabs>
          <w:tab w:leader="none" w:pos="1100" w:val="left"/>
        </w:tabs>
        <w:numPr>
          <w:ilvl w:val="0"/>
          <w:numId w:val="18"/>
        </w:numPr>
        <w:rPr>
          <w:rFonts w:ascii="Arial" w:cs="Arial" w:eastAsia="Arial" w:hAnsi="Arial"/>
          <w:sz w:val="16"/>
          <w:szCs w:val="16"/>
          <w:color w:val="231F20"/>
        </w:rPr>
      </w:pPr>
      <w:r>
        <w:rPr>
          <w:rFonts w:ascii="Arial" w:cs="Arial" w:eastAsia="Arial" w:hAnsi="Arial"/>
          <w:sz w:val="18"/>
          <w:szCs w:val="18"/>
          <w:color w:val="231F20"/>
        </w:rPr>
        <w:t>our success in expanding our sales and marketing organization;</w:t>
      </w:r>
    </w:p>
    <w:p>
      <w:pPr>
        <w:spacing w:after="0" w:line="117" w:lineRule="exact"/>
        <w:rPr>
          <w:rFonts w:ascii="Arial" w:cs="Arial" w:eastAsia="Arial" w:hAnsi="Arial"/>
          <w:sz w:val="16"/>
          <w:szCs w:val="16"/>
          <w:color w:val="231F20"/>
        </w:rPr>
      </w:pPr>
    </w:p>
    <w:p>
      <w:pPr>
        <w:ind w:left="1100" w:hanging="363"/>
        <w:spacing w:after="0"/>
        <w:tabs>
          <w:tab w:leader="none" w:pos="1100" w:val="left"/>
        </w:tabs>
        <w:numPr>
          <w:ilvl w:val="0"/>
          <w:numId w:val="18"/>
        </w:numPr>
        <w:rPr>
          <w:rFonts w:ascii="Arial" w:cs="Arial" w:eastAsia="Arial" w:hAnsi="Arial"/>
          <w:sz w:val="16"/>
          <w:szCs w:val="16"/>
          <w:color w:val="231F20"/>
        </w:rPr>
      </w:pPr>
      <w:r>
        <w:rPr>
          <w:rFonts w:ascii="Arial" w:cs="Arial" w:eastAsia="Arial" w:hAnsi="Arial"/>
          <w:sz w:val="18"/>
          <w:szCs w:val="18"/>
          <w:color w:val="231F20"/>
        </w:rPr>
        <w:t>the effectiveness of our marketing, advertising, and commercialization initiatives;</w:t>
      </w:r>
    </w:p>
    <w:p>
      <w:pPr>
        <w:spacing w:after="0" w:line="117" w:lineRule="exact"/>
        <w:rPr>
          <w:rFonts w:ascii="Arial" w:cs="Arial" w:eastAsia="Arial" w:hAnsi="Arial"/>
          <w:sz w:val="16"/>
          <w:szCs w:val="16"/>
          <w:color w:val="231F20"/>
        </w:rPr>
      </w:pPr>
    </w:p>
    <w:p>
      <w:pPr>
        <w:ind w:left="1100" w:hanging="363"/>
        <w:spacing w:after="0"/>
        <w:tabs>
          <w:tab w:leader="none" w:pos="1100" w:val="left"/>
        </w:tabs>
        <w:numPr>
          <w:ilvl w:val="0"/>
          <w:numId w:val="18"/>
        </w:numPr>
        <w:rPr>
          <w:rFonts w:ascii="Arial" w:cs="Arial" w:eastAsia="Arial" w:hAnsi="Arial"/>
          <w:sz w:val="16"/>
          <w:szCs w:val="16"/>
          <w:color w:val="231F20"/>
        </w:rPr>
      </w:pPr>
      <w:r>
        <w:rPr>
          <w:rFonts w:ascii="Arial" w:cs="Arial" w:eastAsia="Arial" w:hAnsi="Arial"/>
          <w:sz w:val="18"/>
          <w:szCs w:val="18"/>
          <w:color w:val="231F20"/>
        </w:rPr>
        <w:t>our success in adding new functionalities to the ARTAS System and enhancing existing functions; and</w:t>
      </w:r>
    </w:p>
    <w:p>
      <w:pPr>
        <w:spacing w:after="0" w:line="117" w:lineRule="exact"/>
        <w:rPr>
          <w:rFonts w:ascii="Arial" w:cs="Arial" w:eastAsia="Arial" w:hAnsi="Arial"/>
          <w:sz w:val="16"/>
          <w:szCs w:val="16"/>
          <w:color w:val="231F20"/>
        </w:rPr>
      </w:pPr>
    </w:p>
    <w:p>
      <w:pPr>
        <w:ind w:left="1100" w:hanging="363"/>
        <w:spacing w:after="0"/>
        <w:tabs>
          <w:tab w:leader="none" w:pos="1100" w:val="left"/>
        </w:tabs>
        <w:numPr>
          <w:ilvl w:val="0"/>
          <w:numId w:val="18"/>
        </w:numPr>
        <w:rPr>
          <w:rFonts w:ascii="Arial" w:cs="Arial" w:eastAsia="Arial" w:hAnsi="Arial"/>
          <w:sz w:val="16"/>
          <w:szCs w:val="16"/>
          <w:color w:val="231F20"/>
        </w:rPr>
      </w:pPr>
      <w:r>
        <w:rPr>
          <w:rFonts w:ascii="Arial" w:cs="Arial" w:eastAsia="Arial" w:hAnsi="Arial"/>
          <w:sz w:val="18"/>
          <w:szCs w:val="18"/>
          <w:color w:val="231F20"/>
        </w:rPr>
        <w:t>our ability to obtain regulatory clearance to market the ARTAS System for additional treatment indications in the U.S.</w:t>
      </w:r>
    </w:p>
    <w:p>
      <w:pPr>
        <w:spacing w:after="0" w:line="117" w:lineRule="exact"/>
        <w:rPr>
          <w:sz w:val="20"/>
          <w:szCs w:val="20"/>
          <w:color w:val="auto"/>
        </w:rPr>
      </w:pPr>
    </w:p>
    <w:p>
      <w:pPr>
        <w:spacing w:after="0" w:line="286" w:lineRule="auto"/>
        <w:rPr>
          <w:sz w:val="20"/>
          <w:szCs w:val="20"/>
          <w:color w:val="auto"/>
        </w:rPr>
      </w:pPr>
      <w:r>
        <w:rPr>
          <w:rFonts w:ascii="Arial" w:cs="Arial" w:eastAsia="Arial" w:hAnsi="Arial"/>
          <w:sz w:val="17"/>
          <w:szCs w:val="17"/>
          <w:color w:val="auto"/>
        </w:rPr>
        <w:t>We cannot provide assurance that the ARTAS System will achieve broad market acceptance among physicians and patients. Because we expect to derive substantially all of our revenue for the foreseeable future from ARTAS System sales, servicing and procedure based fees, any failure of this product to satisfy physician or patient demand or to achieve meaningful market acceptance will harm our business and future prospects.</w:t>
      </w:r>
    </w:p>
    <w:p>
      <w:pPr>
        <w:spacing w:after="0" w:line="9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231F20"/>
        </w:rPr>
        <w:t>If there is not sufficient patient demand for ARTAS procedures, our financial results and future prospects will be harmed.</w:t>
      </w:r>
    </w:p>
    <w:p>
      <w:pPr>
        <w:spacing w:after="0" w:line="117" w:lineRule="exact"/>
        <w:rPr>
          <w:sz w:val="20"/>
          <w:szCs w:val="20"/>
          <w:color w:val="auto"/>
        </w:rPr>
      </w:pPr>
    </w:p>
    <w:p>
      <w:pPr>
        <w:jc w:val="both"/>
        <w:ind w:right="400"/>
        <w:spacing w:after="0" w:line="264" w:lineRule="auto"/>
        <w:rPr>
          <w:sz w:val="20"/>
          <w:szCs w:val="20"/>
          <w:color w:val="auto"/>
        </w:rPr>
      </w:pPr>
      <w:r>
        <w:rPr>
          <w:rFonts w:ascii="Arial" w:cs="Arial" w:eastAsia="Arial" w:hAnsi="Arial"/>
          <w:sz w:val="18"/>
          <w:szCs w:val="18"/>
          <w:color w:val="231F20"/>
        </w:rPr>
        <w:t>The ARTAS procedure is an elective aesthetic procedure, the cost of which must be borne by the patient, and is not covered by or reimbursable through government or private health insurance. The decision to undergo the ARTAS procedure is thus driven by patient demand, which may be influenced by a number of factors, such as:</w:t>
      </w:r>
    </w:p>
    <w:p>
      <w:pPr>
        <w:spacing w:after="0" w:line="73" w:lineRule="exact"/>
        <w:rPr>
          <w:sz w:val="20"/>
          <w:szCs w:val="20"/>
          <w:color w:val="auto"/>
        </w:rPr>
      </w:pPr>
    </w:p>
    <w:p>
      <w:pPr>
        <w:ind w:left="1100" w:hanging="363"/>
        <w:spacing w:after="0"/>
        <w:tabs>
          <w:tab w:leader="none" w:pos="1100" w:val="left"/>
        </w:tabs>
        <w:numPr>
          <w:ilvl w:val="0"/>
          <w:numId w:val="19"/>
        </w:numPr>
        <w:rPr>
          <w:rFonts w:ascii="Arial" w:cs="Arial" w:eastAsia="Arial" w:hAnsi="Arial"/>
          <w:sz w:val="16"/>
          <w:szCs w:val="16"/>
          <w:color w:val="231F20"/>
        </w:rPr>
      </w:pPr>
      <w:r>
        <w:rPr>
          <w:rFonts w:ascii="Arial" w:cs="Arial" w:eastAsia="Arial" w:hAnsi="Arial"/>
          <w:sz w:val="18"/>
          <w:szCs w:val="18"/>
          <w:color w:val="231F20"/>
        </w:rPr>
        <w:t>the success of our sales and marketing programs;</w:t>
      </w:r>
    </w:p>
    <w:p>
      <w:pPr>
        <w:spacing w:after="0" w:line="117" w:lineRule="exact"/>
        <w:rPr>
          <w:rFonts w:ascii="Arial" w:cs="Arial" w:eastAsia="Arial" w:hAnsi="Arial"/>
          <w:sz w:val="16"/>
          <w:szCs w:val="16"/>
          <w:color w:val="231F20"/>
        </w:rPr>
      </w:pPr>
    </w:p>
    <w:p>
      <w:pPr>
        <w:ind w:left="1100" w:hanging="363"/>
        <w:spacing w:after="0"/>
        <w:tabs>
          <w:tab w:leader="none" w:pos="1100" w:val="left"/>
        </w:tabs>
        <w:numPr>
          <w:ilvl w:val="0"/>
          <w:numId w:val="19"/>
        </w:numPr>
        <w:rPr>
          <w:rFonts w:ascii="Arial" w:cs="Arial" w:eastAsia="Arial" w:hAnsi="Arial"/>
          <w:sz w:val="16"/>
          <w:szCs w:val="16"/>
          <w:color w:val="231F20"/>
        </w:rPr>
      </w:pPr>
      <w:r>
        <w:rPr>
          <w:rFonts w:ascii="Arial" w:cs="Arial" w:eastAsia="Arial" w:hAnsi="Arial"/>
          <w:sz w:val="18"/>
          <w:szCs w:val="18"/>
          <w:color w:val="231F20"/>
        </w:rPr>
        <w:t>the extent to which our physician customers recommend the ARTAS System to their patients;</w:t>
      </w:r>
    </w:p>
    <w:p>
      <w:pPr>
        <w:spacing w:after="0" w:line="117" w:lineRule="exact"/>
        <w:rPr>
          <w:rFonts w:ascii="Arial" w:cs="Arial" w:eastAsia="Arial" w:hAnsi="Arial"/>
          <w:sz w:val="16"/>
          <w:szCs w:val="16"/>
          <w:color w:val="231F20"/>
        </w:rPr>
      </w:pPr>
    </w:p>
    <w:p>
      <w:pPr>
        <w:ind w:left="1100" w:hanging="363"/>
        <w:spacing w:after="0"/>
        <w:tabs>
          <w:tab w:leader="none" w:pos="1100" w:val="left"/>
        </w:tabs>
        <w:numPr>
          <w:ilvl w:val="0"/>
          <w:numId w:val="19"/>
        </w:numPr>
        <w:rPr>
          <w:rFonts w:ascii="Arial" w:cs="Arial" w:eastAsia="Arial" w:hAnsi="Arial"/>
          <w:sz w:val="16"/>
          <w:szCs w:val="16"/>
          <w:color w:val="231F20"/>
        </w:rPr>
      </w:pPr>
      <w:r>
        <w:rPr>
          <w:rFonts w:ascii="Arial" w:cs="Arial" w:eastAsia="Arial" w:hAnsi="Arial"/>
          <w:sz w:val="18"/>
          <w:szCs w:val="18"/>
          <w:color w:val="231F20"/>
        </w:rPr>
        <w:t>our success in attracting consumers who have not previously undergone hair restoration treatment;</w:t>
      </w:r>
    </w:p>
    <w:p>
      <w:pPr>
        <w:spacing w:after="0" w:line="117" w:lineRule="exact"/>
        <w:rPr>
          <w:rFonts w:ascii="Arial" w:cs="Arial" w:eastAsia="Arial" w:hAnsi="Arial"/>
          <w:sz w:val="16"/>
          <w:szCs w:val="16"/>
          <w:color w:val="231F20"/>
        </w:rPr>
      </w:pPr>
    </w:p>
    <w:p>
      <w:pPr>
        <w:ind w:left="1100" w:hanging="363"/>
        <w:spacing w:after="0"/>
        <w:tabs>
          <w:tab w:leader="none" w:pos="1100" w:val="left"/>
        </w:tabs>
        <w:numPr>
          <w:ilvl w:val="0"/>
          <w:numId w:val="19"/>
        </w:numPr>
        <w:rPr>
          <w:rFonts w:ascii="Arial" w:cs="Arial" w:eastAsia="Arial" w:hAnsi="Arial"/>
          <w:sz w:val="16"/>
          <w:szCs w:val="16"/>
          <w:color w:val="231F20"/>
        </w:rPr>
      </w:pPr>
      <w:r>
        <w:rPr>
          <w:rFonts w:ascii="Arial" w:cs="Arial" w:eastAsia="Arial" w:hAnsi="Arial"/>
          <w:sz w:val="18"/>
          <w:szCs w:val="18"/>
          <w:color w:val="231F20"/>
        </w:rPr>
        <w:t>the extent to which the ARTAS procedure satisfies patient expectations;</w:t>
      </w:r>
    </w:p>
    <w:p>
      <w:pPr>
        <w:spacing w:after="0" w:line="117" w:lineRule="exact"/>
        <w:rPr>
          <w:rFonts w:ascii="Arial" w:cs="Arial" w:eastAsia="Arial" w:hAnsi="Arial"/>
          <w:sz w:val="16"/>
          <w:szCs w:val="16"/>
          <w:color w:val="231F20"/>
        </w:rPr>
      </w:pPr>
    </w:p>
    <w:p>
      <w:pPr>
        <w:ind w:left="1100" w:right="540" w:hanging="363"/>
        <w:spacing w:after="0" w:line="277" w:lineRule="auto"/>
        <w:tabs>
          <w:tab w:leader="none" w:pos="1100" w:val="left"/>
        </w:tabs>
        <w:numPr>
          <w:ilvl w:val="0"/>
          <w:numId w:val="19"/>
        </w:numPr>
        <w:rPr>
          <w:rFonts w:ascii="Arial" w:cs="Arial" w:eastAsia="Arial" w:hAnsi="Arial"/>
          <w:sz w:val="16"/>
          <w:szCs w:val="16"/>
          <w:color w:val="231F20"/>
        </w:rPr>
      </w:pPr>
      <w:r>
        <w:rPr>
          <w:rFonts w:ascii="Arial" w:cs="Arial" w:eastAsia="Arial" w:hAnsi="Arial"/>
          <w:sz w:val="18"/>
          <w:szCs w:val="18"/>
          <w:color w:val="231F20"/>
        </w:rPr>
        <w:t>our ability to properly train our physician customers in the use of the ARTAS System so that their patients do not experience excessive discomfort during treatment or adverse side effects;</w:t>
      </w:r>
    </w:p>
    <w:p>
      <w:pPr>
        <w:spacing w:after="0" w:line="62" w:lineRule="exact"/>
        <w:rPr>
          <w:rFonts w:ascii="Arial" w:cs="Arial" w:eastAsia="Arial" w:hAnsi="Arial"/>
          <w:sz w:val="16"/>
          <w:szCs w:val="16"/>
          <w:color w:val="231F20"/>
        </w:rPr>
      </w:pPr>
    </w:p>
    <w:p>
      <w:pPr>
        <w:ind w:left="1100" w:right="60" w:hanging="363"/>
        <w:spacing w:after="0" w:line="277" w:lineRule="auto"/>
        <w:tabs>
          <w:tab w:leader="none" w:pos="1100" w:val="left"/>
        </w:tabs>
        <w:numPr>
          <w:ilvl w:val="0"/>
          <w:numId w:val="19"/>
        </w:numPr>
        <w:rPr>
          <w:rFonts w:ascii="Arial" w:cs="Arial" w:eastAsia="Arial" w:hAnsi="Arial"/>
          <w:sz w:val="16"/>
          <w:szCs w:val="16"/>
          <w:color w:val="231F20"/>
        </w:rPr>
      </w:pPr>
      <w:r>
        <w:rPr>
          <w:rFonts w:ascii="Arial" w:cs="Arial" w:eastAsia="Arial" w:hAnsi="Arial"/>
          <w:sz w:val="18"/>
          <w:szCs w:val="18"/>
          <w:color w:val="231F20"/>
        </w:rPr>
        <w:t>the cost, safety, and effectiveness of the ARTAS System versus other aesthetic treatments; consumer sentiment about the benefits and risks of aesthetic procedures generally and the ARTAS System in particular;</w:t>
      </w:r>
    </w:p>
    <w:p>
      <w:pPr>
        <w:spacing w:after="0" w:line="62" w:lineRule="exact"/>
        <w:rPr>
          <w:rFonts w:ascii="Arial" w:cs="Arial" w:eastAsia="Arial" w:hAnsi="Arial"/>
          <w:sz w:val="16"/>
          <w:szCs w:val="16"/>
          <w:color w:val="231F20"/>
        </w:rPr>
      </w:pPr>
    </w:p>
    <w:p>
      <w:pPr>
        <w:ind w:left="1100" w:hanging="363"/>
        <w:spacing w:after="0"/>
        <w:tabs>
          <w:tab w:leader="none" w:pos="1100" w:val="left"/>
        </w:tabs>
        <w:numPr>
          <w:ilvl w:val="0"/>
          <w:numId w:val="19"/>
        </w:numPr>
        <w:rPr>
          <w:rFonts w:ascii="Arial" w:cs="Arial" w:eastAsia="Arial" w:hAnsi="Arial"/>
          <w:sz w:val="16"/>
          <w:szCs w:val="16"/>
          <w:color w:val="231F20"/>
        </w:rPr>
      </w:pPr>
      <w:r>
        <w:rPr>
          <w:rFonts w:ascii="Arial" w:cs="Arial" w:eastAsia="Arial" w:hAnsi="Arial"/>
          <w:sz w:val="18"/>
          <w:szCs w:val="18"/>
          <w:color w:val="231F20"/>
        </w:rPr>
        <w:t>the success of any direct-to-consumer marketing efforts we may initiate; and</w:t>
      </w:r>
    </w:p>
    <w:p>
      <w:pPr>
        <w:spacing w:after="0" w:line="117" w:lineRule="exact"/>
        <w:rPr>
          <w:rFonts w:ascii="Arial" w:cs="Arial" w:eastAsia="Arial" w:hAnsi="Arial"/>
          <w:sz w:val="16"/>
          <w:szCs w:val="16"/>
          <w:color w:val="231F20"/>
        </w:rPr>
      </w:pPr>
    </w:p>
    <w:p>
      <w:pPr>
        <w:ind w:left="1100" w:hanging="363"/>
        <w:spacing w:after="0"/>
        <w:tabs>
          <w:tab w:leader="none" w:pos="1100" w:val="left"/>
        </w:tabs>
        <w:numPr>
          <w:ilvl w:val="0"/>
          <w:numId w:val="19"/>
        </w:numPr>
        <w:rPr>
          <w:rFonts w:ascii="Arial" w:cs="Arial" w:eastAsia="Arial" w:hAnsi="Arial"/>
          <w:sz w:val="16"/>
          <w:szCs w:val="16"/>
          <w:color w:val="231F20"/>
        </w:rPr>
      </w:pPr>
      <w:r>
        <w:rPr>
          <w:rFonts w:ascii="Arial" w:cs="Arial" w:eastAsia="Arial" w:hAnsi="Arial"/>
          <w:sz w:val="18"/>
          <w:szCs w:val="18"/>
          <w:color w:val="231F20"/>
        </w:rPr>
        <w:t>general consumer confidence, which may be impacted by economic and political conditions outside of our control.</w:t>
      </w:r>
    </w:p>
    <w:p>
      <w:pPr>
        <w:spacing w:after="0" w:line="117"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color w:val="231F20"/>
        </w:rPr>
        <w:t>Our financial performance will be materially harmed in the event we cannot generate significant patient demand for procedures performed with the ARTAS System.</w:t>
      </w:r>
    </w:p>
    <w:p>
      <w:pPr>
        <w:spacing w:after="0" w:line="8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231F20"/>
        </w:rPr>
        <w:t>Our success depends in part upon patient satisfaction with the effectiveness of the ARTAS System.</w:t>
      </w:r>
    </w:p>
    <w:p>
      <w:pPr>
        <w:spacing w:after="0" w:line="117" w:lineRule="exact"/>
        <w:rPr>
          <w:sz w:val="20"/>
          <w:szCs w:val="20"/>
          <w:color w:val="auto"/>
        </w:rPr>
      </w:pPr>
    </w:p>
    <w:p>
      <w:pPr>
        <w:ind w:right="20"/>
        <w:spacing w:after="0" w:line="257" w:lineRule="auto"/>
        <w:rPr>
          <w:sz w:val="20"/>
          <w:szCs w:val="20"/>
          <w:color w:val="auto"/>
        </w:rPr>
      </w:pPr>
      <w:r>
        <w:rPr>
          <w:rFonts w:ascii="Arial" w:cs="Arial" w:eastAsia="Arial" w:hAnsi="Arial"/>
          <w:sz w:val="18"/>
          <w:szCs w:val="18"/>
          <w:color w:val="231F20"/>
        </w:rPr>
        <w:t>In order to generate repeat and referral business, patients must be satisfied with the effectiveness of the ARTAS System. If the ARTAS System procedure is not done correctly, and/or the patient suffers from complications and other adverse effects, the patient may not be satisfied with the benefits of the ARTAS System. Furthermore, if the transplanted hair follicles do not grow or survive the transplant, the patient will likely not view the procedure as having a satisfactory outcome. If patients are not satisfied with the aesthetic benefits of the ARTAS System, or feel that it is too expensive for the results obtained, our reputation and future sales will suffer.</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231F20"/>
        </w:rPr>
        <w:t>Our success depends on growing physician adoption and use of the ARTAS System.</w:t>
      </w:r>
    </w:p>
    <w:p>
      <w:pPr>
        <w:spacing w:after="0" w:line="117" w:lineRule="exact"/>
        <w:rPr>
          <w:sz w:val="20"/>
          <w:szCs w:val="20"/>
          <w:color w:val="auto"/>
        </w:rPr>
      </w:pPr>
    </w:p>
    <w:p>
      <w:pPr>
        <w:ind w:right="40"/>
        <w:spacing w:after="0" w:line="293" w:lineRule="auto"/>
        <w:rPr>
          <w:sz w:val="20"/>
          <w:szCs w:val="20"/>
          <w:color w:val="auto"/>
        </w:rPr>
      </w:pPr>
      <w:r>
        <w:rPr>
          <w:rFonts w:ascii="Arial" w:cs="Arial" w:eastAsia="Arial" w:hAnsi="Arial"/>
          <w:sz w:val="16"/>
          <w:szCs w:val="16"/>
          <w:color w:val="231F20"/>
        </w:rPr>
        <w:t>Our ability to increase the number of physicians willing to make a significant capital expenditure to purchase the ARTAS System, and make it a significant part of their practices, depends on the success of our sales and marketing programs. We must be able to demonstrate that the cost of the ARTAS System and the revenue that a physician can derive from performing ARTAS procedures are compelling when compared to the costs and revenue associated with alternative aesthetic treatments the physician can offer. In addition, we believe our marketing programs, including clinical and practice development support, will be critical to increasing awareness of the ARTAS System, but these programs require physician commitment and involvement to succeed. If we are unable to increase physician adoption and use of the ARTAS System, our financial performance will be adversely affected.</w:t>
      </w:r>
    </w:p>
    <w:p>
      <w:pPr>
        <w:spacing w:after="0" w:line="200" w:lineRule="exact"/>
        <w:rPr>
          <w:sz w:val="20"/>
          <w:szCs w:val="20"/>
          <w:color w:val="auto"/>
        </w:rPr>
      </w:pPr>
    </w:p>
    <w:p>
      <w:pPr>
        <w:spacing w:after="0" w:line="208"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340"/>
          </w:cols>
          <w:pgMar w:left="240" w:top="449" w:right="319" w:bottom="1440" w:gutter="0" w:footer="0" w:header="0"/>
        </w:sectPr>
      </w:pPr>
    </w:p>
    <w:bookmarkStart w:id="26" w:name="page27"/>
    <w:bookmarkEnd w:id="26"/>
    <w:p>
      <w:pPr>
        <w:ind w:right="720"/>
        <w:spacing w:after="0" w:line="277" w:lineRule="auto"/>
        <w:rPr>
          <w:sz w:val="20"/>
          <w:szCs w:val="20"/>
          <w:color w:val="auto"/>
        </w:rPr>
      </w:pPr>
      <w:r>
        <w:rPr>
          <w:rFonts w:ascii="Arial" w:cs="Arial" w:eastAsia="Arial" w:hAnsi="Arial"/>
          <w:sz w:val="18"/>
          <w:szCs w:val="18"/>
          <w:b w:val="1"/>
          <w:bCs w:val="1"/>
          <w:i w:val="1"/>
          <w:iCs w:val="1"/>
          <w:color w:val="231F20"/>
        </w:rPr>
        <w:t>Our inability to effectively compete with competitive hair restoration treatments or procedures may prevent us from achieving significant market penetration or improving our operating results.</w:t>
      </w:r>
    </w:p>
    <w:p>
      <w:pPr>
        <w:spacing w:after="0" w:line="62" w:lineRule="exact"/>
        <w:rPr>
          <w:sz w:val="20"/>
          <w:szCs w:val="20"/>
          <w:color w:val="auto"/>
        </w:rPr>
      </w:pPr>
    </w:p>
    <w:p>
      <w:pPr>
        <w:ind w:right="80"/>
        <w:spacing w:after="0" w:line="312" w:lineRule="auto"/>
        <w:rPr>
          <w:sz w:val="20"/>
          <w:szCs w:val="20"/>
          <w:color w:val="auto"/>
        </w:rPr>
      </w:pPr>
      <w:r>
        <w:rPr>
          <w:rFonts w:ascii="Arial" w:cs="Arial" w:eastAsia="Arial" w:hAnsi="Arial"/>
          <w:sz w:val="16"/>
          <w:szCs w:val="16"/>
          <w:color w:val="231F20"/>
        </w:rPr>
        <w:t>The medical technology and aesthetic product markets are highly competitive and dynamic, and are characterized by rapid and substantial technological development and product innovations. We designed the ARTAS System to assist physicians in performing FUE surgery. Demand for the ARTAS System and ARTAS procedures could be limited by other products and technologies. Competition to address hair loss comes from various sources, including:</w:t>
      </w:r>
    </w:p>
    <w:p>
      <w:pPr>
        <w:spacing w:after="0" w:line="39" w:lineRule="exact"/>
        <w:rPr>
          <w:sz w:val="20"/>
          <w:szCs w:val="20"/>
          <w:color w:val="auto"/>
        </w:rPr>
      </w:pPr>
    </w:p>
    <w:p>
      <w:pPr>
        <w:ind w:left="1100" w:right="220" w:hanging="363"/>
        <w:spacing w:after="0" w:line="277" w:lineRule="auto"/>
        <w:tabs>
          <w:tab w:leader="none" w:pos="1100" w:val="left"/>
        </w:tabs>
        <w:numPr>
          <w:ilvl w:val="0"/>
          <w:numId w:val="20"/>
        </w:numPr>
        <w:rPr>
          <w:rFonts w:ascii="Arial" w:cs="Arial" w:eastAsia="Arial" w:hAnsi="Arial"/>
          <w:sz w:val="16"/>
          <w:szCs w:val="16"/>
          <w:color w:val="231F20"/>
        </w:rPr>
      </w:pPr>
      <w:r>
        <w:rPr>
          <w:rFonts w:ascii="Arial" w:cs="Arial" w:eastAsia="Arial" w:hAnsi="Arial"/>
          <w:sz w:val="18"/>
          <w:szCs w:val="18"/>
          <w:color w:val="231F20"/>
        </w:rPr>
        <w:t>therapeutic options including Rogaine, which is applied topically, and Propecia, which is ingested, both of which have been approved by the FDA;</w:t>
      </w:r>
    </w:p>
    <w:p>
      <w:pPr>
        <w:spacing w:after="0" w:line="62" w:lineRule="exact"/>
        <w:rPr>
          <w:rFonts w:ascii="Arial" w:cs="Arial" w:eastAsia="Arial" w:hAnsi="Arial"/>
          <w:sz w:val="16"/>
          <w:szCs w:val="16"/>
          <w:color w:val="231F20"/>
        </w:rPr>
      </w:pPr>
    </w:p>
    <w:p>
      <w:pPr>
        <w:ind w:left="1100" w:hanging="363"/>
        <w:spacing w:after="0"/>
        <w:tabs>
          <w:tab w:leader="none" w:pos="1100" w:val="left"/>
        </w:tabs>
        <w:numPr>
          <w:ilvl w:val="0"/>
          <w:numId w:val="20"/>
        </w:numPr>
        <w:rPr>
          <w:rFonts w:ascii="Arial" w:cs="Arial" w:eastAsia="Arial" w:hAnsi="Arial"/>
          <w:sz w:val="16"/>
          <w:szCs w:val="16"/>
          <w:color w:val="231F20"/>
        </w:rPr>
      </w:pPr>
      <w:r>
        <w:rPr>
          <w:rFonts w:ascii="Arial" w:cs="Arial" w:eastAsia="Arial" w:hAnsi="Arial"/>
          <w:sz w:val="18"/>
          <w:szCs w:val="18"/>
          <w:color w:val="231F20"/>
        </w:rPr>
        <w:t>non-surgical options, such as wigs, hair-loss concealer sprays and similar products; and</w:t>
      </w:r>
    </w:p>
    <w:p>
      <w:pPr>
        <w:spacing w:after="0" w:line="117" w:lineRule="exact"/>
        <w:rPr>
          <w:rFonts w:ascii="Arial" w:cs="Arial" w:eastAsia="Arial" w:hAnsi="Arial"/>
          <w:sz w:val="16"/>
          <w:szCs w:val="16"/>
          <w:color w:val="231F20"/>
        </w:rPr>
      </w:pPr>
    </w:p>
    <w:p>
      <w:pPr>
        <w:ind w:left="1100" w:hanging="363"/>
        <w:spacing w:after="0"/>
        <w:tabs>
          <w:tab w:leader="none" w:pos="1100" w:val="left"/>
        </w:tabs>
        <w:numPr>
          <w:ilvl w:val="0"/>
          <w:numId w:val="20"/>
        </w:numPr>
        <w:rPr>
          <w:rFonts w:ascii="Arial" w:cs="Arial" w:eastAsia="Arial" w:hAnsi="Arial"/>
          <w:sz w:val="16"/>
          <w:szCs w:val="16"/>
          <w:color w:val="231F20"/>
        </w:rPr>
      </w:pPr>
      <w:r>
        <w:rPr>
          <w:rFonts w:ascii="Arial" w:cs="Arial" w:eastAsia="Arial" w:hAnsi="Arial"/>
          <w:sz w:val="18"/>
          <w:szCs w:val="18"/>
          <w:color w:val="231F20"/>
        </w:rPr>
        <w:t>other surgical alternatives, including hair transplantation surgery using the strip surgery method or using hand-held devices.</w:t>
      </w:r>
    </w:p>
    <w:p>
      <w:pPr>
        <w:spacing w:after="0" w:line="117"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231F20"/>
        </w:rPr>
        <w:t>Surgical alternatives to the ARTAS System may be able to compete more effectively than the ARTAS procedure in established practices with trained staff and workflows built around performing these surgical alternatives.</w:t>
      </w:r>
    </w:p>
    <w:p>
      <w:pPr>
        <w:spacing w:after="0" w:line="62" w:lineRule="exact"/>
        <w:rPr>
          <w:sz w:val="20"/>
          <w:szCs w:val="20"/>
          <w:color w:val="auto"/>
        </w:rPr>
      </w:pPr>
    </w:p>
    <w:p>
      <w:pPr>
        <w:ind w:right="440"/>
        <w:spacing w:after="0" w:line="277" w:lineRule="auto"/>
        <w:rPr>
          <w:sz w:val="20"/>
          <w:szCs w:val="20"/>
          <w:color w:val="auto"/>
        </w:rPr>
      </w:pPr>
      <w:r>
        <w:rPr>
          <w:rFonts w:ascii="Arial" w:cs="Arial" w:eastAsia="Arial" w:hAnsi="Arial"/>
          <w:sz w:val="18"/>
          <w:szCs w:val="18"/>
          <w:color w:val="231F20"/>
        </w:rPr>
        <w:t>Practices experienced in offering strip surgery or follicular unit extractions using hand-held devices, or manual FUE, may be reluctant to incorporate, or convert their practices to offer ARTAS procedures due the effort involved to make such changes.</w:t>
      </w:r>
    </w:p>
    <w:p>
      <w:pPr>
        <w:spacing w:after="0" w:line="62" w:lineRule="exact"/>
        <w:rPr>
          <w:sz w:val="20"/>
          <w:szCs w:val="20"/>
          <w:color w:val="auto"/>
        </w:rPr>
      </w:pPr>
    </w:p>
    <w:p>
      <w:pPr>
        <w:ind w:right="320"/>
        <w:spacing w:after="0" w:line="277" w:lineRule="auto"/>
        <w:rPr>
          <w:sz w:val="20"/>
          <w:szCs w:val="20"/>
          <w:color w:val="auto"/>
        </w:rPr>
      </w:pPr>
      <w:r>
        <w:rPr>
          <w:rFonts w:ascii="Arial" w:cs="Arial" w:eastAsia="Arial" w:hAnsi="Arial"/>
          <w:sz w:val="18"/>
          <w:szCs w:val="18"/>
          <w:color w:val="231F20"/>
        </w:rPr>
        <w:t>Many options may be able to provide satisfactory results for male hair loss, generally at a lower cost to the patient than the ARTAS System. As a result, if patients choose these competitive alternatives, our results of operation could be adversely affected.</w:t>
      </w:r>
    </w:p>
    <w:p>
      <w:pPr>
        <w:spacing w:after="0" w:line="62" w:lineRule="exact"/>
        <w:rPr>
          <w:sz w:val="20"/>
          <w:szCs w:val="20"/>
          <w:color w:val="auto"/>
        </w:rPr>
      </w:pPr>
    </w:p>
    <w:p>
      <w:pPr>
        <w:ind w:right="140"/>
        <w:spacing w:after="0" w:line="286" w:lineRule="auto"/>
        <w:rPr>
          <w:sz w:val="20"/>
          <w:szCs w:val="20"/>
          <w:color w:val="auto"/>
        </w:rPr>
      </w:pPr>
      <w:r>
        <w:rPr>
          <w:rFonts w:ascii="Arial" w:cs="Arial" w:eastAsia="Arial" w:hAnsi="Arial"/>
          <w:sz w:val="17"/>
          <w:szCs w:val="17"/>
          <w:color w:val="231F20"/>
        </w:rPr>
        <w:t>We also face competition from other aesthetic devices that physicians may consider adding to their practice in lieu of building a hair restoration practice, for instance CoolSculpting, which is utilized for body contouring or cosmetic fat reduction. As a result, if physicians choose these competitive products over building a hair restoration practice with the ARTAS System, our results of operation could be adversely affected.</w:t>
      </w:r>
    </w:p>
    <w:p>
      <w:pPr>
        <w:spacing w:after="0" w:line="57" w:lineRule="exact"/>
        <w:rPr>
          <w:sz w:val="20"/>
          <w:szCs w:val="20"/>
          <w:color w:val="auto"/>
        </w:rPr>
      </w:pPr>
    </w:p>
    <w:p>
      <w:pPr>
        <w:jc w:val="both"/>
        <w:ind w:right="160"/>
        <w:spacing w:after="0" w:line="312" w:lineRule="auto"/>
        <w:rPr>
          <w:sz w:val="20"/>
          <w:szCs w:val="20"/>
          <w:color w:val="auto"/>
        </w:rPr>
      </w:pPr>
      <w:r>
        <w:rPr>
          <w:rFonts w:ascii="Arial" w:cs="Arial" w:eastAsia="Arial" w:hAnsi="Arial"/>
          <w:sz w:val="16"/>
          <w:szCs w:val="16"/>
          <w:color w:val="231F20"/>
        </w:rPr>
        <w:t>Some of our competitors have a broad range of product offerings, large direct sales forces, and long-term customer relationships with our target physicians, which could inhibit our market penetration efforts. Our potential physician customers also may need to recoup the cost of expensive products that they have already purchased from our competitors, and thus they may decide to delay purchasing, or not to purchase, the ARTAS System.</w:t>
      </w:r>
    </w:p>
    <w:p>
      <w:pPr>
        <w:spacing w:after="0" w:line="39" w:lineRule="exact"/>
        <w:rPr>
          <w:sz w:val="20"/>
          <w:szCs w:val="20"/>
          <w:color w:val="auto"/>
        </w:rPr>
      </w:pPr>
    </w:p>
    <w:p>
      <w:pPr>
        <w:ind w:right="20"/>
        <w:spacing w:after="0" w:line="342" w:lineRule="auto"/>
        <w:rPr>
          <w:sz w:val="20"/>
          <w:szCs w:val="20"/>
          <w:color w:val="auto"/>
        </w:rPr>
      </w:pPr>
      <w:r>
        <w:rPr>
          <w:rFonts w:ascii="Arial" w:cs="Arial" w:eastAsia="Arial" w:hAnsi="Arial"/>
          <w:sz w:val="16"/>
          <w:szCs w:val="16"/>
          <w:color w:val="231F20"/>
        </w:rPr>
        <w:t>Many of our competitors are large, experienced companies that have substantially greater resources and brand recognition than we do. Competition could result in price-cutting, reduced profit margins, and limited market share, any of which would harm our business, financial condition, and results of operations.</w:t>
      </w:r>
    </w:p>
    <w:p>
      <w:pPr>
        <w:spacing w:after="0" w:line="16" w:lineRule="exact"/>
        <w:rPr>
          <w:sz w:val="20"/>
          <w:szCs w:val="20"/>
          <w:color w:val="auto"/>
        </w:rPr>
      </w:pPr>
    </w:p>
    <w:p>
      <w:pPr>
        <w:ind w:right="980"/>
        <w:spacing w:after="0" w:line="391" w:lineRule="auto"/>
        <w:rPr>
          <w:sz w:val="20"/>
          <w:szCs w:val="20"/>
          <w:color w:val="auto"/>
        </w:rPr>
      </w:pPr>
      <w:r>
        <w:rPr>
          <w:rFonts w:ascii="Arial" w:cs="Arial" w:eastAsia="Arial" w:hAnsi="Arial"/>
          <w:sz w:val="18"/>
          <w:szCs w:val="18"/>
          <w:color w:val="231F20"/>
        </w:rPr>
        <w:t xml:space="preserve">For additional information regarding our competition, see the section of this Annual Report on Form 10-K captioned “Business— Competition.” </w:t>
      </w:r>
      <w:r>
        <w:rPr>
          <w:rFonts w:ascii="Arial" w:cs="Arial" w:eastAsia="Arial" w:hAnsi="Arial"/>
          <w:sz w:val="18"/>
          <w:szCs w:val="18"/>
          <w:b w:val="1"/>
          <w:bCs w:val="1"/>
          <w:i w:val="1"/>
          <w:iCs w:val="1"/>
          <w:color w:val="231F20"/>
        </w:rPr>
        <w:t>We may not be able to establish or strengthen our brand.</w:t>
      </w:r>
    </w:p>
    <w:p>
      <w:pPr>
        <w:spacing w:after="0" w:line="1" w:lineRule="exact"/>
        <w:rPr>
          <w:sz w:val="20"/>
          <w:szCs w:val="20"/>
          <w:color w:val="auto"/>
        </w:rPr>
      </w:pPr>
    </w:p>
    <w:p>
      <w:pPr>
        <w:spacing w:after="0" w:line="271" w:lineRule="auto"/>
        <w:rPr>
          <w:sz w:val="20"/>
          <w:szCs w:val="20"/>
          <w:color w:val="auto"/>
        </w:rPr>
      </w:pPr>
      <w:r>
        <w:rPr>
          <w:rFonts w:ascii="Arial" w:cs="Arial" w:eastAsia="Arial" w:hAnsi="Arial"/>
          <w:sz w:val="17"/>
          <w:szCs w:val="17"/>
          <w:color w:val="231F20"/>
        </w:rPr>
        <w:t>We believe that establishing and strengthening the Restoration Robotics and ARTAS brand is critical to achieving widespread acceptance of the ARTAS System, particularly because of the highly competitive nature of the market for aesthetic treatments and procedures to address male hair loss. Promoting and positioning our brand will depend largely on the success of our marketing efforts and our ability to provide physicians with a reliable product to assist them in performing hair restoration surgery. Given the established nature of our competitors, and our limited commercialization in the U.S., it is likely that our future marketing efforts will require us to incur significant additional expenses. These brand promotion activities may not yield increased sales and, even if they do, any sales increases may not offset the expenses we incur to promote our brand. If we fail to successfully promote and maintain our brand, or if we incur substantial expenses in an unsuccessful attempt to promote and maintain our brand, the ARTAS System may not be accepted by physicians, which would adversely affect our business, results of operations and financial condition.</w:t>
      </w:r>
    </w:p>
    <w:p>
      <w:pPr>
        <w:spacing w:after="0" w:line="111" w:lineRule="exact"/>
        <w:rPr>
          <w:sz w:val="20"/>
          <w:szCs w:val="20"/>
          <w:color w:val="auto"/>
        </w:rPr>
      </w:pPr>
    </w:p>
    <w:p>
      <w:pPr>
        <w:spacing w:after="0" w:line="277" w:lineRule="auto"/>
        <w:rPr>
          <w:sz w:val="20"/>
          <w:szCs w:val="20"/>
          <w:color w:val="auto"/>
        </w:rPr>
      </w:pPr>
      <w:r>
        <w:rPr>
          <w:rFonts w:ascii="Arial" w:cs="Arial" w:eastAsia="Arial" w:hAnsi="Arial"/>
          <w:sz w:val="18"/>
          <w:szCs w:val="18"/>
          <w:b w:val="1"/>
          <w:bCs w:val="1"/>
          <w:i w:val="1"/>
          <w:iCs w:val="1"/>
          <w:color w:val="231F20"/>
        </w:rPr>
        <w:t>We have limited experience with our direct sales and marketing force and any failure to build and manage our direct sales and marketing force effectively could have a material adverse effect on our business.</w:t>
      </w:r>
    </w:p>
    <w:p>
      <w:pPr>
        <w:spacing w:after="0" w:line="62"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231F20"/>
        </w:rPr>
        <w:t>We rely on a direct sales force to sell the ARTAS System in the U.S. and certain markets outside the U.S. In order to meet our anticipated sales objectives, we expect to grow our direct sales and marketing organization significantly</w:t>
      </w:r>
    </w:p>
    <w:p>
      <w:pPr>
        <w:spacing w:after="0" w:line="200" w:lineRule="exact"/>
        <w:rPr>
          <w:sz w:val="20"/>
          <w:szCs w:val="20"/>
          <w:color w:val="auto"/>
        </w:rPr>
      </w:pPr>
    </w:p>
    <w:p>
      <w:pPr>
        <w:spacing w:after="0" w:line="2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490" w:right="259" w:bottom="1440" w:gutter="0" w:footer="0" w:header="0"/>
        </w:sectPr>
      </w:pPr>
    </w:p>
    <w:bookmarkStart w:id="27" w:name="page28"/>
    <w:bookmarkEnd w:id="27"/>
    <w:p>
      <w:pPr>
        <w:spacing w:after="0" w:line="342" w:lineRule="auto"/>
        <w:rPr>
          <w:sz w:val="20"/>
          <w:szCs w:val="20"/>
          <w:color w:val="auto"/>
        </w:rPr>
      </w:pPr>
      <w:r>
        <w:rPr>
          <w:rFonts w:ascii="Arial" w:cs="Arial" w:eastAsia="Arial" w:hAnsi="Arial"/>
          <w:sz w:val="16"/>
          <w:szCs w:val="16"/>
          <w:color w:val="231F20"/>
        </w:rPr>
        <w:t>over the next several years and intend to opportunistically build a direct sales and marketing force in certain international markets where we do not have a direct sales force. There are significant risks involved in building and managing our sales and marketing organization, including risks related to our ability to:</w:t>
      </w:r>
    </w:p>
    <w:p>
      <w:pPr>
        <w:spacing w:after="0" w:line="16" w:lineRule="exact"/>
        <w:rPr>
          <w:sz w:val="20"/>
          <w:szCs w:val="20"/>
          <w:color w:val="auto"/>
        </w:rPr>
      </w:pPr>
    </w:p>
    <w:p>
      <w:pPr>
        <w:ind w:left="1100" w:hanging="363"/>
        <w:spacing w:after="0"/>
        <w:tabs>
          <w:tab w:leader="none" w:pos="1100" w:val="left"/>
        </w:tabs>
        <w:numPr>
          <w:ilvl w:val="0"/>
          <w:numId w:val="21"/>
        </w:numPr>
        <w:rPr>
          <w:rFonts w:ascii="Arial" w:cs="Arial" w:eastAsia="Arial" w:hAnsi="Arial"/>
          <w:sz w:val="16"/>
          <w:szCs w:val="16"/>
          <w:color w:val="231F20"/>
        </w:rPr>
      </w:pPr>
      <w:r>
        <w:rPr>
          <w:rFonts w:ascii="Arial" w:cs="Arial" w:eastAsia="Arial" w:hAnsi="Arial"/>
          <w:sz w:val="18"/>
          <w:szCs w:val="18"/>
          <w:color w:val="231F20"/>
        </w:rPr>
        <w:t>hire qualified individuals as needed;</w:t>
      </w:r>
    </w:p>
    <w:p>
      <w:pPr>
        <w:spacing w:after="0" w:line="117" w:lineRule="exact"/>
        <w:rPr>
          <w:rFonts w:ascii="Arial" w:cs="Arial" w:eastAsia="Arial" w:hAnsi="Arial"/>
          <w:sz w:val="16"/>
          <w:szCs w:val="16"/>
          <w:color w:val="231F20"/>
        </w:rPr>
      </w:pPr>
    </w:p>
    <w:p>
      <w:pPr>
        <w:ind w:left="1100" w:hanging="363"/>
        <w:spacing w:after="0"/>
        <w:tabs>
          <w:tab w:leader="none" w:pos="1100" w:val="left"/>
        </w:tabs>
        <w:numPr>
          <w:ilvl w:val="0"/>
          <w:numId w:val="21"/>
        </w:numPr>
        <w:rPr>
          <w:rFonts w:ascii="Arial" w:cs="Arial" w:eastAsia="Arial" w:hAnsi="Arial"/>
          <w:sz w:val="16"/>
          <w:szCs w:val="16"/>
          <w:color w:val="231F20"/>
        </w:rPr>
      </w:pPr>
      <w:r>
        <w:rPr>
          <w:rFonts w:ascii="Arial" w:cs="Arial" w:eastAsia="Arial" w:hAnsi="Arial"/>
          <w:sz w:val="18"/>
          <w:szCs w:val="18"/>
          <w:color w:val="231F20"/>
        </w:rPr>
        <w:t>generate sufficient leads within our target physician group for our sales force;</w:t>
      </w:r>
    </w:p>
    <w:p>
      <w:pPr>
        <w:spacing w:after="0" w:line="117" w:lineRule="exact"/>
        <w:rPr>
          <w:rFonts w:ascii="Arial" w:cs="Arial" w:eastAsia="Arial" w:hAnsi="Arial"/>
          <w:sz w:val="16"/>
          <w:szCs w:val="16"/>
          <w:color w:val="231F20"/>
        </w:rPr>
      </w:pPr>
    </w:p>
    <w:p>
      <w:pPr>
        <w:ind w:left="1100" w:hanging="363"/>
        <w:spacing w:after="0"/>
        <w:tabs>
          <w:tab w:leader="none" w:pos="1100" w:val="left"/>
        </w:tabs>
        <w:numPr>
          <w:ilvl w:val="0"/>
          <w:numId w:val="21"/>
        </w:numPr>
        <w:rPr>
          <w:rFonts w:ascii="Arial" w:cs="Arial" w:eastAsia="Arial" w:hAnsi="Arial"/>
          <w:sz w:val="16"/>
          <w:szCs w:val="16"/>
          <w:color w:val="231F20"/>
        </w:rPr>
      </w:pPr>
      <w:r>
        <w:rPr>
          <w:rFonts w:ascii="Arial" w:cs="Arial" w:eastAsia="Arial" w:hAnsi="Arial"/>
          <w:sz w:val="18"/>
          <w:szCs w:val="18"/>
          <w:color w:val="231F20"/>
        </w:rPr>
        <w:t>provide adequate training for the effective sale and marketing of the ARTAS System;</w:t>
      </w:r>
    </w:p>
    <w:p>
      <w:pPr>
        <w:spacing w:after="0" w:line="117" w:lineRule="exact"/>
        <w:rPr>
          <w:rFonts w:ascii="Arial" w:cs="Arial" w:eastAsia="Arial" w:hAnsi="Arial"/>
          <w:sz w:val="16"/>
          <w:szCs w:val="16"/>
          <w:color w:val="231F20"/>
        </w:rPr>
      </w:pPr>
    </w:p>
    <w:p>
      <w:pPr>
        <w:ind w:left="1100" w:hanging="363"/>
        <w:spacing w:after="0"/>
        <w:tabs>
          <w:tab w:leader="none" w:pos="1100" w:val="left"/>
        </w:tabs>
        <w:numPr>
          <w:ilvl w:val="0"/>
          <w:numId w:val="21"/>
        </w:numPr>
        <w:rPr>
          <w:rFonts w:ascii="Arial" w:cs="Arial" w:eastAsia="Arial" w:hAnsi="Arial"/>
          <w:sz w:val="16"/>
          <w:szCs w:val="16"/>
          <w:color w:val="231F20"/>
        </w:rPr>
      </w:pPr>
      <w:r>
        <w:rPr>
          <w:rFonts w:ascii="Arial" w:cs="Arial" w:eastAsia="Arial" w:hAnsi="Arial"/>
          <w:sz w:val="18"/>
          <w:szCs w:val="18"/>
          <w:color w:val="231F20"/>
        </w:rPr>
        <w:t>retain and motivate our direct sales and marketing professionals; and</w:t>
      </w:r>
    </w:p>
    <w:p>
      <w:pPr>
        <w:spacing w:after="0" w:line="117" w:lineRule="exact"/>
        <w:rPr>
          <w:rFonts w:ascii="Arial" w:cs="Arial" w:eastAsia="Arial" w:hAnsi="Arial"/>
          <w:sz w:val="16"/>
          <w:szCs w:val="16"/>
          <w:color w:val="231F20"/>
        </w:rPr>
      </w:pPr>
    </w:p>
    <w:p>
      <w:pPr>
        <w:ind w:left="1100" w:hanging="363"/>
        <w:spacing w:after="0"/>
        <w:tabs>
          <w:tab w:leader="none" w:pos="1100" w:val="left"/>
        </w:tabs>
        <w:numPr>
          <w:ilvl w:val="0"/>
          <w:numId w:val="21"/>
        </w:numPr>
        <w:rPr>
          <w:rFonts w:ascii="Arial" w:cs="Arial" w:eastAsia="Arial" w:hAnsi="Arial"/>
          <w:sz w:val="16"/>
          <w:szCs w:val="16"/>
          <w:color w:val="231F20"/>
        </w:rPr>
      </w:pPr>
      <w:r>
        <w:rPr>
          <w:rFonts w:ascii="Arial" w:cs="Arial" w:eastAsia="Arial" w:hAnsi="Arial"/>
          <w:sz w:val="18"/>
          <w:szCs w:val="18"/>
          <w:color w:val="231F20"/>
        </w:rPr>
        <w:t>effectively oversee geographically dispersed sales and marketing teams.</w:t>
      </w:r>
    </w:p>
    <w:p>
      <w:pPr>
        <w:spacing w:after="0" w:line="117" w:lineRule="exact"/>
        <w:rPr>
          <w:sz w:val="20"/>
          <w:szCs w:val="20"/>
          <w:color w:val="auto"/>
        </w:rPr>
      </w:pPr>
    </w:p>
    <w:p>
      <w:pPr>
        <w:ind w:right="60"/>
        <w:spacing w:after="0" w:line="277" w:lineRule="auto"/>
        <w:rPr>
          <w:sz w:val="20"/>
          <w:szCs w:val="20"/>
          <w:color w:val="auto"/>
        </w:rPr>
      </w:pPr>
      <w:r>
        <w:rPr>
          <w:rFonts w:ascii="Arial" w:cs="Arial" w:eastAsia="Arial" w:hAnsi="Arial"/>
          <w:sz w:val="18"/>
          <w:szCs w:val="18"/>
          <w:color w:val="231F20"/>
        </w:rPr>
        <w:t>Our failure to adequately address these risks could have a material adverse effect on our ability to increase sales and use of the ARTAS System, which would cause our revenue to be lower than expected and harm our results of operations.</w:t>
      </w:r>
    </w:p>
    <w:p>
      <w:pPr>
        <w:spacing w:after="0" w:line="10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231F20"/>
        </w:rPr>
        <w:t>To market and sell the ARTAS System in certain markets outside of the U.S., we depend on third-party distributors.</w:t>
      </w:r>
    </w:p>
    <w:p>
      <w:pPr>
        <w:spacing w:after="0" w:line="117" w:lineRule="exact"/>
        <w:rPr>
          <w:sz w:val="20"/>
          <w:szCs w:val="20"/>
          <w:color w:val="auto"/>
        </w:rPr>
      </w:pPr>
    </w:p>
    <w:p>
      <w:pPr>
        <w:ind w:right="80"/>
        <w:spacing w:after="0" w:line="286" w:lineRule="auto"/>
        <w:rPr>
          <w:sz w:val="20"/>
          <w:szCs w:val="20"/>
          <w:color w:val="auto"/>
        </w:rPr>
      </w:pPr>
      <w:r>
        <w:rPr>
          <w:rFonts w:ascii="Arial" w:cs="Arial" w:eastAsia="Arial" w:hAnsi="Arial"/>
          <w:sz w:val="17"/>
          <w:szCs w:val="17"/>
          <w:color w:val="231F20"/>
        </w:rPr>
        <w:t>We depend on third-party distributors to sell, market, and service the ARTAS Systems in certain markets outside of the U.S. and to train our physician customers in such markets. Furthermore, we may need to engage additional third-party distributors to expand into new markets outside of the U.S. where we do not have a direct sales force. We are subject to a number of risks associated with our dependence on these third-parties, including:</w:t>
      </w:r>
    </w:p>
    <w:p>
      <w:pPr>
        <w:spacing w:after="0" w:line="57" w:lineRule="exact"/>
        <w:rPr>
          <w:sz w:val="20"/>
          <w:szCs w:val="20"/>
          <w:color w:val="auto"/>
        </w:rPr>
      </w:pPr>
    </w:p>
    <w:p>
      <w:pPr>
        <w:ind w:left="1100" w:hanging="363"/>
        <w:spacing w:after="0"/>
        <w:tabs>
          <w:tab w:leader="none" w:pos="1100" w:val="left"/>
        </w:tabs>
        <w:numPr>
          <w:ilvl w:val="0"/>
          <w:numId w:val="22"/>
        </w:numPr>
        <w:rPr>
          <w:rFonts w:ascii="Arial" w:cs="Arial" w:eastAsia="Arial" w:hAnsi="Arial"/>
          <w:sz w:val="16"/>
          <w:szCs w:val="16"/>
          <w:color w:val="231F20"/>
        </w:rPr>
      </w:pPr>
      <w:r>
        <w:rPr>
          <w:rFonts w:ascii="Arial" w:cs="Arial" w:eastAsia="Arial" w:hAnsi="Arial"/>
          <w:sz w:val="18"/>
          <w:szCs w:val="18"/>
          <w:color w:val="231F20"/>
        </w:rPr>
        <w:t>the lack of day-to-day control over the activities of third-party distributors;</w:t>
      </w:r>
    </w:p>
    <w:p>
      <w:pPr>
        <w:spacing w:after="0" w:line="117" w:lineRule="exact"/>
        <w:rPr>
          <w:rFonts w:ascii="Arial" w:cs="Arial" w:eastAsia="Arial" w:hAnsi="Arial"/>
          <w:sz w:val="16"/>
          <w:szCs w:val="16"/>
          <w:color w:val="231F20"/>
        </w:rPr>
      </w:pPr>
    </w:p>
    <w:p>
      <w:pPr>
        <w:ind w:left="1100" w:right="480" w:hanging="363"/>
        <w:spacing w:after="0" w:line="277" w:lineRule="auto"/>
        <w:tabs>
          <w:tab w:leader="none" w:pos="1100" w:val="left"/>
        </w:tabs>
        <w:numPr>
          <w:ilvl w:val="0"/>
          <w:numId w:val="22"/>
        </w:numPr>
        <w:rPr>
          <w:rFonts w:ascii="Arial" w:cs="Arial" w:eastAsia="Arial" w:hAnsi="Arial"/>
          <w:sz w:val="16"/>
          <w:szCs w:val="16"/>
          <w:color w:val="231F20"/>
        </w:rPr>
      </w:pPr>
      <w:r>
        <w:rPr>
          <w:rFonts w:ascii="Arial" w:cs="Arial" w:eastAsia="Arial" w:hAnsi="Arial"/>
          <w:sz w:val="18"/>
          <w:szCs w:val="18"/>
          <w:color w:val="231F20"/>
        </w:rPr>
        <w:t>third-party distributors may not commit the necessary resources to market, sell, train, support and service our systems to the level of our expectations;</w:t>
      </w:r>
    </w:p>
    <w:p>
      <w:pPr>
        <w:spacing w:after="0" w:line="62" w:lineRule="exact"/>
        <w:rPr>
          <w:rFonts w:ascii="Arial" w:cs="Arial" w:eastAsia="Arial" w:hAnsi="Arial"/>
          <w:sz w:val="16"/>
          <w:szCs w:val="16"/>
          <w:color w:val="231F20"/>
        </w:rPr>
      </w:pPr>
    </w:p>
    <w:p>
      <w:pPr>
        <w:ind w:left="1100" w:hanging="363"/>
        <w:spacing w:after="0"/>
        <w:tabs>
          <w:tab w:leader="none" w:pos="1100" w:val="left"/>
        </w:tabs>
        <w:numPr>
          <w:ilvl w:val="0"/>
          <w:numId w:val="22"/>
        </w:numPr>
        <w:rPr>
          <w:rFonts w:ascii="Arial" w:cs="Arial" w:eastAsia="Arial" w:hAnsi="Arial"/>
          <w:sz w:val="16"/>
          <w:szCs w:val="16"/>
          <w:color w:val="231F20"/>
        </w:rPr>
      </w:pPr>
      <w:r>
        <w:rPr>
          <w:rFonts w:ascii="Arial" w:cs="Arial" w:eastAsia="Arial" w:hAnsi="Arial"/>
          <w:sz w:val="18"/>
          <w:szCs w:val="18"/>
          <w:color w:val="231F20"/>
        </w:rPr>
        <w:t>third-party distributors may emphasize the sale of third-party products over our products;</w:t>
      </w:r>
    </w:p>
    <w:p>
      <w:pPr>
        <w:spacing w:after="0" w:line="117" w:lineRule="exact"/>
        <w:rPr>
          <w:rFonts w:ascii="Arial" w:cs="Arial" w:eastAsia="Arial" w:hAnsi="Arial"/>
          <w:sz w:val="16"/>
          <w:szCs w:val="16"/>
          <w:color w:val="231F20"/>
        </w:rPr>
      </w:pPr>
    </w:p>
    <w:p>
      <w:pPr>
        <w:ind w:left="1100" w:right="520" w:hanging="363"/>
        <w:spacing w:after="0" w:line="277" w:lineRule="auto"/>
        <w:tabs>
          <w:tab w:leader="none" w:pos="1100" w:val="left"/>
        </w:tabs>
        <w:numPr>
          <w:ilvl w:val="0"/>
          <w:numId w:val="22"/>
        </w:numPr>
        <w:rPr>
          <w:rFonts w:ascii="Arial" w:cs="Arial" w:eastAsia="Arial" w:hAnsi="Arial"/>
          <w:sz w:val="16"/>
          <w:szCs w:val="16"/>
          <w:color w:val="231F20"/>
        </w:rPr>
      </w:pPr>
      <w:r>
        <w:rPr>
          <w:rFonts w:ascii="Arial" w:cs="Arial" w:eastAsia="Arial" w:hAnsi="Arial"/>
          <w:sz w:val="18"/>
          <w:szCs w:val="18"/>
          <w:color w:val="231F20"/>
        </w:rPr>
        <w:t>third-party distributors may not be as selective as we would be in choosing physicians to purchase the ARTAS System or as effective in training physicians in marketing and patient selection;</w:t>
      </w:r>
    </w:p>
    <w:p>
      <w:pPr>
        <w:spacing w:after="0" w:line="62" w:lineRule="exact"/>
        <w:rPr>
          <w:rFonts w:ascii="Arial" w:cs="Arial" w:eastAsia="Arial" w:hAnsi="Arial"/>
          <w:sz w:val="16"/>
          <w:szCs w:val="16"/>
          <w:color w:val="231F20"/>
        </w:rPr>
      </w:pPr>
    </w:p>
    <w:p>
      <w:pPr>
        <w:ind w:left="1100" w:right="520" w:hanging="363"/>
        <w:spacing w:after="0" w:line="277" w:lineRule="auto"/>
        <w:tabs>
          <w:tab w:leader="none" w:pos="1100" w:val="left"/>
        </w:tabs>
        <w:numPr>
          <w:ilvl w:val="0"/>
          <w:numId w:val="22"/>
        </w:numPr>
        <w:rPr>
          <w:rFonts w:ascii="Arial" w:cs="Arial" w:eastAsia="Arial" w:hAnsi="Arial"/>
          <w:sz w:val="16"/>
          <w:szCs w:val="16"/>
          <w:color w:val="231F20"/>
        </w:rPr>
      </w:pPr>
      <w:r>
        <w:rPr>
          <w:rFonts w:ascii="Arial" w:cs="Arial" w:eastAsia="Arial" w:hAnsi="Arial"/>
          <w:sz w:val="18"/>
          <w:szCs w:val="18"/>
          <w:color w:val="231F20"/>
        </w:rPr>
        <w:t>third-party distributors may violate applicable laws and regulations which may expose us to potential liability or limit our ability to sell products in certain markets</w:t>
      </w:r>
    </w:p>
    <w:p>
      <w:pPr>
        <w:spacing w:after="0" w:line="62" w:lineRule="exact"/>
        <w:rPr>
          <w:rFonts w:ascii="Arial" w:cs="Arial" w:eastAsia="Arial" w:hAnsi="Arial"/>
          <w:sz w:val="16"/>
          <w:szCs w:val="16"/>
          <w:color w:val="231F20"/>
        </w:rPr>
      </w:pPr>
    </w:p>
    <w:p>
      <w:pPr>
        <w:ind w:left="1100" w:right="60" w:hanging="363"/>
        <w:spacing w:after="0" w:line="277" w:lineRule="auto"/>
        <w:tabs>
          <w:tab w:leader="none" w:pos="1100" w:val="left"/>
        </w:tabs>
        <w:numPr>
          <w:ilvl w:val="0"/>
          <w:numId w:val="22"/>
        </w:numPr>
        <w:rPr>
          <w:rFonts w:ascii="Arial" w:cs="Arial" w:eastAsia="Arial" w:hAnsi="Arial"/>
          <w:sz w:val="16"/>
          <w:szCs w:val="16"/>
          <w:color w:val="231F20"/>
        </w:rPr>
      </w:pPr>
      <w:r>
        <w:rPr>
          <w:rFonts w:ascii="Arial" w:cs="Arial" w:eastAsia="Arial" w:hAnsi="Arial"/>
          <w:sz w:val="18"/>
          <w:szCs w:val="18"/>
          <w:color w:val="231F20"/>
        </w:rPr>
        <w:t>third-party distributors may terminate their arrangements with us on limited, or no, notice or may change the terms of these arrangements in a manner unfavorable to us; and</w:t>
      </w:r>
    </w:p>
    <w:p>
      <w:pPr>
        <w:spacing w:after="0" w:line="62" w:lineRule="exact"/>
        <w:rPr>
          <w:rFonts w:ascii="Arial" w:cs="Arial" w:eastAsia="Arial" w:hAnsi="Arial"/>
          <w:sz w:val="16"/>
          <w:szCs w:val="16"/>
          <w:color w:val="231F20"/>
        </w:rPr>
      </w:pPr>
    </w:p>
    <w:p>
      <w:pPr>
        <w:ind w:left="1100" w:right="500" w:hanging="363"/>
        <w:spacing w:after="0" w:line="277" w:lineRule="auto"/>
        <w:tabs>
          <w:tab w:leader="none" w:pos="1100" w:val="left"/>
        </w:tabs>
        <w:numPr>
          <w:ilvl w:val="0"/>
          <w:numId w:val="22"/>
        </w:numPr>
        <w:rPr>
          <w:rFonts w:ascii="Arial" w:cs="Arial" w:eastAsia="Arial" w:hAnsi="Arial"/>
          <w:sz w:val="16"/>
          <w:szCs w:val="16"/>
          <w:color w:val="231F20"/>
        </w:rPr>
      </w:pPr>
      <w:r>
        <w:rPr>
          <w:rFonts w:ascii="Arial" w:cs="Arial" w:eastAsia="Arial" w:hAnsi="Arial"/>
          <w:sz w:val="18"/>
          <w:szCs w:val="18"/>
          <w:color w:val="231F20"/>
        </w:rPr>
        <w:t>disagreements with our distributors that could require or result in costly and time-consuming litigation or arbitration which we could be required to conduct in jurisdictions with which we are not familiar.</w:t>
      </w:r>
    </w:p>
    <w:p>
      <w:pPr>
        <w:spacing w:after="0" w:line="62" w:lineRule="exact"/>
        <w:rPr>
          <w:sz w:val="20"/>
          <w:szCs w:val="20"/>
          <w:color w:val="auto"/>
        </w:rPr>
      </w:pPr>
    </w:p>
    <w:p>
      <w:pPr>
        <w:ind w:right="60"/>
        <w:spacing w:after="0" w:line="277" w:lineRule="auto"/>
        <w:rPr>
          <w:sz w:val="20"/>
          <w:szCs w:val="20"/>
          <w:color w:val="auto"/>
        </w:rPr>
      </w:pPr>
      <w:r>
        <w:rPr>
          <w:rFonts w:ascii="Arial" w:cs="Arial" w:eastAsia="Arial" w:hAnsi="Arial"/>
          <w:sz w:val="18"/>
          <w:szCs w:val="18"/>
          <w:color w:val="231F20"/>
        </w:rPr>
        <w:t>If we fail to establish and maintain satisfactory relationships with our third-party distributors, our revenue and market share may not grow as anticipated, and we could be subject to unexpected costs which would harm our results of operations and financial condition.</w:t>
      </w:r>
    </w:p>
    <w:p>
      <w:pPr>
        <w:spacing w:after="0" w:line="89"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b w:val="1"/>
          <w:bCs w:val="1"/>
          <w:i w:val="1"/>
          <w:iCs w:val="1"/>
          <w:color w:val="231F20"/>
        </w:rPr>
        <w:t>To successfully market and sell the ARTAS System in markets outside of the U.S., we must address many international business risks with which we have limited experience.</w:t>
      </w:r>
    </w:p>
    <w:p>
      <w:pPr>
        <w:spacing w:after="0" w:line="62"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231F20"/>
        </w:rPr>
        <w:t>Sales in markets outside of the U.S. accounted for approximately 58%, 57%, and 52% of our revenue for the year ended December 31, 2017, 2016, and 2015, respectively. We believe that a significant percentage of our business will continue to come from sales in markets outside of the U.S. through increased penetration in countries where we market and sell the ARTAS System, and with expansion into new international markets. However, international sales are subject to a number of risks, including:</w:t>
      </w:r>
    </w:p>
    <w:p>
      <w:pPr>
        <w:spacing w:after="0" w:line="79" w:lineRule="exact"/>
        <w:rPr>
          <w:sz w:val="20"/>
          <w:szCs w:val="20"/>
          <w:color w:val="auto"/>
        </w:rPr>
      </w:pPr>
    </w:p>
    <w:p>
      <w:pPr>
        <w:ind w:left="1100" w:hanging="363"/>
        <w:spacing w:after="0"/>
        <w:tabs>
          <w:tab w:leader="none" w:pos="1100" w:val="left"/>
        </w:tabs>
        <w:numPr>
          <w:ilvl w:val="0"/>
          <w:numId w:val="23"/>
        </w:numPr>
        <w:rPr>
          <w:rFonts w:ascii="Arial" w:cs="Arial" w:eastAsia="Arial" w:hAnsi="Arial"/>
          <w:sz w:val="16"/>
          <w:szCs w:val="16"/>
          <w:color w:val="231F20"/>
        </w:rPr>
      </w:pPr>
      <w:r>
        <w:rPr>
          <w:rFonts w:ascii="Arial" w:cs="Arial" w:eastAsia="Arial" w:hAnsi="Arial"/>
          <w:sz w:val="18"/>
          <w:szCs w:val="18"/>
          <w:color w:val="231F20"/>
        </w:rPr>
        <w:t>difficulties in staffing and managing our international operations;</w:t>
      </w:r>
    </w:p>
    <w:p>
      <w:pPr>
        <w:spacing w:after="0" w:line="117" w:lineRule="exact"/>
        <w:rPr>
          <w:rFonts w:ascii="Arial" w:cs="Arial" w:eastAsia="Arial" w:hAnsi="Arial"/>
          <w:sz w:val="16"/>
          <w:szCs w:val="16"/>
          <w:color w:val="231F20"/>
        </w:rPr>
      </w:pPr>
    </w:p>
    <w:p>
      <w:pPr>
        <w:ind w:left="1100" w:right="200" w:hanging="363"/>
        <w:spacing w:after="0" w:line="277" w:lineRule="auto"/>
        <w:tabs>
          <w:tab w:leader="none" w:pos="1100" w:val="left"/>
        </w:tabs>
        <w:numPr>
          <w:ilvl w:val="0"/>
          <w:numId w:val="23"/>
        </w:numPr>
        <w:rPr>
          <w:rFonts w:ascii="Arial" w:cs="Arial" w:eastAsia="Arial" w:hAnsi="Arial"/>
          <w:sz w:val="16"/>
          <w:szCs w:val="16"/>
          <w:color w:val="231F20"/>
        </w:rPr>
      </w:pPr>
      <w:r>
        <w:rPr>
          <w:rFonts w:ascii="Arial" w:cs="Arial" w:eastAsia="Arial" w:hAnsi="Arial"/>
          <w:sz w:val="18"/>
          <w:szCs w:val="18"/>
          <w:color w:val="231F20"/>
        </w:rPr>
        <w:t>increased competition as a result of more products and procedures receiving regulatory approval or otherwise free to market in international markets;</w:t>
      </w:r>
    </w:p>
    <w:p>
      <w:pPr>
        <w:spacing w:after="0" w:line="62" w:lineRule="exact"/>
        <w:rPr>
          <w:rFonts w:ascii="Arial" w:cs="Arial" w:eastAsia="Arial" w:hAnsi="Arial"/>
          <w:sz w:val="16"/>
          <w:szCs w:val="16"/>
          <w:color w:val="231F20"/>
        </w:rPr>
      </w:pPr>
    </w:p>
    <w:p>
      <w:pPr>
        <w:ind w:left="1100" w:hanging="363"/>
        <w:spacing w:after="0"/>
        <w:tabs>
          <w:tab w:leader="none" w:pos="1100" w:val="left"/>
        </w:tabs>
        <w:numPr>
          <w:ilvl w:val="0"/>
          <w:numId w:val="23"/>
        </w:numPr>
        <w:rPr>
          <w:rFonts w:ascii="Arial" w:cs="Arial" w:eastAsia="Arial" w:hAnsi="Arial"/>
          <w:sz w:val="16"/>
          <w:szCs w:val="16"/>
          <w:color w:val="231F20"/>
        </w:rPr>
      </w:pPr>
      <w:r>
        <w:rPr>
          <w:rFonts w:ascii="Arial" w:cs="Arial" w:eastAsia="Arial" w:hAnsi="Arial"/>
          <w:sz w:val="18"/>
          <w:szCs w:val="18"/>
          <w:color w:val="231F20"/>
        </w:rPr>
        <w:t>longer accounts receivable payment cycles and difficulties in collecting accounts receivable;</w:t>
      </w:r>
    </w:p>
    <w:p>
      <w:pPr>
        <w:spacing w:after="0" w:line="117" w:lineRule="exact"/>
        <w:rPr>
          <w:rFonts w:ascii="Arial" w:cs="Arial" w:eastAsia="Arial" w:hAnsi="Arial"/>
          <w:sz w:val="16"/>
          <w:szCs w:val="16"/>
          <w:color w:val="231F20"/>
        </w:rPr>
      </w:pPr>
    </w:p>
    <w:p>
      <w:pPr>
        <w:ind w:left="1100" w:hanging="363"/>
        <w:spacing w:after="0"/>
        <w:tabs>
          <w:tab w:leader="none" w:pos="1100" w:val="left"/>
        </w:tabs>
        <w:numPr>
          <w:ilvl w:val="0"/>
          <w:numId w:val="23"/>
        </w:numPr>
        <w:rPr>
          <w:rFonts w:ascii="Arial" w:cs="Arial" w:eastAsia="Arial" w:hAnsi="Arial"/>
          <w:sz w:val="16"/>
          <w:szCs w:val="16"/>
          <w:color w:val="231F20"/>
        </w:rPr>
      </w:pPr>
      <w:r>
        <w:rPr>
          <w:rFonts w:ascii="Arial" w:cs="Arial" w:eastAsia="Arial" w:hAnsi="Arial"/>
          <w:sz w:val="18"/>
          <w:szCs w:val="18"/>
          <w:color w:val="231F20"/>
        </w:rPr>
        <w:t>reduced or varied protection for intellectual property rights in some countries;</w:t>
      </w:r>
    </w:p>
    <w:p>
      <w:pPr>
        <w:spacing w:after="0" w:line="200" w:lineRule="exact"/>
        <w:rPr>
          <w:sz w:val="20"/>
          <w:szCs w:val="20"/>
          <w:color w:val="auto"/>
        </w:rPr>
      </w:pPr>
    </w:p>
    <w:p>
      <w:pPr>
        <w:spacing w:after="0" w:line="268"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380"/>
          </w:cols>
          <w:pgMar w:left="240" w:top="449" w:right="279" w:bottom="1440" w:gutter="0" w:footer="0" w:header="0"/>
        </w:sectPr>
      </w:pPr>
    </w:p>
    <w:bookmarkStart w:id="28" w:name="page29"/>
    <w:bookmarkEnd w:id="28"/>
    <w:p>
      <w:pPr>
        <w:ind w:left="1100" w:hanging="363"/>
        <w:spacing w:after="0"/>
        <w:tabs>
          <w:tab w:leader="none" w:pos="1100" w:val="left"/>
        </w:tabs>
        <w:numPr>
          <w:ilvl w:val="0"/>
          <w:numId w:val="24"/>
        </w:numPr>
        <w:rPr>
          <w:rFonts w:ascii="Arial" w:cs="Arial" w:eastAsia="Arial" w:hAnsi="Arial"/>
          <w:sz w:val="16"/>
          <w:szCs w:val="16"/>
          <w:color w:val="231F20"/>
        </w:rPr>
      </w:pPr>
      <w:r>
        <w:rPr>
          <w:rFonts w:ascii="Arial" w:cs="Arial" w:eastAsia="Arial" w:hAnsi="Arial"/>
          <w:sz w:val="18"/>
          <w:szCs w:val="18"/>
          <w:color w:val="231F20"/>
        </w:rPr>
        <w:t>export restrictions, trade regulations, and foreign tax laws;</w:t>
      </w:r>
    </w:p>
    <w:p>
      <w:pPr>
        <w:spacing w:after="0" w:line="117" w:lineRule="exact"/>
        <w:rPr>
          <w:rFonts w:ascii="Arial" w:cs="Arial" w:eastAsia="Arial" w:hAnsi="Arial"/>
          <w:sz w:val="16"/>
          <w:szCs w:val="16"/>
          <w:color w:val="231F20"/>
        </w:rPr>
      </w:pPr>
    </w:p>
    <w:p>
      <w:pPr>
        <w:ind w:left="1100" w:hanging="363"/>
        <w:spacing w:after="0"/>
        <w:tabs>
          <w:tab w:leader="none" w:pos="1100" w:val="left"/>
        </w:tabs>
        <w:numPr>
          <w:ilvl w:val="0"/>
          <w:numId w:val="24"/>
        </w:numPr>
        <w:rPr>
          <w:rFonts w:ascii="Arial" w:cs="Arial" w:eastAsia="Arial" w:hAnsi="Arial"/>
          <w:sz w:val="16"/>
          <w:szCs w:val="16"/>
          <w:color w:val="231F20"/>
        </w:rPr>
      </w:pPr>
      <w:r>
        <w:rPr>
          <w:rFonts w:ascii="Arial" w:cs="Arial" w:eastAsia="Arial" w:hAnsi="Arial"/>
          <w:sz w:val="18"/>
          <w:szCs w:val="18"/>
          <w:color w:val="231F20"/>
        </w:rPr>
        <w:t>fluctuations in currency exchange rates;</w:t>
      </w:r>
    </w:p>
    <w:p>
      <w:pPr>
        <w:spacing w:after="0" w:line="117" w:lineRule="exact"/>
        <w:rPr>
          <w:rFonts w:ascii="Arial" w:cs="Arial" w:eastAsia="Arial" w:hAnsi="Arial"/>
          <w:sz w:val="16"/>
          <w:szCs w:val="16"/>
          <w:color w:val="231F20"/>
        </w:rPr>
      </w:pPr>
    </w:p>
    <w:p>
      <w:pPr>
        <w:ind w:left="1100" w:hanging="363"/>
        <w:spacing w:after="0"/>
        <w:tabs>
          <w:tab w:leader="none" w:pos="1100" w:val="left"/>
        </w:tabs>
        <w:numPr>
          <w:ilvl w:val="0"/>
          <w:numId w:val="24"/>
        </w:numPr>
        <w:rPr>
          <w:rFonts w:ascii="Arial" w:cs="Arial" w:eastAsia="Arial" w:hAnsi="Arial"/>
          <w:sz w:val="16"/>
          <w:szCs w:val="16"/>
          <w:color w:val="231F20"/>
        </w:rPr>
      </w:pPr>
      <w:r>
        <w:rPr>
          <w:rFonts w:ascii="Arial" w:cs="Arial" w:eastAsia="Arial" w:hAnsi="Arial"/>
          <w:sz w:val="18"/>
          <w:szCs w:val="18"/>
          <w:color w:val="231F20"/>
        </w:rPr>
        <w:t>foreign certification and regulatory clearance or approval requirements;</w:t>
      </w:r>
    </w:p>
    <w:p>
      <w:pPr>
        <w:spacing w:after="0" w:line="117" w:lineRule="exact"/>
        <w:rPr>
          <w:rFonts w:ascii="Arial" w:cs="Arial" w:eastAsia="Arial" w:hAnsi="Arial"/>
          <w:sz w:val="16"/>
          <w:szCs w:val="16"/>
          <w:color w:val="231F20"/>
        </w:rPr>
      </w:pPr>
    </w:p>
    <w:p>
      <w:pPr>
        <w:ind w:left="1100" w:hanging="363"/>
        <w:spacing w:after="0"/>
        <w:tabs>
          <w:tab w:leader="none" w:pos="1100" w:val="left"/>
        </w:tabs>
        <w:numPr>
          <w:ilvl w:val="0"/>
          <w:numId w:val="24"/>
        </w:numPr>
        <w:rPr>
          <w:rFonts w:ascii="Arial" w:cs="Arial" w:eastAsia="Arial" w:hAnsi="Arial"/>
          <w:sz w:val="16"/>
          <w:szCs w:val="16"/>
          <w:color w:val="231F20"/>
        </w:rPr>
      </w:pPr>
      <w:r>
        <w:rPr>
          <w:rFonts w:ascii="Arial" w:cs="Arial" w:eastAsia="Arial" w:hAnsi="Arial"/>
          <w:sz w:val="18"/>
          <w:szCs w:val="18"/>
          <w:color w:val="231F20"/>
        </w:rPr>
        <w:t>difficulties in developing effective marketing campaigns in unfamiliar foreign countries;</w:t>
      </w:r>
    </w:p>
    <w:p>
      <w:pPr>
        <w:spacing w:after="0" w:line="117" w:lineRule="exact"/>
        <w:rPr>
          <w:rFonts w:ascii="Arial" w:cs="Arial" w:eastAsia="Arial" w:hAnsi="Arial"/>
          <w:sz w:val="16"/>
          <w:szCs w:val="16"/>
          <w:color w:val="231F20"/>
        </w:rPr>
      </w:pPr>
    </w:p>
    <w:p>
      <w:pPr>
        <w:ind w:left="1100" w:hanging="363"/>
        <w:spacing w:after="0"/>
        <w:tabs>
          <w:tab w:leader="none" w:pos="1100" w:val="left"/>
        </w:tabs>
        <w:numPr>
          <w:ilvl w:val="0"/>
          <w:numId w:val="24"/>
        </w:numPr>
        <w:rPr>
          <w:rFonts w:ascii="Arial" w:cs="Arial" w:eastAsia="Arial" w:hAnsi="Arial"/>
          <w:sz w:val="16"/>
          <w:szCs w:val="16"/>
          <w:color w:val="231F20"/>
        </w:rPr>
      </w:pPr>
      <w:r>
        <w:rPr>
          <w:rFonts w:ascii="Arial" w:cs="Arial" w:eastAsia="Arial" w:hAnsi="Arial"/>
          <w:sz w:val="18"/>
          <w:szCs w:val="18"/>
          <w:color w:val="231F20"/>
        </w:rPr>
        <w:t>customs clearance and shipping delays;</w:t>
      </w:r>
    </w:p>
    <w:p>
      <w:pPr>
        <w:spacing w:after="0" w:line="117" w:lineRule="exact"/>
        <w:rPr>
          <w:rFonts w:ascii="Arial" w:cs="Arial" w:eastAsia="Arial" w:hAnsi="Arial"/>
          <w:sz w:val="16"/>
          <w:szCs w:val="16"/>
          <w:color w:val="231F20"/>
        </w:rPr>
      </w:pPr>
    </w:p>
    <w:p>
      <w:pPr>
        <w:ind w:left="1100" w:hanging="363"/>
        <w:spacing w:after="0"/>
        <w:tabs>
          <w:tab w:leader="none" w:pos="1100" w:val="left"/>
        </w:tabs>
        <w:numPr>
          <w:ilvl w:val="0"/>
          <w:numId w:val="24"/>
        </w:numPr>
        <w:rPr>
          <w:rFonts w:ascii="Arial" w:cs="Arial" w:eastAsia="Arial" w:hAnsi="Arial"/>
          <w:sz w:val="16"/>
          <w:szCs w:val="16"/>
          <w:color w:val="231F20"/>
        </w:rPr>
      </w:pPr>
      <w:r>
        <w:rPr>
          <w:rFonts w:ascii="Arial" w:cs="Arial" w:eastAsia="Arial" w:hAnsi="Arial"/>
          <w:sz w:val="18"/>
          <w:szCs w:val="18"/>
          <w:color w:val="231F20"/>
        </w:rPr>
        <w:t>political, social, and economic instability abroad, terrorist attacks, and security concerns in general;</w:t>
      </w:r>
    </w:p>
    <w:p>
      <w:pPr>
        <w:spacing w:after="0" w:line="117" w:lineRule="exact"/>
        <w:rPr>
          <w:rFonts w:ascii="Arial" w:cs="Arial" w:eastAsia="Arial" w:hAnsi="Arial"/>
          <w:sz w:val="16"/>
          <w:szCs w:val="16"/>
          <w:color w:val="231F20"/>
        </w:rPr>
      </w:pPr>
    </w:p>
    <w:p>
      <w:pPr>
        <w:ind w:left="1100" w:hanging="363"/>
        <w:spacing w:after="0"/>
        <w:tabs>
          <w:tab w:leader="none" w:pos="1100" w:val="left"/>
        </w:tabs>
        <w:numPr>
          <w:ilvl w:val="0"/>
          <w:numId w:val="24"/>
        </w:numPr>
        <w:rPr>
          <w:rFonts w:ascii="Arial" w:cs="Arial" w:eastAsia="Arial" w:hAnsi="Arial"/>
          <w:sz w:val="16"/>
          <w:szCs w:val="16"/>
          <w:color w:val="231F20"/>
        </w:rPr>
      </w:pPr>
      <w:r>
        <w:rPr>
          <w:rFonts w:ascii="Arial" w:cs="Arial" w:eastAsia="Arial" w:hAnsi="Arial"/>
          <w:sz w:val="18"/>
          <w:szCs w:val="18"/>
          <w:color w:val="231F20"/>
        </w:rPr>
        <w:t>preference for locally produced products;</w:t>
      </w:r>
    </w:p>
    <w:p>
      <w:pPr>
        <w:spacing w:after="0" w:line="117" w:lineRule="exact"/>
        <w:rPr>
          <w:rFonts w:ascii="Arial" w:cs="Arial" w:eastAsia="Arial" w:hAnsi="Arial"/>
          <w:sz w:val="16"/>
          <w:szCs w:val="16"/>
          <w:color w:val="231F20"/>
        </w:rPr>
      </w:pPr>
    </w:p>
    <w:p>
      <w:pPr>
        <w:ind w:left="1100" w:hanging="363"/>
        <w:spacing w:after="0" w:line="277" w:lineRule="auto"/>
        <w:tabs>
          <w:tab w:leader="none" w:pos="1100" w:val="left"/>
        </w:tabs>
        <w:numPr>
          <w:ilvl w:val="0"/>
          <w:numId w:val="24"/>
        </w:numPr>
        <w:rPr>
          <w:rFonts w:ascii="Arial" w:cs="Arial" w:eastAsia="Arial" w:hAnsi="Arial"/>
          <w:sz w:val="16"/>
          <w:szCs w:val="16"/>
          <w:color w:val="231F20"/>
        </w:rPr>
      </w:pPr>
      <w:r>
        <w:rPr>
          <w:rFonts w:ascii="Arial" w:cs="Arial" w:eastAsia="Arial" w:hAnsi="Arial"/>
          <w:sz w:val="18"/>
          <w:szCs w:val="18"/>
          <w:color w:val="231F20"/>
        </w:rPr>
        <w:t>potentially adverse tax consequences, including the complexities of foreign value-added tax systems, tax inefficiencies related to our corporate structure, and restrictions on the repatriation of earnings;</w:t>
      </w:r>
    </w:p>
    <w:p>
      <w:pPr>
        <w:spacing w:after="0" w:line="62" w:lineRule="exact"/>
        <w:rPr>
          <w:rFonts w:ascii="Arial" w:cs="Arial" w:eastAsia="Arial" w:hAnsi="Arial"/>
          <w:sz w:val="16"/>
          <w:szCs w:val="16"/>
          <w:color w:val="231F20"/>
        </w:rPr>
      </w:pPr>
    </w:p>
    <w:p>
      <w:pPr>
        <w:ind w:left="1100" w:hanging="363"/>
        <w:spacing w:after="0"/>
        <w:tabs>
          <w:tab w:leader="none" w:pos="1100" w:val="left"/>
        </w:tabs>
        <w:numPr>
          <w:ilvl w:val="0"/>
          <w:numId w:val="24"/>
        </w:numPr>
        <w:rPr>
          <w:rFonts w:ascii="Arial" w:cs="Arial" w:eastAsia="Arial" w:hAnsi="Arial"/>
          <w:sz w:val="16"/>
          <w:szCs w:val="16"/>
          <w:color w:val="231F20"/>
        </w:rPr>
      </w:pPr>
      <w:r>
        <w:rPr>
          <w:rFonts w:ascii="Arial" w:cs="Arial" w:eastAsia="Arial" w:hAnsi="Arial"/>
          <w:sz w:val="18"/>
          <w:szCs w:val="18"/>
          <w:color w:val="231F20"/>
        </w:rPr>
        <w:t>the burdens of complying with a wide variety of foreign laws and different legal standards; and</w:t>
      </w:r>
    </w:p>
    <w:p>
      <w:pPr>
        <w:spacing w:after="0" w:line="117" w:lineRule="exact"/>
        <w:rPr>
          <w:rFonts w:ascii="Arial" w:cs="Arial" w:eastAsia="Arial" w:hAnsi="Arial"/>
          <w:sz w:val="16"/>
          <w:szCs w:val="16"/>
          <w:color w:val="231F20"/>
        </w:rPr>
      </w:pPr>
    </w:p>
    <w:p>
      <w:pPr>
        <w:ind w:left="1100" w:hanging="363"/>
        <w:spacing w:after="0"/>
        <w:tabs>
          <w:tab w:leader="none" w:pos="1100" w:val="left"/>
        </w:tabs>
        <w:numPr>
          <w:ilvl w:val="0"/>
          <w:numId w:val="24"/>
        </w:numPr>
        <w:rPr>
          <w:rFonts w:ascii="Arial" w:cs="Arial" w:eastAsia="Arial" w:hAnsi="Arial"/>
          <w:sz w:val="16"/>
          <w:szCs w:val="16"/>
          <w:color w:val="231F20"/>
        </w:rPr>
      </w:pPr>
      <w:r>
        <w:rPr>
          <w:rFonts w:ascii="Arial" w:cs="Arial" w:eastAsia="Arial" w:hAnsi="Arial"/>
          <w:sz w:val="18"/>
          <w:szCs w:val="18"/>
          <w:color w:val="231F20"/>
        </w:rPr>
        <w:t>increased financial accounting and reporting burdens and complexities.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231F20"/>
        </w:rPr>
        <w:t>If one or more of these risks were realized, our results of operations and financial condition could be adversely affected.</w:t>
      </w:r>
    </w:p>
    <w:p>
      <w:pPr>
        <w:spacing w:after="0" w:line="158" w:lineRule="exact"/>
        <w:rPr>
          <w:sz w:val="20"/>
          <w:szCs w:val="20"/>
          <w:color w:val="auto"/>
        </w:rPr>
      </w:pPr>
    </w:p>
    <w:p>
      <w:pPr>
        <w:spacing w:after="0" w:line="340" w:lineRule="auto"/>
        <w:rPr>
          <w:sz w:val="20"/>
          <w:szCs w:val="20"/>
          <w:color w:val="auto"/>
        </w:rPr>
      </w:pPr>
      <w:r>
        <w:rPr>
          <w:rFonts w:ascii="Arial" w:cs="Arial" w:eastAsia="Arial" w:hAnsi="Arial"/>
          <w:sz w:val="15"/>
          <w:szCs w:val="15"/>
          <w:b w:val="1"/>
          <w:bCs w:val="1"/>
          <w:i w:val="1"/>
          <w:iCs w:val="1"/>
          <w:color w:val="231F20"/>
        </w:rPr>
        <w:t>While traditional hair transplantation surgery has been available for many years, the ARTAS System has only been commercially available since 2011. As a result, we have a limited track record compared to traditional hair transplantation surgery and the safety and efficacy of the ARTAS System is not yet supported by long-term clinical data, which could limit sales, and the ARTAS System could prove to be less safe or effective than initially thought.</w:t>
      </w:r>
    </w:p>
    <w:p>
      <w:pPr>
        <w:spacing w:after="0" w:line="23" w:lineRule="exact"/>
        <w:rPr>
          <w:sz w:val="20"/>
          <w:szCs w:val="20"/>
          <w:color w:val="auto"/>
        </w:rPr>
      </w:pPr>
    </w:p>
    <w:p>
      <w:pPr>
        <w:ind w:right="80"/>
        <w:spacing w:after="0" w:line="255" w:lineRule="auto"/>
        <w:rPr>
          <w:sz w:val="20"/>
          <w:szCs w:val="20"/>
          <w:color w:val="auto"/>
        </w:rPr>
      </w:pPr>
      <w:r>
        <w:rPr>
          <w:rFonts w:ascii="Arial" w:cs="Arial" w:eastAsia="Arial" w:hAnsi="Arial"/>
          <w:sz w:val="18"/>
          <w:szCs w:val="18"/>
          <w:color w:val="231F20"/>
        </w:rPr>
        <w:t>The ARTAS System that we market in the U.S. is regulated as a medical device by the U.S. Food and Drug Administration, or the FDA, and has received premarket clearance under Section 510(k) of the U.S. Federal Food, Drug and Cosmetic Act, or FDCA. In the 510(k) clearance process, before a device may be marketed, the FDA must determine that a proposed device is “substantially equivalent” to a legally-marketed “predicate” device, which includes a device that has been previously cleared through the 510(k) process, a device that was legally marketed prior to May 28, 1976 (preamendments device), a device that was originally on the U.S. market pursuant to an approved premarket approval, or PMA, application and later downclassified, or a 510(k)-exempt device. This process is typically shorter and generally requires the submission of less supporting documentation than the FDA’s PMA process and does not always require long-term clinical studies.</w:t>
      </w:r>
    </w:p>
    <w:p>
      <w:pPr>
        <w:spacing w:after="0" w:line="81" w:lineRule="exact"/>
        <w:rPr>
          <w:sz w:val="20"/>
          <w:szCs w:val="20"/>
          <w:color w:val="auto"/>
        </w:rPr>
      </w:pPr>
    </w:p>
    <w:p>
      <w:pPr>
        <w:ind w:right="140"/>
        <w:spacing w:after="0" w:line="272" w:lineRule="auto"/>
        <w:rPr>
          <w:sz w:val="20"/>
          <w:szCs w:val="20"/>
          <w:color w:val="auto"/>
        </w:rPr>
      </w:pPr>
      <w:r>
        <w:rPr>
          <w:rFonts w:ascii="Arial" w:cs="Arial" w:eastAsia="Arial" w:hAnsi="Arial"/>
          <w:sz w:val="17"/>
          <w:szCs w:val="17"/>
          <w:color w:val="231F20"/>
        </w:rPr>
        <w:t>Hair transplantation surgery has been a treatment option for hair restoration for many years, while we only began commercializing the ARTAS System in 2011. Consequently, we lack the breadth of published long-term clinical data supporting the safety and efficacy of the ARTAS System and the benefits it offers that might have been generated in connection with other hair restoration techniques. As a result, physicians may be slow to adopt the ARTAS System, we may not have comparative data that our competitors have or are generating, and we may be subject to greater regulatory and product liability risks. Furthermore, future patient studies or clinical experience may indicate that treatment with the ARTAS System does not improve patient outcomes compared to other hair restoration techniques. Such results would slow the adoption of the ARTAS System by physicians, would significantly reduce our ability to achieve expected sales and could prevent us from achieving and maintaining profitability.</w:t>
      </w:r>
    </w:p>
    <w:p>
      <w:pPr>
        <w:spacing w:after="0" w:line="70" w:lineRule="exact"/>
        <w:rPr>
          <w:sz w:val="20"/>
          <w:szCs w:val="20"/>
          <w:color w:val="auto"/>
        </w:rPr>
      </w:pPr>
    </w:p>
    <w:p>
      <w:pPr>
        <w:ind w:right="80"/>
        <w:spacing w:after="0" w:line="291" w:lineRule="auto"/>
        <w:rPr>
          <w:sz w:val="20"/>
          <w:szCs w:val="20"/>
          <w:color w:val="auto"/>
        </w:rPr>
      </w:pPr>
      <w:r>
        <w:rPr>
          <w:rFonts w:ascii="Arial" w:cs="Arial" w:eastAsia="Arial" w:hAnsi="Arial"/>
          <w:sz w:val="16"/>
          <w:szCs w:val="16"/>
          <w:color w:val="231F20"/>
        </w:rPr>
        <w:t>We have limited complication or patient success rate data with respect to treatment using the ARTAS System. If future patient studies or clinical testing do not support our belief that our system offers a more advantageous treatment for hair restoration, market acceptance of the ARTAS System could fail to increase or could decrease and our business could be harmed. Moreover, if future results and experience indicate that our implant products cause unexpected or serious complications or other unforeseen negative effects, we could be subject to mandatory product recalls, suspension or withdrawal of FDA or other governmental clearance or approval or, CE Certificates of Conformity, significant legal liability or harm to our business reputation. Furthermore, if patients that receive traditional hair transplantation surgery, such as strip surgery, were to experience unexpected or serious complications or other unforeseen effects, the market for the ARTAS System may be adversely affected, even if such effects are not applicable to the ARTAS System.</w:t>
      </w:r>
    </w:p>
    <w:p>
      <w:pPr>
        <w:spacing w:after="0" w:line="200" w:lineRule="exact"/>
        <w:rPr>
          <w:sz w:val="20"/>
          <w:szCs w:val="20"/>
          <w:color w:val="auto"/>
        </w:rPr>
      </w:pPr>
    </w:p>
    <w:p>
      <w:pPr>
        <w:spacing w:after="0" w:line="21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449" w:right="259" w:bottom="1440" w:gutter="0" w:footer="0" w:header="0"/>
        </w:sectPr>
      </w:pPr>
    </w:p>
    <w:bookmarkStart w:id="29" w:name="page30"/>
    <w:bookmarkEnd w:id="29"/>
    <w:p>
      <w:pPr>
        <w:ind w:right="780"/>
        <w:spacing w:after="0" w:line="277" w:lineRule="auto"/>
        <w:rPr>
          <w:sz w:val="20"/>
          <w:szCs w:val="20"/>
          <w:color w:val="auto"/>
        </w:rPr>
      </w:pPr>
      <w:r>
        <w:rPr>
          <w:rFonts w:ascii="Arial" w:cs="Arial" w:eastAsia="Arial" w:hAnsi="Arial"/>
          <w:sz w:val="18"/>
          <w:szCs w:val="18"/>
          <w:color w:val="231F20"/>
        </w:rPr>
        <w:t>If we choose to, or are required to, conduct additional studies, such studies or experience could, slow the market adoption of the ARTAS System by physicians, significantly reduce our ability to achieve expected revenue and prevent us from becoming profitable.</w:t>
      </w:r>
    </w:p>
    <w:p>
      <w:pPr>
        <w:spacing w:after="0" w:line="10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231F20"/>
        </w:rPr>
        <w:t>We rely on a single third-party manufacturer for the manufacturing of the ARTAS System.</w:t>
      </w:r>
    </w:p>
    <w:p>
      <w:pPr>
        <w:spacing w:after="0" w:line="117" w:lineRule="exact"/>
        <w:rPr>
          <w:sz w:val="20"/>
          <w:szCs w:val="20"/>
          <w:color w:val="auto"/>
        </w:rPr>
      </w:pPr>
    </w:p>
    <w:p>
      <w:pPr>
        <w:ind w:right="100"/>
        <w:spacing w:after="0" w:line="273" w:lineRule="auto"/>
        <w:rPr>
          <w:sz w:val="20"/>
          <w:szCs w:val="20"/>
          <w:color w:val="auto"/>
        </w:rPr>
      </w:pPr>
      <w:r>
        <w:rPr>
          <w:rFonts w:ascii="Arial" w:cs="Arial" w:eastAsia="Arial" w:hAnsi="Arial"/>
          <w:sz w:val="17"/>
          <w:szCs w:val="17"/>
          <w:color w:val="231F20"/>
        </w:rPr>
        <w:t>Evolve Manufacturing Technologies, Inc., or Evolve, assembles the ARTAS System, and produces reusable procedure kits, disposable procedure kits, upgrade kits and spare kits used with the ARTAS System. If the operations of Evolve are interrupted or if it is unable or unwilling to meet our delivery requirements due to capacity limitations or other constraints, we may be limited in our ability to fulfill new customer orders, to provide kits required for use with existing ARTAS Systems and to repair equipment at current customer sites. Any change to another contract manufacturer would likely entail significant delay, require us to devote substantial time and resources, and could involve a period in which our products could not be produced in a timely or consistently high-quality manner, any of which could harm our reputation and results of operations.</w:t>
      </w:r>
    </w:p>
    <w:p>
      <w:pPr>
        <w:spacing w:after="0" w:line="70" w:lineRule="exact"/>
        <w:rPr>
          <w:sz w:val="20"/>
          <w:szCs w:val="20"/>
          <w:color w:val="auto"/>
        </w:rPr>
      </w:pPr>
    </w:p>
    <w:p>
      <w:pPr>
        <w:spacing w:after="0" w:line="270" w:lineRule="auto"/>
        <w:rPr>
          <w:sz w:val="20"/>
          <w:szCs w:val="20"/>
          <w:color w:val="auto"/>
        </w:rPr>
      </w:pPr>
      <w:r>
        <w:rPr>
          <w:rFonts w:ascii="Arial" w:cs="Arial" w:eastAsia="Arial" w:hAnsi="Arial"/>
          <w:sz w:val="17"/>
          <w:szCs w:val="17"/>
          <w:color w:val="231F20"/>
        </w:rPr>
        <w:t>We have two master agreements and a component pricing agreement with Evolve for the supply of the ARTAS System and consumable products, including reusable procedure kits, disposable procedure kits, upgrade kits and spare kits used with the ARTAS System, pursuant to both of which we make purchases on a purchase order basis. The terms of these master agreements are substantially similar. The master agreement for the sale of ARTAS Systems was effective beginning on April 1, 2016 and the master agreement for the sale of kits used with the ARTAS System was effective beginning on March 1, 2016. Both agreements are effective for an initial term of two years and will continue to automatically renew for additional twelve month periods, subject to either party’s right to terminate the agreement upon 180 days advance notice during the initial term if our quarterly forecasted demand falls below 75% of our historical forecasted demand for the same period in the previous year or upon 120 days’ advance notice after the initial term. Our agreement with Evolve for the pricing of certain components at certain quantities was effective on August 1, 2016 and expires on August 1, 2018. Otherwise, Evolve is not required, and may not be able or willing, to meet our future requirements at current prices, or at all.</w:t>
      </w:r>
    </w:p>
    <w:p>
      <w:pPr>
        <w:spacing w:after="0" w:line="74"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color w:val="231F20"/>
        </w:rPr>
        <w:t>Additionally our component suppliers contract directly with Evolve and we have limited control over the components they supply or the timeliness by which they supply them. Evolve may be unable to acquire components at the quantities and prices at which we need them.</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color w:val="231F20"/>
        </w:rPr>
        <w:t>In addition, our reliance on Evolve involves a number of other risks, including, among other things, that:</w:t>
      </w:r>
    </w:p>
    <w:p>
      <w:pPr>
        <w:spacing w:after="0" w:line="117" w:lineRule="exact"/>
        <w:rPr>
          <w:sz w:val="20"/>
          <w:szCs w:val="20"/>
          <w:color w:val="auto"/>
        </w:rPr>
      </w:pPr>
    </w:p>
    <w:p>
      <w:pPr>
        <w:ind w:left="1100" w:right="320" w:hanging="363"/>
        <w:spacing w:after="0" w:line="312" w:lineRule="auto"/>
        <w:tabs>
          <w:tab w:leader="none" w:pos="1100" w:val="left"/>
        </w:tabs>
        <w:numPr>
          <w:ilvl w:val="0"/>
          <w:numId w:val="25"/>
        </w:numPr>
        <w:rPr>
          <w:rFonts w:ascii="Arial" w:cs="Arial" w:eastAsia="Arial" w:hAnsi="Arial"/>
          <w:sz w:val="14"/>
          <w:szCs w:val="14"/>
          <w:color w:val="231F20"/>
        </w:rPr>
      </w:pPr>
      <w:r>
        <w:rPr>
          <w:rFonts w:ascii="Arial" w:cs="Arial" w:eastAsia="Arial" w:hAnsi="Arial"/>
          <w:sz w:val="16"/>
          <w:szCs w:val="16"/>
          <w:color w:val="231F20"/>
        </w:rPr>
        <w:t>our products may not be manufactured in accordance with agreed upon specifications or in compliance with regulatory requirements, or its manufacturing facilities may not be able to maintain compliance with regulatory requirements, which could negatively affect the safety or efficacy of our products, cause delays in shipments of our products, or require us to recall products previously delivered to customers;</w:t>
      </w:r>
    </w:p>
    <w:p>
      <w:pPr>
        <w:spacing w:after="0" w:line="38" w:lineRule="exact"/>
        <w:rPr>
          <w:rFonts w:ascii="Arial" w:cs="Arial" w:eastAsia="Arial" w:hAnsi="Arial"/>
          <w:sz w:val="14"/>
          <w:szCs w:val="14"/>
          <w:color w:val="231F20"/>
        </w:rPr>
      </w:pPr>
    </w:p>
    <w:p>
      <w:pPr>
        <w:ind w:left="1100" w:right="180" w:hanging="363"/>
        <w:spacing w:after="0" w:line="277" w:lineRule="auto"/>
        <w:tabs>
          <w:tab w:leader="none" w:pos="1100" w:val="left"/>
        </w:tabs>
        <w:numPr>
          <w:ilvl w:val="0"/>
          <w:numId w:val="25"/>
        </w:numPr>
        <w:rPr>
          <w:rFonts w:ascii="Arial" w:cs="Arial" w:eastAsia="Arial" w:hAnsi="Arial"/>
          <w:sz w:val="16"/>
          <w:szCs w:val="16"/>
          <w:color w:val="231F20"/>
        </w:rPr>
      </w:pPr>
      <w:r>
        <w:rPr>
          <w:rFonts w:ascii="Arial" w:cs="Arial" w:eastAsia="Arial" w:hAnsi="Arial"/>
          <w:sz w:val="18"/>
          <w:szCs w:val="18"/>
          <w:color w:val="231F20"/>
        </w:rPr>
        <w:t>we may not be able to timely respond to unanticipated changes in customer orders, and if orders do not match forecasts, we may have excess or inadequate inventory of materials and components;</w:t>
      </w:r>
    </w:p>
    <w:p>
      <w:pPr>
        <w:spacing w:after="0" w:line="62" w:lineRule="exact"/>
        <w:rPr>
          <w:rFonts w:ascii="Arial" w:cs="Arial" w:eastAsia="Arial" w:hAnsi="Arial"/>
          <w:sz w:val="16"/>
          <w:szCs w:val="16"/>
          <w:color w:val="231F20"/>
        </w:rPr>
      </w:pPr>
    </w:p>
    <w:p>
      <w:pPr>
        <w:ind w:left="1100" w:hanging="363"/>
        <w:spacing w:after="0"/>
        <w:tabs>
          <w:tab w:leader="none" w:pos="1100" w:val="left"/>
        </w:tabs>
        <w:numPr>
          <w:ilvl w:val="0"/>
          <w:numId w:val="25"/>
        </w:numPr>
        <w:rPr>
          <w:rFonts w:ascii="Arial" w:cs="Arial" w:eastAsia="Arial" w:hAnsi="Arial"/>
          <w:sz w:val="16"/>
          <w:szCs w:val="16"/>
          <w:color w:val="231F20"/>
        </w:rPr>
      </w:pPr>
      <w:r>
        <w:rPr>
          <w:rFonts w:ascii="Arial" w:cs="Arial" w:eastAsia="Arial" w:hAnsi="Arial"/>
          <w:sz w:val="18"/>
          <w:szCs w:val="18"/>
          <w:color w:val="231F20"/>
        </w:rPr>
        <w:t>we may be subject to price fluctuations when a supply contract is renegotiated or if our existing contract is not renewed;</w:t>
      </w:r>
    </w:p>
    <w:p>
      <w:pPr>
        <w:spacing w:after="0" w:line="117" w:lineRule="exact"/>
        <w:rPr>
          <w:rFonts w:ascii="Arial" w:cs="Arial" w:eastAsia="Arial" w:hAnsi="Arial"/>
          <w:sz w:val="16"/>
          <w:szCs w:val="16"/>
          <w:color w:val="231F20"/>
        </w:rPr>
      </w:pPr>
    </w:p>
    <w:p>
      <w:pPr>
        <w:ind w:left="1100" w:hanging="363"/>
        <w:spacing w:after="0"/>
        <w:tabs>
          <w:tab w:leader="none" w:pos="1100" w:val="left"/>
        </w:tabs>
        <w:numPr>
          <w:ilvl w:val="0"/>
          <w:numId w:val="25"/>
        </w:numPr>
        <w:rPr>
          <w:rFonts w:ascii="Arial" w:cs="Arial" w:eastAsia="Arial" w:hAnsi="Arial"/>
          <w:sz w:val="16"/>
          <w:szCs w:val="16"/>
          <w:color w:val="231F20"/>
        </w:rPr>
      </w:pPr>
      <w:r>
        <w:rPr>
          <w:rFonts w:ascii="Arial" w:cs="Arial" w:eastAsia="Arial" w:hAnsi="Arial"/>
          <w:sz w:val="18"/>
          <w:szCs w:val="18"/>
          <w:color w:val="231F20"/>
        </w:rPr>
        <w:t>Evolve may wish to discontinue manufacturing and supplying products to us; and</w:t>
      </w:r>
    </w:p>
    <w:p>
      <w:pPr>
        <w:spacing w:after="0" w:line="117" w:lineRule="exact"/>
        <w:rPr>
          <w:rFonts w:ascii="Arial" w:cs="Arial" w:eastAsia="Arial" w:hAnsi="Arial"/>
          <w:sz w:val="16"/>
          <w:szCs w:val="16"/>
          <w:color w:val="231F20"/>
        </w:rPr>
      </w:pPr>
    </w:p>
    <w:p>
      <w:pPr>
        <w:ind w:left="1100" w:right="20" w:hanging="363"/>
        <w:spacing w:after="0" w:line="277" w:lineRule="auto"/>
        <w:tabs>
          <w:tab w:leader="none" w:pos="1100" w:val="left"/>
        </w:tabs>
        <w:numPr>
          <w:ilvl w:val="0"/>
          <w:numId w:val="25"/>
        </w:numPr>
        <w:rPr>
          <w:rFonts w:ascii="Arial" w:cs="Arial" w:eastAsia="Arial" w:hAnsi="Arial"/>
          <w:sz w:val="16"/>
          <w:szCs w:val="16"/>
          <w:color w:val="231F20"/>
        </w:rPr>
      </w:pPr>
      <w:r>
        <w:rPr>
          <w:rFonts w:ascii="Arial" w:cs="Arial" w:eastAsia="Arial" w:hAnsi="Arial"/>
          <w:sz w:val="18"/>
          <w:szCs w:val="18"/>
          <w:color w:val="231F20"/>
        </w:rPr>
        <w:t>Evolve may encounter financial or other hardships unrelated to our demand for products, which could inhibit its ability to fulfill our orders and meet our requirements.</w:t>
      </w:r>
    </w:p>
    <w:p>
      <w:pPr>
        <w:spacing w:after="0" w:line="62" w:lineRule="exact"/>
        <w:rPr>
          <w:sz w:val="20"/>
          <w:szCs w:val="20"/>
          <w:color w:val="auto"/>
        </w:rPr>
      </w:pPr>
    </w:p>
    <w:p>
      <w:pPr>
        <w:ind w:right="180"/>
        <w:spacing w:after="0" w:line="264" w:lineRule="auto"/>
        <w:rPr>
          <w:sz w:val="20"/>
          <w:szCs w:val="20"/>
          <w:color w:val="auto"/>
        </w:rPr>
      </w:pPr>
      <w:r>
        <w:rPr>
          <w:rFonts w:ascii="Arial" w:cs="Arial" w:eastAsia="Arial" w:hAnsi="Arial"/>
          <w:sz w:val="18"/>
          <w:szCs w:val="18"/>
          <w:color w:val="231F20"/>
        </w:rPr>
        <w:t>If any of these risks materialize, it could significantly increase our costs, our ability to generate net sales would be impaired, market acceptance of our products could be adversely affected and customers may instead purchase or use our competitors’ products, which could have a materially adverse effect on our business, financial condition and results of operations.</w:t>
      </w:r>
    </w:p>
    <w:p>
      <w:pPr>
        <w:spacing w:after="0" w:line="73" w:lineRule="exact"/>
        <w:rPr>
          <w:sz w:val="20"/>
          <w:szCs w:val="20"/>
          <w:color w:val="auto"/>
        </w:rPr>
      </w:pPr>
    </w:p>
    <w:p>
      <w:pPr>
        <w:ind w:right="20"/>
        <w:spacing w:after="0" w:line="257" w:lineRule="auto"/>
        <w:rPr>
          <w:sz w:val="20"/>
          <w:szCs w:val="20"/>
          <w:color w:val="auto"/>
        </w:rPr>
      </w:pPr>
      <w:r>
        <w:rPr>
          <w:rFonts w:ascii="Arial" w:cs="Arial" w:eastAsia="Arial" w:hAnsi="Arial"/>
          <w:sz w:val="18"/>
          <w:szCs w:val="18"/>
          <w:color w:val="231F20"/>
        </w:rPr>
        <w:t>Furthermore, if we are required to change the manufacturer of a critical component of the ARTAS System, we will be required to verify that the new manufacturer maintains facilities, procedures and operations that comply with our quality and applicable regulatory requirements, which could further impede our ability to manufacture the ARTAS System in a timely manner. Transitioning to a new supplier could be time-consuming and expensive, may result in interruptions in our operations and product delivery, could affect the performance specifications of the ARTAS System or could require that we modify the design of those systems. If the change in manufacturer results in a</w:t>
      </w:r>
    </w:p>
    <w:p>
      <w:pPr>
        <w:spacing w:after="0" w:line="200" w:lineRule="exact"/>
        <w:rPr>
          <w:sz w:val="20"/>
          <w:szCs w:val="20"/>
          <w:color w:val="auto"/>
        </w:rPr>
      </w:pPr>
    </w:p>
    <w:p>
      <w:pPr>
        <w:spacing w:after="0" w:line="23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449" w:right="239" w:bottom="1440" w:gutter="0" w:footer="0" w:header="0"/>
        </w:sectPr>
      </w:pPr>
    </w:p>
    <w:bookmarkStart w:id="30" w:name="page31"/>
    <w:bookmarkEnd w:id="30"/>
    <w:p>
      <w:pPr>
        <w:jc w:val="both"/>
        <w:ind w:right="580"/>
        <w:spacing w:after="0" w:line="264" w:lineRule="auto"/>
        <w:rPr>
          <w:sz w:val="20"/>
          <w:szCs w:val="20"/>
          <w:color w:val="auto"/>
        </w:rPr>
      </w:pPr>
      <w:r>
        <w:rPr>
          <w:rFonts w:ascii="Arial" w:cs="Arial" w:eastAsia="Arial" w:hAnsi="Arial"/>
          <w:sz w:val="18"/>
          <w:szCs w:val="18"/>
          <w:color w:val="231F20"/>
        </w:rPr>
        <w:t>significant change to any product, a new 510(k) clearance from the FDA or similar international regulatory authorization may be necessary before we implement the change, which could cause substantial delays. The occurrence of any of these events could harm our ability to meet the demand for our products in a timely or cost-effective manner.</w:t>
      </w:r>
    </w:p>
    <w:p>
      <w:pPr>
        <w:spacing w:after="0" w:line="73" w:lineRule="exact"/>
        <w:rPr>
          <w:sz w:val="20"/>
          <w:szCs w:val="20"/>
          <w:color w:val="auto"/>
        </w:rPr>
      </w:pPr>
    </w:p>
    <w:p>
      <w:pPr>
        <w:ind w:right="640"/>
        <w:spacing w:after="0" w:line="312" w:lineRule="auto"/>
        <w:rPr>
          <w:sz w:val="20"/>
          <w:szCs w:val="20"/>
          <w:color w:val="auto"/>
        </w:rPr>
      </w:pPr>
      <w:r>
        <w:rPr>
          <w:rFonts w:ascii="Arial" w:cs="Arial" w:eastAsia="Arial" w:hAnsi="Arial"/>
          <w:sz w:val="16"/>
          <w:szCs w:val="16"/>
          <w:color w:val="231F20"/>
        </w:rPr>
        <w:t>We cannot provide assurance that we will be able to secure alternative equipment and materials and utilize such equipment and materials without experiencing interruptions in our workflow. If we should encounter delays or difficulties in securing, reconfiguring or revalidating the equipment and components we require for the ARTAS System, our reputation, business, financial condition and results of operations could be negatively impacted.</w:t>
      </w:r>
    </w:p>
    <w:p>
      <w:pPr>
        <w:spacing w:after="0" w:line="79" w:lineRule="exact"/>
        <w:rPr>
          <w:sz w:val="20"/>
          <w:szCs w:val="20"/>
          <w:color w:val="auto"/>
        </w:rPr>
      </w:pPr>
    </w:p>
    <w:p>
      <w:pPr>
        <w:ind w:right="220"/>
        <w:spacing w:after="0" w:line="277" w:lineRule="auto"/>
        <w:rPr>
          <w:sz w:val="20"/>
          <w:szCs w:val="20"/>
          <w:color w:val="auto"/>
        </w:rPr>
      </w:pPr>
      <w:r>
        <w:rPr>
          <w:rFonts w:ascii="Arial" w:cs="Arial" w:eastAsia="Arial" w:hAnsi="Arial"/>
          <w:sz w:val="18"/>
          <w:szCs w:val="18"/>
          <w:b w:val="1"/>
          <w:bCs w:val="1"/>
          <w:i w:val="1"/>
          <w:iCs w:val="1"/>
          <w:color w:val="231F20"/>
        </w:rPr>
        <w:t>If Evolve is unable to manufacture the ARTAS System in high-quality commercial quantities successfully and consistently to meet demand, our growth will be limited.</w:t>
      </w:r>
    </w:p>
    <w:p>
      <w:pPr>
        <w:spacing w:after="0" w:line="62" w:lineRule="exact"/>
        <w:rPr>
          <w:sz w:val="20"/>
          <w:szCs w:val="20"/>
          <w:color w:val="auto"/>
        </w:rPr>
      </w:pPr>
    </w:p>
    <w:p>
      <w:pPr>
        <w:ind w:right="40"/>
        <w:spacing w:after="0" w:line="302" w:lineRule="auto"/>
        <w:rPr>
          <w:sz w:val="20"/>
          <w:szCs w:val="20"/>
          <w:color w:val="auto"/>
        </w:rPr>
      </w:pPr>
      <w:r>
        <w:rPr>
          <w:rFonts w:ascii="Arial" w:cs="Arial" w:eastAsia="Arial" w:hAnsi="Arial"/>
          <w:sz w:val="16"/>
          <w:szCs w:val="16"/>
          <w:color w:val="231F20"/>
        </w:rPr>
        <w:t>To manufacture our ARTAS System in the quantities that we believe will be required to meet anticipated market demand, Evolve will need to increase manufacturing capacity, which will involve significant challenges. In addition, the development of commercial-scale manufacturing capabilities will require us and Evolve to invest substantial additional funds and hire and retain the technical personnel who have the necessary manufacturing experience. Neither we nor our third-party manufacturer may successfully complete any required increase to existing manufacturing processes in a timely manner, or at all.</w:t>
      </w:r>
    </w:p>
    <w:p>
      <w:pPr>
        <w:spacing w:after="0" w:line="46" w:lineRule="exact"/>
        <w:rPr>
          <w:sz w:val="20"/>
          <w:szCs w:val="20"/>
          <w:color w:val="auto"/>
        </w:rPr>
      </w:pPr>
    </w:p>
    <w:p>
      <w:pPr>
        <w:ind w:right="20"/>
        <w:spacing w:after="0" w:line="276" w:lineRule="auto"/>
        <w:rPr>
          <w:sz w:val="20"/>
          <w:szCs w:val="20"/>
          <w:color w:val="auto"/>
        </w:rPr>
      </w:pPr>
      <w:r>
        <w:rPr>
          <w:rFonts w:ascii="Arial" w:cs="Arial" w:eastAsia="Arial" w:hAnsi="Arial"/>
          <w:sz w:val="17"/>
          <w:szCs w:val="17"/>
          <w:color w:val="231F20"/>
        </w:rPr>
        <w:t>If Evolve is unable to produce the ARTAS System, reusable procedure kits, disposable procedure kits, upgrade kits and spare kits in sufficient quantities to meet anticipated customer demand, our revenue, business, and financial prospects would be harmed. The limited experience Evolve has in producing larger quantities of the ARTAS System and kits may also result in quality issues, and possibly result in product recalls. Manufacturing delays related to quality control could harm our reputation, and decrease our revenue. Any recall could be expensive and generate negative publicity, which could impair our ability to market the ARTAS System and procedures and further affect our results of operations.</w:t>
      </w:r>
    </w:p>
    <w:p>
      <w:pPr>
        <w:spacing w:after="0" w:line="91" w:lineRule="exact"/>
        <w:rPr>
          <w:sz w:val="20"/>
          <w:szCs w:val="20"/>
          <w:color w:val="auto"/>
        </w:rPr>
      </w:pPr>
    </w:p>
    <w:p>
      <w:pPr>
        <w:ind w:right="460"/>
        <w:spacing w:after="0" w:line="342" w:lineRule="auto"/>
        <w:rPr>
          <w:sz w:val="20"/>
          <w:szCs w:val="20"/>
          <w:color w:val="auto"/>
        </w:rPr>
      </w:pPr>
      <w:r>
        <w:rPr>
          <w:rFonts w:ascii="Arial" w:cs="Arial" w:eastAsia="Arial" w:hAnsi="Arial"/>
          <w:sz w:val="16"/>
          <w:szCs w:val="16"/>
          <w:b w:val="1"/>
          <w:bCs w:val="1"/>
          <w:i w:val="1"/>
          <w:iCs w:val="1"/>
          <w:color w:val="231F20"/>
        </w:rPr>
        <w:t>Evolve’s manufacturing operations are dependent upon third-party suppliers and, in some cases, sole suppliers, for the majority of our components, subassemblies and materials, making us vulnerable to supply shortages and price fluctuations, which could harm our business.</w:t>
      </w:r>
    </w:p>
    <w:p>
      <w:pPr>
        <w:spacing w:after="0" w:line="16" w:lineRule="exact"/>
        <w:rPr>
          <w:sz w:val="20"/>
          <w:szCs w:val="20"/>
          <w:color w:val="auto"/>
        </w:rPr>
      </w:pPr>
    </w:p>
    <w:p>
      <w:pPr>
        <w:spacing w:after="0" w:line="288" w:lineRule="auto"/>
        <w:rPr>
          <w:sz w:val="20"/>
          <w:szCs w:val="20"/>
          <w:color w:val="auto"/>
        </w:rPr>
      </w:pPr>
      <w:r>
        <w:rPr>
          <w:rFonts w:ascii="Arial" w:cs="Arial" w:eastAsia="Arial" w:hAnsi="Arial"/>
          <w:sz w:val="16"/>
          <w:szCs w:val="16"/>
          <w:color w:val="231F20"/>
        </w:rPr>
        <w:t>Evolve relies on several sole source suppliers, including Stäubli Corporation, FLIR Integrated Imaging Solutions Inc. and Preproduction Plastics Inc., for certain components of the ARTAS System, reusable procedure kits, disposable procedure kits, upgrade kits, and spare kits. These sole suppliers, and any of our other suppliers, may be unwilling or unable to supply components of these systems to Evolve reliably and at the levels we anticipate or are required by the market. For us to be successful, our third-party manufacturer and its suppliers must be able to provide products and components in substantial quantities, in compliance with regulatory requirements, in accordance with agreed upon specifications, at acceptable costs and on a timely basis. An interruption in our commercial operations could occur if we or Evolve encounter delays or difficulties in securing these components, and if we cannot then obtain an acceptable substitute. If we are required to transition to new third-party suppliers for certain components of the ARTAS System, we believe that there are only a few such suppliers that are capable of supplying the necessary components. A supply interruption, price fluctuation or an increase in demand beyond our current suppliers’ capabilities could harm Evolve’s ability to manufacture the ARTAS System until new sources of supply are identified and qualified. In addition, the use of components or materials furnished by these alternative suppliers could require us to alter our operations.</w:t>
      </w:r>
    </w:p>
    <w:p>
      <w:pPr>
        <w:spacing w:after="0" w:line="61" w:lineRule="exact"/>
        <w:rPr>
          <w:sz w:val="20"/>
          <w:szCs w:val="20"/>
          <w:color w:val="auto"/>
        </w:rPr>
      </w:pPr>
    </w:p>
    <w:p>
      <w:pPr>
        <w:ind w:right="380"/>
        <w:spacing w:after="0" w:line="277" w:lineRule="auto"/>
        <w:rPr>
          <w:sz w:val="20"/>
          <w:szCs w:val="20"/>
          <w:color w:val="auto"/>
        </w:rPr>
      </w:pPr>
      <w:r>
        <w:rPr>
          <w:rFonts w:ascii="Arial" w:cs="Arial" w:eastAsia="Arial" w:hAnsi="Arial"/>
          <w:sz w:val="18"/>
          <w:szCs w:val="18"/>
          <w:color w:val="231F20"/>
        </w:rPr>
        <w:t>Our reliance on these suppliers subjects us to a number of risks that could harm our reputation, business, and financial condition, including, among other things:</w:t>
      </w:r>
    </w:p>
    <w:p>
      <w:pPr>
        <w:spacing w:after="0" w:line="62" w:lineRule="exact"/>
        <w:rPr>
          <w:sz w:val="20"/>
          <w:szCs w:val="20"/>
          <w:color w:val="auto"/>
        </w:rPr>
      </w:pPr>
    </w:p>
    <w:p>
      <w:pPr>
        <w:ind w:left="1100" w:hanging="363"/>
        <w:spacing w:after="0"/>
        <w:tabs>
          <w:tab w:leader="none" w:pos="1100" w:val="left"/>
        </w:tabs>
        <w:numPr>
          <w:ilvl w:val="0"/>
          <w:numId w:val="26"/>
        </w:numPr>
        <w:rPr>
          <w:rFonts w:ascii="Arial" w:cs="Arial" w:eastAsia="Arial" w:hAnsi="Arial"/>
          <w:sz w:val="16"/>
          <w:szCs w:val="16"/>
          <w:color w:val="231F20"/>
        </w:rPr>
      </w:pPr>
      <w:r>
        <w:rPr>
          <w:rFonts w:ascii="Arial" w:cs="Arial" w:eastAsia="Arial" w:hAnsi="Arial"/>
          <w:sz w:val="18"/>
          <w:szCs w:val="18"/>
          <w:color w:val="231F20"/>
        </w:rPr>
        <w:t>interruption of supply resulting from modifications to or discontinuation of a supplier’s operations;</w:t>
      </w:r>
    </w:p>
    <w:p>
      <w:pPr>
        <w:spacing w:after="0" w:line="117" w:lineRule="exact"/>
        <w:rPr>
          <w:rFonts w:ascii="Arial" w:cs="Arial" w:eastAsia="Arial" w:hAnsi="Arial"/>
          <w:sz w:val="16"/>
          <w:szCs w:val="16"/>
          <w:color w:val="231F20"/>
        </w:rPr>
      </w:pPr>
    </w:p>
    <w:p>
      <w:pPr>
        <w:ind w:left="1100" w:hanging="363"/>
        <w:spacing w:after="0"/>
        <w:tabs>
          <w:tab w:leader="none" w:pos="1100" w:val="left"/>
        </w:tabs>
        <w:numPr>
          <w:ilvl w:val="0"/>
          <w:numId w:val="26"/>
        </w:numPr>
        <w:rPr>
          <w:rFonts w:ascii="Arial" w:cs="Arial" w:eastAsia="Arial" w:hAnsi="Arial"/>
          <w:sz w:val="16"/>
          <w:szCs w:val="16"/>
          <w:color w:val="231F20"/>
        </w:rPr>
      </w:pPr>
      <w:r>
        <w:rPr>
          <w:rFonts w:ascii="Arial" w:cs="Arial" w:eastAsia="Arial" w:hAnsi="Arial"/>
          <w:sz w:val="18"/>
          <w:szCs w:val="18"/>
          <w:color w:val="231F20"/>
        </w:rPr>
        <w:t>delays in product shipments resulting from uncorrected defects, reliability issues, or a supplier’s variation in a component;</w:t>
      </w:r>
    </w:p>
    <w:p>
      <w:pPr>
        <w:spacing w:after="0" w:line="117" w:lineRule="exact"/>
        <w:rPr>
          <w:rFonts w:ascii="Arial" w:cs="Arial" w:eastAsia="Arial" w:hAnsi="Arial"/>
          <w:sz w:val="16"/>
          <w:szCs w:val="16"/>
          <w:color w:val="231F20"/>
        </w:rPr>
      </w:pPr>
    </w:p>
    <w:p>
      <w:pPr>
        <w:ind w:left="1100" w:hanging="363"/>
        <w:spacing w:after="0"/>
        <w:tabs>
          <w:tab w:leader="none" w:pos="1100" w:val="left"/>
        </w:tabs>
        <w:numPr>
          <w:ilvl w:val="0"/>
          <w:numId w:val="26"/>
        </w:numPr>
        <w:rPr>
          <w:rFonts w:ascii="Arial" w:cs="Arial" w:eastAsia="Arial" w:hAnsi="Arial"/>
          <w:sz w:val="16"/>
          <w:szCs w:val="16"/>
          <w:color w:val="231F20"/>
        </w:rPr>
      </w:pPr>
      <w:r>
        <w:rPr>
          <w:rFonts w:ascii="Arial" w:cs="Arial" w:eastAsia="Arial" w:hAnsi="Arial"/>
          <w:sz w:val="18"/>
          <w:szCs w:val="18"/>
          <w:color w:val="231F20"/>
        </w:rPr>
        <w:t>a lack of long-term supply arrangements for key components with our suppliers;</w:t>
      </w:r>
    </w:p>
    <w:p>
      <w:pPr>
        <w:spacing w:after="0" w:line="117" w:lineRule="exact"/>
        <w:rPr>
          <w:rFonts w:ascii="Arial" w:cs="Arial" w:eastAsia="Arial" w:hAnsi="Arial"/>
          <w:sz w:val="16"/>
          <w:szCs w:val="16"/>
          <w:color w:val="231F20"/>
        </w:rPr>
      </w:pPr>
    </w:p>
    <w:p>
      <w:pPr>
        <w:ind w:left="1100" w:hanging="363"/>
        <w:spacing w:after="0"/>
        <w:tabs>
          <w:tab w:leader="none" w:pos="1100" w:val="left"/>
        </w:tabs>
        <w:numPr>
          <w:ilvl w:val="0"/>
          <w:numId w:val="26"/>
        </w:numPr>
        <w:rPr>
          <w:rFonts w:ascii="Arial" w:cs="Arial" w:eastAsia="Arial" w:hAnsi="Arial"/>
          <w:sz w:val="16"/>
          <w:szCs w:val="16"/>
          <w:color w:val="231F20"/>
        </w:rPr>
      </w:pPr>
      <w:r>
        <w:rPr>
          <w:rFonts w:ascii="Arial" w:cs="Arial" w:eastAsia="Arial" w:hAnsi="Arial"/>
          <w:sz w:val="18"/>
          <w:szCs w:val="18"/>
          <w:color w:val="231F20"/>
        </w:rPr>
        <w:t>inability to obtain adequate supply in a timely manner, or to obtain adequate supply on commercially reasonable terms;</w:t>
      </w:r>
    </w:p>
    <w:p>
      <w:pPr>
        <w:spacing w:after="0" w:line="200" w:lineRule="exact"/>
        <w:rPr>
          <w:sz w:val="20"/>
          <w:szCs w:val="20"/>
          <w:color w:val="auto"/>
        </w:rPr>
      </w:pPr>
    </w:p>
    <w:p>
      <w:pPr>
        <w:spacing w:after="0" w:line="26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449" w:right="259" w:bottom="1440" w:gutter="0" w:footer="0" w:header="0"/>
        </w:sectPr>
      </w:pPr>
    </w:p>
    <w:bookmarkStart w:id="31" w:name="page32"/>
    <w:bookmarkEnd w:id="31"/>
    <w:p>
      <w:pPr>
        <w:ind w:left="1100" w:hanging="363"/>
        <w:spacing w:after="0"/>
        <w:tabs>
          <w:tab w:leader="none" w:pos="1100" w:val="left"/>
        </w:tabs>
        <w:numPr>
          <w:ilvl w:val="0"/>
          <w:numId w:val="27"/>
        </w:numPr>
        <w:rPr>
          <w:rFonts w:ascii="Arial" w:cs="Arial" w:eastAsia="Arial" w:hAnsi="Arial"/>
          <w:sz w:val="16"/>
          <w:szCs w:val="16"/>
          <w:color w:val="231F20"/>
        </w:rPr>
      </w:pPr>
      <w:r>
        <w:rPr>
          <w:rFonts w:ascii="Arial" w:cs="Arial" w:eastAsia="Arial" w:hAnsi="Arial"/>
          <w:sz w:val="18"/>
          <w:szCs w:val="18"/>
          <w:color w:val="231F20"/>
        </w:rPr>
        <w:t>difficulty and cost associated with locating and qualifying alternative suppliers for our components in a timely manner;</w:t>
      </w:r>
    </w:p>
    <w:p>
      <w:pPr>
        <w:spacing w:after="0" w:line="117" w:lineRule="exact"/>
        <w:rPr>
          <w:rFonts w:ascii="Arial" w:cs="Arial" w:eastAsia="Arial" w:hAnsi="Arial"/>
          <w:sz w:val="16"/>
          <w:szCs w:val="16"/>
          <w:color w:val="231F20"/>
        </w:rPr>
      </w:pPr>
    </w:p>
    <w:p>
      <w:pPr>
        <w:ind w:left="1100" w:hanging="363"/>
        <w:spacing w:after="0"/>
        <w:tabs>
          <w:tab w:leader="none" w:pos="1100" w:val="left"/>
        </w:tabs>
        <w:numPr>
          <w:ilvl w:val="0"/>
          <w:numId w:val="27"/>
        </w:numPr>
        <w:rPr>
          <w:rFonts w:ascii="Arial" w:cs="Arial" w:eastAsia="Arial" w:hAnsi="Arial"/>
          <w:sz w:val="15"/>
          <w:szCs w:val="15"/>
          <w:color w:val="231F20"/>
        </w:rPr>
      </w:pPr>
      <w:r>
        <w:rPr>
          <w:rFonts w:ascii="Arial" w:cs="Arial" w:eastAsia="Arial" w:hAnsi="Arial"/>
          <w:sz w:val="17"/>
          <w:szCs w:val="17"/>
          <w:color w:val="231F20"/>
        </w:rPr>
        <w:t>production delays related to the evaluation and testing of products from alternative suppliers, and corresponding regulatory qualifications;</w:t>
      </w:r>
    </w:p>
    <w:p>
      <w:pPr>
        <w:spacing w:after="0" w:line="128" w:lineRule="exact"/>
        <w:rPr>
          <w:rFonts w:ascii="Arial" w:cs="Arial" w:eastAsia="Arial" w:hAnsi="Arial"/>
          <w:sz w:val="15"/>
          <w:szCs w:val="15"/>
          <w:color w:val="231F20"/>
        </w:rPr>
      </w:pPr>
    </w:p>
    <w:p>
      <w:pPr>
        <w:ind w:left="1100" w:hanging="363"/>
        <w:spacing w:after="0"/>
        <w:tabs>
          <w:tab w:leader="none" w:pos="1100" w:val="left"/>
        </w:tabs>
        <w:numPr>
          <w:ilvl w:val="0"/>
          <w:numId w:val="27"/>
        </w:numPr>
        <w:rPr>
          <w:rFonts w:ascii="Arial" w:cs="Arial" w:eastAsia="Arial" w:hAnsi="Arial"/>
          <w:sz w:val="16"/>
          <w:szCs w:val="16"/>
          <w:color w:val="231F20"/>
        </w:rPr>
      </w:pPr>
      <w:r>
        <w:rPr>
          <w:rFonts w:ascii="Arial" w:cs="Arial" w:eastAsia="Arial" w:hAnsi="Arial"/>
          <w:sz w:val="18"/>
          <w:szCs w:val="18"/>
          <w:color w:val="231F20"/>
        </w:rPr>
        <w:t>delay in delivery due to our suppliers prioritizing other customer orders over ours;</w:t>
      </w:r>
    </w:p>
    <w:p>
      <w:pPr>
        <w:spacing w:after="0" w:line="117" w:lineRule="exact"/>
        <w:rPr>
          <w:rFonts w:ascii="Arial" w:cs="Arial" w:eastAsia="Arial" w:hAnsi="Arial"/>
          <w:sz w:val="16"/>
          <w:szCs w:val="16"/>
          <w:color w:val="231F20"/>
        </w:rPr>
      </w:pPr>
    </w:p>
    <w:p>
      <w:pPr>
        <w:ind w:left="1100" w:hanging="363"/>
        <w:spacing w:after="0"/>
        <w:tabs>
          <w:tab w:leader="none" w:pos="1100" w:val="left"/>
        </w:tabs>
        <w:numPr>
          <w:ilvl w:val="0"/>
          <w:numId w:val="27"/>
        </w:numPr>
        <w:rPr>
          <w:rFonts w:ascii="Arial" w:cs="Arial" w:eastAsia="Arial" w:hAnsi="Arial"/>
          <w:sz w:val="16"/>
          <w:szCs w:val="16"/>
          <w:color w:val="231F20"/>
        </w:rPr>
      </w:pPr>
      <w:r>
        <w:rPr>
          <w:rFonts w:ascii="Arial" w:cs="Arial" w:eastAsia="Arial" w:hAnsi="Arial"/>
          <w:sz w:val="18"/>
          <w:szCs w:val="18"/>
          <w:color w:val="231F20"/>
        </w:rPr>
        <w:t>damage to our reputation caused by defective components produced by our suppliers;</w:t>
      </w:r>
    </w:p>
    <w:p>
      <w:pPr>
        <w:spacing w:after="0" w:line="117" w:lineRule="exact"/>
        <w:rPr>
          <w:rFonts w:ascii="Arial" w:cs="Arial" w:eastAsia="Arial" w:hAnsi="Arial"/>
          <w:sz w:val="16"/>
          <w:szCs w:val="16"/>
          <w:color w:val="231F20"/>
        </w:rPr>
      </w:pPr>
    </w:p>
    <w:p>
      <w:pPr>
        <w:ind w:left="1100" w:hanging="363"/>
        <w:spacing w:after="0"/>
        <w:tabs>
          <w:tab w:leader="none" w:pos="1100" w:val="left"/>
        </w:tabs>
        <w:numPr>
          <w:ilvl w:val="0"/>
          <w:numId w:val="27"/>
        </w:numPr>
        <w:rPr>
          <w:rFonts w:ascii="Arial" w:cs="Arial" w:eastAsia="Arial" w:hAnsi="Arial"/>
          <w:sz w:val="14"/>
          <w:szCs w:val="14"/>
          <w:color w:val="231F20"/>
        </w:rPr>
      </w:pPr>
      <w:r>
        <w:rPr>
          <w:rFonts w:ascii="Arial" w:cs="Arial" w:eastAsia="Arial" w:hAnsi="Arial"/>
          <w:sz w:val="16"/>
          <w:szCs w:val="16"/>
          <w:color w:val="231F20"/>
        </w:rPr>
        <w:t>increased cost of our warranty program due to product repair or replacement based upon defects in components produced by our suppliers; and</w:t>
      </w:r>
    </w:p>
    <w:p>
      <w:pPr>
        <w:spacing w:after="0" w:line="140" w:lineRule="exact"/>
        <w:rPr>
          <w:rFonts w:ascii="Arial" w:cs="Arial" w:eastAsia="Arial" w:hAnsi="Arial"/>
          <w:sz w:val="14"/>
          <w:szCs w:val="14"/>
          <w:color w:val="231F20"/>
        </w:rPr>
      </w:pPr>
    </w:p>
    <w:p>
      <w:pPr>
        <w:ind w:left="1100" w:hanging="363"/>
        <w:spacing w:after="0"/>
        <w:tabs>
          <w:tab w:leader="none" w:pos="1100" w:val="left"/>
        </w:tabs>
        <w:numPr>
          <w:ilvl w:val="0"/>
          <w:numId w:val="27"/>
        </w:numPr>
        <w:rPr>
          <w:rFonts w:ascii="Arial" w:cs="Arial" w:eastAsia="Arial" w:hAnsi="Arial"/>
          <w:sz w:val="16"/>
          <w:szCs w:val="16"/>
          <w:color w:val="231F20"/>
        </w:rPr>
      </w:pPr>
      <w:r>
        <w:rPr>
          <w:rFonts w:ascii="Arial" w:cs="Arial" w:eastAsia="Arial" w:hAnsi="Arial"/>
          <w:sz w:val="18"/>
          <w:szCs w:val="18"/>
          <w:color w:val="231F20"/>
        </w:rPr>
        <w:t>fluctuation in delivery by our suppliers due to changes in demand from us or their other customers.</w:t>
      </w:r>
    </w:p>
    <w:p>
      <w:pPr>
        <w:spacing w:after="0" w:line="117" w:lineRule="exact"/>
        <w:rPr>
          <w:sz w:val="20"/>
          <w:szCs w:val="20"/>
          <w:color w:val="auto"/>
        </w:rPr>
      </w:pPr>
    </w:p>
    <w:p>
      <w:pPr>
        <w:ind w:right="20"/>
        <w:spacing w:after="0" w:line="264" w:lineRule="auto"/>
        <w:rPr>
          <w:sz w:val="20"/>
          <w:szCs w:val="20"/>
          <w:color w:val="auto"/>
        </w:rPr>
      </w:pPr>
      <w:r>
        <w:rPr>
          <w:rFonts w:ascii="Arial" w:cs="Arial" w:eastAsia="Arial" w:hAnsi="Arial"/>
          <w:sz w:val="18"/>
          <w:szCs w:val="18"/>
          <w:color w:val="231F20"/>
        </w:rPr>
        <w:t>Where practicable, we are seeking, or intending to seek, second-source manufacturers for certain of our components. However, we cannot provide assurance that we will be successful in establishing second-source manufacturers or that the second-source manufacturers will be able to satisfy commercial demand for the ARTAS System.</w:t>
      </w:r>
    </w:p>
    <w:p>
      <w:pPr>
        <w:spacing w:after="0" w:line="73" w:lineRule="exact"/>
        <w:rPr>
          <w:sz w:val="20"/>
          <w:szCs w:val="20"/>
          <w:color w:val="auto"/>
        </w:rPr>
      </w:pPr>
    </w:p>
    <w:p>
      <w:pPr>
        <w:ind w:right="340"/>
        <w:spacing w:after="0" w:line="264" w:lineRule="auto"/>
        <w:rPr>
          <w:sz w:val="20"/>
          <w:szCs w:val="20"/>
          <w:color w:val="auto"/>
        </w:rPr>
      </w:pPr>
      <w:r>
        <w:rPr>
          <w:rFonts w:ascii="Arial" w:cs="Arial" w:eastAsia="Arial" w:hAnsi="Arial"/>
          <w:sz w:val="18"/>
          <w:szCs w:val="18"/>
          <w:color w:val="231F20"/>
        </w:rPr>
        <w:t>If any of these risks materialize, costs could significantly increase and our ability to meet demand for our products could be impacted. If we are unable to satisfy commercial demand for the ARTAS System in a timely manner, our ability to generate revenue would be impaired and market acceptance of our products could be adversely affected.</w:t>
      </w:r>
    </w:p>
    <w:p>
      <w:pPr>
        <w:spacing w:after="0" w:line="114" w:lineRule="exact"/>
        <w:rPr>
          <w:sz w:val="20"/>
          <w:szCs w:val="20"/>
          <w:color w:val="auto"/>
        </w:rPr>
      </w:pPr>
    </w:p>
    <w:p>
      <w:pPr>
        <w:ind w:right="20"/>
        <w:spacing w:after="0" w:line="342" w:lineRule="auto"/>
        <w:rPr>
          <w:sz w:val="20"/>
          <w:szCs w:val="20"/>
          <w:color w:val="auto"/>
        </w:rPr>
      </w:pPr>
      <w:r>
        <w:rPr>
          <w:rFonts w:ascii="Arial" w:cs="Arial" w:eastAsia="Arial" w:hAnsi="Arial"/>
          <w:sz w:val="16"/>
          <w:szCs w:val="16"/>
          <w:b w:val="1"/>
          <w:bCs w:val="1"/>
          <w:i w:val="1"/>
          <w:iCs w:val="1"/>
          <w:color w:val="231F20"/>
        </w:rPr>
        <w:t>We forecast sales to determine requirements for components and materials used in the ARTAS System, reusable procedure kits, disposable procedure kits, upgrade kits and spare kits and if our forecasts are incorrect, we may experience delays in shipments or increased inventory costs.</w:t>
      </w:r>
    </w:p>
    <w:p>
      <w:pPr>
        <w:spacing w:after="0" w:line="16" w:lineRule="exact"/>
        <w:rPr>
          <w:sz w:val="20"/>
          <w:szCs w:val="20"/>
          <w:color w:val="auto"/>
        </w:rPr>
      </w:pPr>
    </w:p>
    <w:p>
      <w:pPr>
        <w:ind w:right="100"/>
        <w:spacing w:after="0" w:line="271" w:lineRule="auto"/>
        <w:rPr>
          <w:sz w:val="20"/>
          <w:szCs w:val="20"/>
          <w:color w:val="auto"/>
        </w:rPr>
      </w:pPr>
      <w:r>
        <w:rPr>
          <w:rFonts w:ascii="Arial" w:cs="Arial" w:eastAsia="Arial" w:hAnsi="Arial"/>
          <w:sz w:val="17"/>
          <w:szCs w:val="17"/>
          <w:color w:val="231F20"/>
        </w:rPr>
        <w:t>We keep limited finished products on hand. To manage our operations, we forecast anticipated product orders and material requirements to predict our inventory needs and enter into purchase orders on the basis of these requirements. Several components of the ARTAS System require significant order lead time. Our limited historical commercial experience and anticipated growth may not provide us with enough data to consistently and accurately predict future demand. If our business expands and our demand for components and materials increases beyond our estimates, our manufacturers and suppliers may be unable to meet our demand. In addition, if we underestimate our component and material requirements, we may have inadequate inventory, which could interrupt, delay, or prevent delivery of the ARTAS System and related products to our customers. In contrast, if we overestimate our requirements, we may have excess inventory, which would increase use of our working capital. Any of these occurrences would negatively affect our financial condition and the level of satisfaction our physician customers have with our business.</w:t>
      </w:r>
    </w:p>
    <w:p>
      <w:pPr>
        <w:spacing w:after="0" w:line="98" w:lineRule="exact"/>
        <w:rPr>
          <w:sz w:val="20"/>
          <w:szCs w:val="20"/>
          <w:color w:val="auto"/>
        </w:rPr>
      </w:pPr>
    </w:p>
    <w:p>
      <w:pPr>
        <w:ind w:right="220"/>
        <w:spacing w:after="0" w:line="308" w:lineRule="auto"/>
        <w:rPr>
          <w:sz w:val="20"/>
          <w:szCs w:val="20"/>
          <w:color w:val="auto"/>
        </w:rPr>
      </w:pPr>
      <w:r>
        <w:rPr>
          <w:rFonts w:ascii="Arial" w:cs="Arial" w:eastAsia="Arial" w:hAnsi="Arial"/>
          <w:sz w:val="17"/>
          <w:szCs w:val="17"/>
          <w:b w:val="1"/>
          <w:bCs w:val="1"/>
          <w:i w:val="1"/>
          <w:iCs w:val="1"/>
          <w:color w:val="231F20"/>
        </w:rPr>
        <w:t>Even though the ARTAS System is marketed to physicians, there exists a potential for misuse by the operator of the ARTAS System by physicians, non-physicians or individuals who are not sufficiently trained, which could harm our reputation and our business.</w:t>
      </w:r>
    </w:p>
    <w:p>
      <w:pPr>
        <w:spacing w:after="0" w:line="38" w:lineRule="exact"/>
        <w:rPr>
          <w:sz w:val="20"/>
          <w:szCs w:val="20"/>
          <w:color w:val="auto"/>
        </w:rPr>
      </w:pPr>
    </w:p>
    <w:p>
      <w:pPr>
        <w:spacing w:after="0" w:line="293" w:lineRule="auto"/>
        <w:rPr>
          <w:sz w:val="20"/>
          <w:szCs w:val="20"/>
          <w:color w:val="auto"/>
        </w:rPr>
      </w:pPr>
      <w:r>
        <w:rPr>
          <w:rFonts w:ascii="Arial" w:cs="Arial" w:eastAsia="Arial" w:hAnsi="Arial"/>
          <w:sz w:val="16"/>
          <w:szCs w:val="16"/>
          <w:color w:val="231F20"/>
        </w:rPr>
        <w:t>We and our independent distributors market and sell the ARTAS System to physicians. Under state law in the U.S., our physician customers can generally allow nurse practitioners, technicians, and other non-physicians to perform the ARTAS procedures under their direct supervision. Similarly, in markets outside of the U.S., physicians can allow non-physicians to perform the ARTAS procedures under their supervision. Although we and our distributors provide training on the use of the ARTAS System, we do not thereafter supervise the procedures performed with the ARTAS System, nor can we be assured that direct physician supervision of procedures occurs according to our recommendations. The potential misuse of the ARTAS System by physicians and non-physicians may result in adverse treatment outcomes, which could harm our reputation and expose us to costly product liability litigation.</w:t>
      </w:r>
    </w:p>
    <w:p>
      <w:pPr>
        <w:spacing w:after="0" w:line="57" w:lineRule="exact"/>
        <w:rPr>
          <w:sz w:val="20"/>
          <w:szCs w:val="20"/>
          <w:color w:val="auto"/>
        </w:rPr>
      </w:pPr>
    </w:p>
    <w:p>
      <w:pPr>
        <w:jc w:val="both"/>
        <w:ind w:right="200"/>
        <w:spacing w:after="0" w:line="264" w:lineRule="auto"/>
        <w:rPr>
          <w:sz w:val="20"/>
          <w:szCs w:val="20"/>
          <w:color w:val="auto"/>
        </w:rPr>
      </w:pPr>
      <w:r>
        <w:rPr>
          <w:rFonts w:ascii="Arial" w:cs="Arial" w:eastAsia="Arial" w:hAnsi="Arial"/>
          <w:sz w:val="18"/>
          <w:szCs w:val="18"/>
          <w:color w:val="231F20"/>
        </w:rPr>
        <w:t>We and our distributors offer product training sessions, but neither we nor our distributors require purchasers or operators of our products to attend training sessions. The lack of required training for operators of our product and the use of our products by non-physicians may result in product misuse and adverse treatment outcomes, which could harm our reputation and expose us to costly product liability litigation.</w:t>
      </w:r>
    </w:p>
    <w:p>
      <w:pPr>
        <w:spacing w:after="0" w:line="200" w:lineRule="exact"/>
        <w:rPr>
          <w:sz w:val="20"/>
          <w:szCs w:val="20"/>
          <w:color w:val="auto"/>
        </w:rPr>
      </w:pPr>
    </w:p>
    <w:p>
      <w:pPr>
        <w:spacing w:after="0" w:line="22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449" w:right="259" w:bottom="1440" w:gutter="0" w:footer="0" w:header="0"/>
        </w:sectPr>
      </w:pPr>
    </w:p>
    <w:bookmarkStart w:id="32" w:name="page33"/>
    <w:bookmarkEnd w:id="32"/>
    <w:p>
      <w:pPr>
        <w:ind w:right="260"/>
        <w:spacing w:after="0" w:line="264" w:lineRule="auto"/>
        <w:rPr>
          <w:sz w:val="20"/>
          <w:szCs w:val="20"/>
          <w:color w:val="auto"/>
        </w:rPr>
      </w:pPr>
      <w:r>
        <w:rPr>
          <w:rFonts w:ascii="Arial" w:cs="Arial" w:eastAsia="Arial" w:hAnsi="Arial"/>
          <w:sz w:val="18"/>
          <w:szCs w:val="18"/>
          <w:b w:val="1"/>
          <w:bCs w:val="1"/>
          <w:i w:val="1"/>
          <w:iCs w:val="1"/>
          <w:color w:val="231F20"/>
        </w:rPr>
        <w:t>Product liability suits could be brought against us for defective design, labeling, material, or workmanship, or misuse of the ARTAS System, and could result in expensive and time-consuming litigation, payment of substantial damages, an increase in our insurance rates and substantial harm to our reputation.</w:t>
      </w:r>
    </w:p>
    <w:p>
      <w:pPr>
        <w:spacing w:after="0" w:line="73" w:lineRule="exact"/>
        <w:rPr>
          <w:sz w:val="20"/>
          <w:szCs w:val="20"/>
          <w:color w:val="auto"/>
        </w:rPr>
      </w:pPr>
    </w:p>
    <w:p>
      <w:pPr>
        <w:ind w:right="100"/>
        <w:spacing w:after="0" w:line="286" w:lineRule="auto"/>
        <w:rPr>
          <w:sz w:val="20"/>
          <w:szCs w:val="20"/>
          <w:color w:val="auto"/>
        </w:rPr>
      </w:pPr>
      <w:r>
        <w:rPr>
          <w:rFonts w:ascii="Arial" w:cs="Arial" w:eastAsia="Arial" w:hAnsi="Arial"/>
          <w:sz w:val="17"/>
          <w:szCs w:val="17"/>
          <w:color w:val="231F20"/>
        </w:rPr>
        <w:t>If the ARTAS System is defectively designed, manufactured, or labeled, contains defective components, or is misused, we may become subject to substantial and costly litigation by our physician customers or their patients. Misuse of the ARTAS System or failure to adhere to operating guidelines can cause skin damage and underlying tissue damage and, if our operating guidelines are found to be inadequate, we may be subject to liability.</w:t>
      </w:r>
    </w:p>
    <w:p>
      <w:pPr>
        <w:spacing w:after="0" w:line="57" w:lineRule="exact"/>
        <w:rPr>
          <w:sz w:val="20"/>
          <w:szCs w:val="20"/>
          <w:color w:val="auto"/>
        </w:rPr>
      </w:pPr>
    </w:p>
    <w:p>
      <w:pPr>
        <w:ind w:right="220"/>
        <w:spacing w:after="0" w:line="257" w:lineRule="auto"/>
        <w:rPr>
          <w:sz w:val="20"/>
          <w:szCs w:val="20"/>
          <w:color w:val="auto"/>
        </w:rPr>
      </w:pPr>
      <w:r>
        <w:rPr>
          <w:rFonts w:ascii="Arial" w:cs="Arial" w:eastAsia="Arial" w:hAnsi="Arial"/>
          <w:sz w:val="18"/>
          <w:szCs w:val="18"/>
          <w:color w:val="231F20"/>
        </w:rPr>
        <w:t>Furthermore, if a patient is injured in an unexpected manner or suffers unanticipated adverse events after undergoing the ARTAS procedure, even if the procedure was performed in accordance with our operating guidelines, we may be subject to product liability claims. Claims could also be asserted under state consumer protection acts. If we cannot successfully defend ourselves against product liability claims, we may incur substantial liabilities. Even successful defense would require significant financial and management resources. Regardless of the merits or eventual outcome, liability claims may result in:</w:t>
      </w:r>
    </w:p>
    <w:p>
      <w:pPr>
        <w:spacing w:after="0" w:line="80" w:lineRule="exact"/>
        <w:rPr>
          <w:sz w:val="20"/>
          <w:szCs w:val="20"/>
          <w:color w:val="auto"/>
        </w:rPr>
      </w:pPr>
    </w:p>
    <w:p>
      <w:pPr>
        <w:ind w:left="1100" w:hanging="363"/>
        <w:spacing w:after="0"/>
        <w:tabs>
          <w:tab w:leader="none" w:pos="1100" w:val="left"/>
        </w:tabs>
        <w:numPr>
          <w:ilvl w:val="0"/>
          <w:numId w:val="28"/>
        </w:numPr>
        <w:rPr>
          <w:rFonts w:ascii="Arial" w:cs="Arial" w:eastAsia="Arial" w:hAnsi="Arial"/>
          <w:sz w:val="16"/>
          <w:szCs w:val="16"/>
          <w:color w:val="231F20"/>
        </w:rPr>
      </w:pPr>
      <w:r>
        <w:rPr>
          <w:rFonts w:ascii="Arial" w:cs="Arial" w:eastAsia="Arial" w:hAnsi="Arial"/>
          <w:sz w:val="18"/>
          <w:szCs w:val="18"/>
          <w:color w:val="231F20"/>
        </w:rPr>
        <w:t>decreased demand for the ARTAS System or any future products;</w:t>
      </w:r>
    </w:p>
    <w:p>
      <w:pPr>
        <w:spacing w:after="0" w:line="117" w:lineRule="exact"/>
        <w:rPr>
          <w:rFonts w:ascii="Arial" w:cs="Arial" w:eastAsia="Arial" w:hAnsi="Arial"/>
          <w:sz w:val="16"/>
          <w:szCs w:val="16"/>
          <w:color w:val="231F20"/>
        </w:rPr>
      </w:pPr>
    </w:p>
    <w:p>
      <w:pPr>
        <w:ind w:left="1100" w:hanging="363"/>
        <w:spacing w:after="0"/>
        <w:tabs>
          <w:tab w:leader="none" w:pos="1100" w:val="left"/>
        </w:tabs>
        <w:numPr>
          <w:ilvl w:val="0"/>
          <w:numId w:val="28"/>
        </w:numPr>
        <w:rPr>
          <w:rFonts w:ascii="Arial" w:cs="Arial" w:eastAsia="Arial" w:hAnsi="Arial"/>
          <w:sz w:val="16"/>
          <w:szCs w:val="16"/>
          <w:color w:val="231F20"/>
        </w:rPr>
      </w:pPr>
      <w:r>
        <w:rPr>
          <w:rFonts w:ascii="Arial" w:cs="Arial" w:eastAsia="Arial" w:hAnsi="Arial"/>
          <w:sz w:val="18"/>
          <w:szCs w:val="18"/>
          <w:color w:val="231F20"/>
        </w:rPr>
        <w:t>damage to our reputation;</w:t>
      </w:r>
    </w:p>
    <w:p>
      <w:pPr>
        <w:spacing w:after="0" w:line="117" w:lineRule="exact"/>
        <w:rPr>
          <w:rFonts w:ascii="Arial" w:cs="Arial" w:eastAsia="Arial" w:hAnsi="Arial"/>
          <w:sz w:val="16"/>
          <w:szCs w:val="16"/>
          <w:color w:val="231F20"/>
        </w:rPr>
      </w:pPr>
    </w:p>
    <w:p>
      <w:pPr>
        <w:ind w:left="1100" w:hanging="363"/>
        <w:spacing w:after="0"/>
        <w:tabs>
          <w:tab w:leader="none" w:pos="1100" w:val="left"/>
        </w:tabs>
        <w:numPr>
          <w:ilvl w:val="0"/>
          <w:numId w:val="28"/>
        </w:numPr>
        <w:rPr>
          <w:rFonts w:ascii="Arial" w:cs="Arial" w:eastAsia="Arial" w:hAnsi="Arial"/>
          <w:sz w:val="16"/>
          <w:szCs w:val="16"/>
          <w:color w:val="231F20"/>
        </w:rPr>
      </w:pPr>
      <w:r>
        <w:rPr>
          <w:rFonts w:ascii="Arial" w:cs="Arial" w:eastAsia="Arial" w:hAnsi="Arial"/>
          <w:sz w:val="18"/>
          <w:szCs w:val="18"/>
          <w:color w:val="231F20"/>
        </w:rPr>
        <w:t>withdrawal of clinical trial participants;</w:t>
      </w:r>
    </w:p>
    <w:p>
      <w:pPr>
        <w:spacing w:after="0" w:line="117" w:lineRule="exact"/>
        <w:rPr>
          <w:rFonts w:ascii="Arial" w:cs="Arial" w:eastAsia="Arial" w:hAnsi="Arial"/>
          <w:sz w:val="16"/>
          <w:szCs w:val="16"/>
          <w:color w:val="231F20"/>
        </w:rPr>
      </w:pPr>
    </w:p>
    <w:p>
      <w:pPr>
        <w:ind w:left="1100" w:hanging="363"/>
        <w:spacing w:after="0"/>
        <w:tabs>
          <w:tab w:leader="none" w:pos="1100" w:val="left"/>
        </w:tabs>
        <w:numPr>
          <w:ilvl w:val="0"/>
          <w:numId w:val="28"/>
        </w:numPr>
        <w:rPr>
          <w:rFonts w:ascii="Arial" w:cs="Arial" w:eastAsia="Arial" w:hAnsi="Arial"/>
          <w:sz w:val="16"/>
          <w:szCs w:val="16"/>
          <w:color w:val="231F20"/>
        </w:rPr>
      </w:pPr>
      <w:r>
        <w:rPr>
          <w:rFonts w:ascii="Arial" w:cs="Arial" w:eastAsia="Arial" w:hAnsi="Arial"/>
          <w:sz w:val="18"/>
          <w:szCs w:val="18"/>
          <w:color w:val="231F20"/>
        </w:rPr>
        <w:t>costs to defend the related litigation;</w:t>
      </w:r>
    </w:p>
    <w:p>
      <w:pPr>
        <w:spacing w:after="0" w:line="117" w:lineRule="exact"/>
        <w:rPr>
          <w:rFonts w:ascii="Arial" w:cs="Arial" w:eastAsia="Arial" w:hAnsi="Arial"/>
          <w:sz w:val="16"/>
          <w:szCs w:val="16"/>
          <w:color w:val="231F20"/>
        </w:rPr>
      </w:pPr>
    </w:p>
    <w:p>
      <w:pPr>
        <w:ind w:left="1100" w:hanging="363"/>
        <w:spacing w:after="0"/>
        <w:tabs>
          <w:tab w:leader="none" w:pos="1100" w:val="left"/>
        </w:tabs>
        <w:numPr>
          <w:ilvl w:val="0"/>
          <w:numId w:val="28"/>
        </w:numPr>
        <w:rPr>
          <w:rFonts w:ascii="Arial" w:cs="Arial" w:eastAsia="Arial" w:hAnsi="Arial"/>
          <w:sz w:val="16"/>
          <w:szCs w:val="16"/>
          <w:color w:val="231F20"/>
        </w:rPr>
      </w:pPr>
      <w:r>
        <w:rPr>
          <w:rFonts w:ascii="Arial" w:cs="Arial" w:eastAsia="Arial" w:hAnsi="Arial"/>
          <w:sz w:val="18"/>
          <w:szCs w:val="18"/>
          <w:color w:val="231F20"/>
        </w:rPr>
        <w:t>a diversion of management’s time and our resources;</w:t>
      </w:r>
    </w:p>
    <w:p>
      <w:pPr>
        <w:spacing w:after="0" w:line="117" w:lineRule="exact"/>
        <w:rPr>
          <w:rFonts w:ascii="Arial" w:cs="Arial" w:eastAsia="Arial" w:hAnsi="Arial"/>
          <w:sz w:val="16"/>
          <w:szCs w:val="16"/>
          <w:color w:val="231F20"/>
        </w:rPr>
      </w:pPr>
    </w:p>
    <w:p>
      <w:pPr>
        <w:ind w:left="1100" w:hanging="363"/>
        <w:spacing w:after="0"/>
        <w:tabs>
          <w:tab w:leader="none" w:pos="1100" w:val="left"/>
        </w:tabs>
        <w:numPr>
          <w:ilvl w:val="0"/>
          <w:numId w:val="28"/>
        </w:numPr>
        <w:rPr>
          <w:rFonts w:ascii="Arial" w:cs="Arial" w:eastAsia="Arial" w:hAnsi="Arial"/>
          <w:sz w:val="16"/>
          <w:szCs w:val="16"/>
          <w:color w:val="231F20"/>
        </w:rPr>
      </w:pPr>
      <w:r>
        <w:rPr>
          <w:rFonts w:ascii="Arial" w:cs="Arial" w:eastAsia="Arial" w:hAnsi="Arial"/>
          <w:sz w:val="18"/>
          <w:szCs w:val="18"/>
          <w:color w:val="231F20"/>
        </w:rPr>
        <w:t>substantial monetary awards to physician customers, patients or clinical trial participants;</w:t>
      </w:r>
    </w:p>
    <w:p>
      <w:pPr>
        <w:spacing w:after="0" w:line="117" w:lineRule="exact"/>
        <w:rPr>
          <w:rFonts w:ascii="Arial" w:cs="Arial" w:eastAsia="Arial" w:hAnsi="Arial"/>
          <w:sz w:val="16"/>
          <w:szCs w:val="16"/>
          <w:color w:val="231F20"/>
        </w:rPr>
      </w:pPr>
    </w:p>
    <w:p>
      <w:pPr>
        <w:ind w:left="1100" w:hanging="363"/>
        <w:spacing w:after="0"/>
        <w:tabs>
          <w:tab w:leader="none" w:pos="1100" w:val="left"/>
        </w:tabs>
        <w:numPr>
          <w:ilvl w:val="0"/>
          <w:numId w:val="28"/>
        </w:numPr>
        <w:rPr>
          <w:rFonts w:ascii="Arial" w:cs="Arial" w:eastAsia="Arial" w:hAnsi="Arial"/>
          <w:sz w:val="16"/>
          <w:szCs w:val="16"/>
          <w:color w:val="231F20"/>
        </w:rPr>
      </w:pPr>
      <w:r>
        <w:rPr>
          <w:rFonts w:ascii="Arial" w:cs="Arial" w:eastAsia="Arial" w:hAnsi="Arial"/>
          <w:sz w:val="18"/>
          <w:szCs w:val="18"/>
          <w:color w:val="231F20"/>
        </w:rPr>
        <w:t>regulatory investigations, product recalls, withdrawals or labeling, marketing or promotional restrictions;</w:t>
      </w:r>
    </w:p>
    <w:p>
      <w:pPr>
        <w:spacing w:after="0" w:line="117" w:lineRule="exact"/>
        <w:rPr>
          <w:rFonts w:ascii="Arial" w:cs="Arial" w:eastAsia="Arial" w:hAnsi="Arial"/>
          <w:sz w:val="16"/>
          <w:szCs w:val="16"/>
          <w:color w:val="231F20"/>
        </w:rPr>
      </w:pPr>
    </w:p>
    <w:p>
      <w:pPr>
        <w:ind w:left="1100" w:hanging="363"/>
        <w:spacing w:after="0"/>
        <w:tabs>
          <w:tab w:leader="none" w:pos="1100" w:val="left"/>
        </w:tabs>
        <w:numPr>
          <w:ilvl w:val="0"/>
          <w:numId w:val="28"/>
        </w:numPr>
        <w:rPr>
          <w:rFonts w:ascii="Arial" w:cs="Arial" w:eastAsia="Arial" w:hAnsi="Arial"/>
          <w:sz w:val="16"/>
          <w:szCs w:val="16"/>
          <w:color w:val="231F20"/>
        </w:rPr>
      </w:pPr>
      <w:r>
        <w:rPr>
          <w:rFonts w:ascii="Arial" w:cs="Arial" w:eastAsia="Arial" w:hAnsi="Arial"/>
          <w:sz w:val="18"/>
          <w:szCs w:val="18"/>
          <w:color w:val="231F20"/>
        </w:rPr>
        <w:t>loss of revenue; and</w:t>
      </w:r>
    </w:p>
    <w:p>
      <w:pPr>
        <w:spacing w:after="0" w:line="117" w:lineRule="exact"/>
        <w:rPr>
          <w:rFonts w:ascii="Arial" w:cs="Arial" w:eastAsia="Arial" w:hAnsi="Arial"/>
          <w:sz w:val="16"/>
          <w:szCs w:val="16"/>
          <w:color w:val="231F20"/>
        </w:rPr>
      </w:pPr>
    </w:p>
    <w:p>
      <w:pPr>
        <w:ind w:left="1100" w:hanging="363"/>
        <w:spacing w:after="0"/>
        <w:tabs>
          <w:tab w:leader="none" w:pos="1100" w:val="left"/>
        </w:tabs>
        <w:numPr>
          <w:ilvl w:val="0"/>
          <w:numId w:val="28"/>
        </w:numPr>
        <w:rPr>
          <w:rFonts w:ascii="Arial" w:cs="Arial" w:eastAsia="Arial" w:hAnsi="Arial"/>
          <w:sz w:val="16"/>
          <w:szCs w:val="16"/>
          <w:color w:val="231F20"/>
        </w:rPr>
      </w:pPr>
      <w:r>
        <w:rPr>
          <w:rFonts w:ascii="Arial" w:cs="Arial" w:eastAsia="Arial" w:hAnsi="Arial"/>
          <w:sz w:val="18"/>
          <w:szCs w:val="18"/>
          <w:color w:val="231F20"/>
        </w:rPr>
        <w:t>the inability to commercialize any future products.</w:t>
      </w:r>
    </w:p>
    <w:p>
      <w:pPr>
        <w:spacing w:after="0" w:line="117" w:lineRule="exact"/>
        <w:rPr>
          <w:sz w:val="20"/>
          <w:szCs w:val="20"/>
          <w:color w:val="auto"/>
        </w:rPr>
      </w:pPr>
    </w:p>
    <w:p>
      <w:pPr>
        <w:spacing w:after="0" w:line="254" w:lineRule="auto"/>
        <w:rPr>
          <w:sz w:val="20"/>
          <w:szCs w:val="20"/>
          <w:color w:val="auto"/>
        </w:rPr>
      </w:pPr>
      <w:r>
        <w:rPr>
          <w:rFonts w:ascii="Arial" w:cs="Arial" w:eastAsia="Arial" w:hAnsi="Arial"/>
          <w:sz w:val="18"/>
          <w:szCs w:val="18"/>
          <w:color w:val="231F20"/>
        </w:rPr>
        <w:t>Our inability to obtain and maintain sufficient product liability insurance at an acceptable cost and scope of coverage to protect against potential product liability claims could inhibit commercialization of the ARTAS System. We carry product liability insurance in the amount of $4.0 million in the aggregate. Although we maintain such insurance, any claim that may be brought against us could result in a court judgment or settlement in an amount that is not covered, in whole or in part, by our insurance or that is in excess of the limits of our insurance coverage. Our insurance policies also have various exclusions and deductibles, and we may be subject to a product liability claim for which we have no coverage. We will have to pay any amounts awarded by a court or negotiated in a settlement that exceed our coverage limitations or that are not covered by our insurance, and we may not have, or be able to obtain, sufficient funds to pay such amounts. Moreover, in the future, we may not be able to maintain insurance coverage at a reasonable cost or in sufficient amounts to protect us against losses.</w:t>
      </w:r>
    </w:p>
    <w:p>
      <w:pPr>
        <w:spacing w:after="0" w:line="111" w:lineRule="exact"/>
        <w:rPr>
          <w:sz w:val="20"/>
          <w:szCs w:val="20"/>
          <w:color w:val="auto"/>
        </w:rPr>
      </w:pPr>
    </w:p>
    <w:p>
      <w:pPr>
        <w:ind w:right="100"/>
        <w:spacing w:after="0" w:line="308" w:lineRule="auto"/>
        <w:rPr>
          <w:sz w:val="20"/>
          <w:szCs w:val="20"/>
          <w:color w:val="auto"/>
        </w:rPr>
      </w:pPr>
      <w:r>
        <w:rPr>
          <w:rFonts w:ascii="Arial" w:cs="Arial" w:eastAsia="Arial" w:hAnsi="Arial"/>
          <w:sz w:val="17"/>
          <w:szCs w:val="17"/>
          <w:b w:val="1"/>
          <w:bCs w:val="1"/>
          <w:i w:val="1"/>
          <w:iCs w:val="1"/>
          <w:color w:val="231F20"/>
        </w:rPr>
        <w:t>Our ability to market the ARTAS System in the U.S. is limited to hair follicle dissection in males that have black or brown straight hair, and if we want to expand our marketing claims, we will need to obtain additional FDA clearances or approvals, which may not be granted.</w:t>
      </w:r>
    </w:p>
    <w:p>
      <w:pPr>
        <w:spacing w:after="0" w:line="38" w:lineRule="exact"/>
        <w:rPr>
          <w:sz w:val="20"/>
          <w:szCs w:val="20"/>
          <w:color w:val="auto"/>
        </w:rPr>
      </w:pPr>
    </w:p>
    <w:p>
      <w:pPr>
        <w:ind w:right="40"/>
        <w:spacing w:after="0" w:line="270" w:lineRule="auto"/>
        <w:rPr>
          <w:sz w:val="20"/>
          <w:szCs w:val="20"/>
          <w:color w:val="auto"/>
        </w:rPr>
      </w:pPr>
      <w:r>
        <w:rPr>
          <w:rFonts w:ascii="Arial" w:cs="Arial" w:eastAsia="Arial" w:hAnsi="Arial"/>
          <w:sz w:val="17"/>
          <w:szCs w:val="17"/>
          <w:color w:val="231F20"/>
        </w:rPr>
        <w:t>We have FDA clearance to market the ARTAS System in the U.S. for dissecting hair follicles only from the scalp in men diagnosed with androgenic alopecia, or AGA, also referred to as male pattern baldness, who have black or brown straight hair. This clearance restricts our ability to market or advertise the ARTAS System treatment for women or men who do not have black or brown straight hair, which could limit physician and patient adoption of the ARTAS System. Furthermore, while we have submitted a 510(K) application for our robotic implantation functionality, we have not yet received FDA clearance for the robotic implantation functionality which is in clinical development. Developing and promoting new treatment indications and protocols for the ARTAS System, as well as receiving regulatory approval for the commercialization of the robotic implantation functionality which is in clinical development, are elements of our growth strategy, but we cannot predict when or if we will receive the clearances required to so implement those elements. In addition, we may be required to conduct additional clinical trials or studies to support our applications, which may be time-consuming and expensive, and may produce results that do not result in FDA clearances. In the event that we do not obtain additional FDA clearances, our ability to promote the ARTAS System in the U.S. may be limited. Because we anticipate that sales in the U.S. will continue to</w:t>
      </w:r>
    </w:p>
    <w:p>
      <w:pPr>
        <w:spacing w:after="0" w:line="200" w:lineRule="exact"/>
        <w:rPr>
          <w:sz w:val="20"/>
          <w:szCs w:val="20"/>
          <w:color w:val="auto"/>
        </w:rPr>
      </w:pPr>
    </w:p>
    <w:p>
      <w:pPr>
        <w:spacing w:after="0" w:line="22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490" w:right="239" w:bottom="1440" w:gutter="0" w:footer="0" w:header="0"/>
        </w:sectPr>
      </w:pPr>
    </w:p>
    <w:bookmarkStart w:id="33" w:name="page34"/>
    <w:bookmarkEnd w:id="33"/>
    <w:p>
      <w:pPr>
        <w:ind w:right="40"/>
        <w:spacing w:after="0" w:line="277" w:lineRule="auto"/>
        <w:rPr>
          <w:sz w:val="20"/>
          <w:szCs w:val="20"/>
          <w:color w:val="auto"/>
        </w:rPr>
      </w:pPr>
      <w:r>
        <w:rPr>
          <w:rFonts w:ascii="Arial" w:cs="Arial" w:eastAsia="Arial" w:hAnsi="Arial"/>
          <w:sz w:val="18"/>
          <w:szCs w:val="18"/>
          <w:color w:val="231F20"/>
        </w:rPr>
        <w:t>be a significant portion of our business for the foreseeable future, ongoing restrictions on our ability to market the ARTAS System in the U.S. could harm our business and limit our revenue growth.</w:t>
      </w:r>
    </w:p>
    <w:p>
      <w:pPr>
        <w:spacing w:after="0" w:line="103" w:lineRule="exact"/>
        <w:rPr>
          <w:sz w:val="20"/>
          <w:szCs w:val="20"/>
          <w:color w:val="auto"/>
        </w:rPr>
      </w:pPr>
    </w:p>
    <w:p>
      <w:pPr>
        <w:ind w:right="360"/>
        <w:spacing w:after="0" w:line="277" w:lineRule="auto"/>
        <w:rPr>
          <w:sz w:val="20"/>
          <w:szCs w:val="20"/>
          <w:color w:val="auto"/>
        </w:rPr>
      </w:pPr>
      <w:r>
        <w:rPr>
          <w:rFonts w:ascii="Arial" w:cs="Arial" w:eastAsia="Arial" w:hAnsi="Arial"/>
          <w:sz w:val="18"/>
          <w:szCs w:val="18"/>
          <w:b w:val="1"/>
          <w:bCs w:val="1"/>
          <w:i w:val="1"/>
          <w:iCs w:val="1"/>
          <w:color w:val="231F20"/>
        </w:rPr>
        <w:t>The clinical trial process required to obtain regulatory clearances or approvals is lengthy and expensive with uncertain outcomes, and could result in delays in new product introductions.</w:t>
      </w:r>
    </w:p>
    <w:p>
      <w:pPr>
        <w:spacing w:after="0" w:line="62" w:lineRule="exact"/>
        <w:rPr>
          <w:sz w:val="20"/>
          <w:szCs w:val="20"/>
          <w:color w:val="auto"/>
        </w:rPr>
      </w:pPr>
    </w:p>
    <w:p>
      <w:pPr>
        <w:ind w:right="140"/>
        <w:spacing w:after="0" w:line="273" w:lineRule="auto"/>
        <w:rPr>
          <w:sz w:val="20"/>
          <w:szCs w:val="20"/>
          <w:color w:val="auto"/>
        </w:rPr>
      </w:pPr>
      <w:r>
        <w:rPr>
          <w:rFonts w:ascii="Arial" w:cs="Arial" w:eastAsia="Arial" w:hAnsi="Arial"/>
          <w:sz w:val="17"/>
          <w:szCs w:val="17"/>
          <w:color w:val="231F20"/>
        </w:rPr>
        <w:t>In order to obtain 510(k) clearance for the ARTAS System, we were required to conduct a clinical trial, and we expect to conduct clinical trials in support of marketing authorization for future products and product enhancements. Conducting clinical trials is a complex and expensive process, can take many years, and outcomes are inherently uncertain. We may suffer significant setbacks in clinical trials, even after earlier clinical trials showed promising results, and failure can occur at any time during the clinical trial process. Any of our products may malfunction or may produce undesirable adverse effects that could cause us or regulatory authorities to interrupt, delay or halt clinical trials. We, the FDA, or another regulatory authority may suspend or terminate clinical trials at any time to avoid exposing trial participants to unacceptable health risks.</w:t>
      </w:r>
    </w:p>
    <w:p>
      <w:pPr>
        <w:spacing w:after="0" w:line="70" w:lineRule="exact"/>
        <w:rPr>
          <w:sz w:val="20"/>
          <w:szCs w:val="20"/>
          <w:color w:val="auto"/>
        </w:rPr>
      </w:pPr>
    </w:p>
    <w:p>
      <w:pPr>
        <w:spacing w:after="0" w:line="255" w:lineRule="auto"/>
        <w:rPr>
          <w:sz w:val="20"/>
          <w:szCs w:val="20"/>
          <w:color w:val="auto"/>
        </w:rPr>
      </w:pPr>
      <w:r>
        <w:rPr>
          <w:rFonts w:ascii="Arial" w:cs="Arial" w:eastAsia="Arial" w:hAnsi="Arial"/>
          <w:sz w:val="18"/>
          <w:szCs w:val="18"/>
          <w:color w:val="231F20"/>
        </w:rPr>
        <w:t>Successful results of pre-clinical studies are not necessarily indicative of future clinical trial results, and predecessor clinical trial results may not be replicated in subsequent clinical trials. Additionally, the FDA may disagree with our interpretation of the data from our pre-clinical studies and clinical trials, or may find the clinical trial design, conduct or results inadequate to prove safety or efficacy, and may require us to pursue additional pre-clinical studies or clinical trials, which could further delay the clearance or approval of our products. The data we collect from our pre-clinical studies and clinical trials may not be sufficient to support FDA clearance or approval, and if we are unable to demonstrate the safety and efficacy of our future products in our clinical trials, we will be unable to obtain regulatory clearance or approval to market our products.</w:t>
      </w:r>
    </w:p>
    <w:p>
      <w:pPr>
        <w:spacing w:after="0" w:line="85" w:lineRule="exact"/>
        <w:rPr>
          <w:sz w:val="20"/>
          <w:szCs w:val="20"/>
          <w:color w:val="auto"/>
        </w:rPr>
      </w:pPr>
    </w:p>
    <w:p>
      <w:pPr>
        <w:ind w:right="40"/>
        <w:spacing w:after="0" w:line="255" w:lineRule="auto"/>
        <w:rPr>
          <w:sz w:val="20"/>
          <w:szCs w:val="20"/>
          <w:color w:val="auto"/>
        </w:rPr>
      </w:pPr>
      <w:r>
        <w:rPr>
          <w:rFonts w:ascii="Arial" w:cs="Arial" w:eastAsia="Arial" w:hAnsi="Arial"/>
          <w:sz w:val="18"/>
          <w:szCs w:val="18"/>
          <w:color w:val="231F20"/>
        </w:rPr>
        <w:t>In addition, we may estimate and publicly announce the anticipated timing of the accomplishment of various clinical, regulatory and other product development goals, which are often referred to as milestones. These milestones could include the obtainment of the right to affix the CE Mark in the European Union; the submission to the FDA of an investigational device exemption, or IDE, application to commence a pivotal clinical trial for a new product; the enrollment of patients in clinical trials; the release of data from clinical trials; and other clinical and regulatory events. The actual timing of these milestones could vary dramatically compared to our estimates, in some cases for reasons beyond our control. We cannot assure you that we will meet our projected milestones and if we do not meet these milestones as publicly announced, the commercialization of our products may be delayed and, as a result, our stock price may decline.</w:t>
      </w:r>
    </w:p>
    <w:p>
      <w:pPr>
        <w:spacing w:after="0" w:line="81" w:lineRule="exact"/>
        <w:rPr>
          <w:sz w:val="20"/>
          <w:szCs w:val="20"/>
          <w:color w:val="auto"/>
        </w:rPr>
      </w:pPr>
    </w:p>
    <w:p>
      <w:pPr>
        <w:ind w:right="160"/>
        <w:spacing w:after="0" w:line="312" w:lineRule="auto"/>
        <w:rPr>
          <w:sz w:val="20"/>
          <w:szCs w:val="20"/>
          <w:color w:val="auto"/>
        </w:rPr>
      </w:pPr>
      <w:r>
        <w:rPr>
          <w:rFonts w:ascii="Arial" w:cs="Arial" w:eastAsia="Arial" w:hAnsi="Arial"/>
          <w:sz w:val="16"/>
          <w:szCs w:val="16"/>
          <w:color w:val="231F20"/>
        </w:rPr>
        <w:t>Delays in the commencement or completion of clinical testing could significantly affect our product development costs. We do not know whether planned clinical trials will begin on time, need to be redesigned, enroll an adequate number of patients in a timely manner or be completed on schedule, if at all. The commencement and completion of clinical trials can be delayed or terminated for a number of reasons, including delays or failures related to:</w:t>
      </w:r>
    </w:p>
    <w:p>
      <w:pPr>
        <w:spacing w:after="0" w:line="39" w:lineRule="exact"/>
        <w:rPr>
          <w:sz w:val="20"/>
          <w:szCs w:val="20"/>
          <w:color w:val="auto"/>
        </w:rPr>
      </w:pPr>
    </w:p>
    <w:p>
      <w:pPr>
        <w:ind w:left="1100" w:hanging="363"/>
        <w:spacing w:after="0"/>
        <w:tabs>
          <w:tab w:leader="none" w:pos="1100" w:val="left"/>
        </w:tabs>
        <w:numPr>
          <w:ilvl w:val="0"/>
          <w:numId w:val="29"/>
        </w:numPr>
        <w:rPr>
          <w:rFonts w:ascii="Arial" w:cs="Arial" w:eastAsia="Arial" w:hAnsi="Arial"/>
          <w:sz w:val="16"/>
          <w:szCs w:val="16"/>
          <w:color w:val="231F20"/>
        </w:rPr>
      </w:pPr>
      <w:r>
        <w:rPr>
          <w:rFonts w:ascii="Arial" w:cs="Arial" w:eastAsia="Arial" w:hAnsi="Arial"/>
          <w:sz w:val="18"/>
          <w:szCs w:val="18"/>
          <w:color w:val="231F20"/>
        </w:rPr>
        <w:t>the FDA or comparable foreign regulatory authorities disagreeing as to the design or implementation of our clinical studies;</w:t>
      </w:r>
    </w:p>
    <w:p>
      <w:pPr>
        <w:spacing w:after="0" w:line="117" w:lineRule="exact"/>
        <w:rPr>
          <w:rFonts w:ascii="Arial" w:cs="Arial" w:eastAsia="Arial" w:hAnsi="Arial"/>
          <w:sz w:val="16"/>
          <w:szCs w:val="16"/>
          <w:color w:val="231F20"/>
        </w:rPr>
      </w:pPr>
    </w:p>
    <w:p>
      <w:pPr>
        <w:ind w:left="1100" w:hanging="363"/>
        <w:spacing w:after="0"/>
        <w:tabs>
          <w:tab w:leader="none" w:pos="1100" w:val="left"/>
        </w:tabs>
        <w:numPr>
          <w:ilvl w:val="0"/>
          <w:numId w:val="29"/>
        </w:numPr>
        <w:rPr>
          <w:rFonts w:ascii="Arial" w:cs="Arial" w:eastAsia="Arial" w:hAnsi="Arial"/>
          <w:sz w:val="16"/>
          <w:szCs w:val="16"/>
          <w:color w:val="231F20"/>
        </w:rPr>
      </w:pPr>
      <w:r>
        <w:rPr>
          <w:rFonts w:ascii="Arial" w:cs="Arial" w:eastAsia="Arial" w:hAnsi="Arial"/>
          <w:sz w:val="18"/>
          <w:szCs w:val="18"/>
          <w:color w:val="231F20"/>
        </w:rPr>
        <w:t>obtaining regulatory approval to commence a clinical trial;</w:t>
      </w:r>
    </w:p>
    <w:p>
      <w:pPr>
        <w:spacing w:after="0" w:line="117" w:lineRule="exact"/>
        <w:rPr>
          <w:rFonts w:ascii="Arial" w:cs="Arial" w:eastAsia="Arial" w:hAnsi="Arial"/>
          <w:sz w:val="16"/>
          <w:szCs w:val="16"/>
          <w:color w:val="231F20"/>
        </w:rPr>
      </w:pPr>
    </w:p>
    <w:p>
      <w:pPr>
        <w:ind w:left="1100" w:right="200" w:hanging="363"/>
        <w:spacing w:after="0" w:line="277" w:lineRule="auto"/>
        <w:tabs>
          <w:tab w:leader="none" w:pos="1100" w:val="left"/>
        </w:tabs>
        <w:numPr>
          <w:ilvl w:val="0"/>
          <w:numId w:val="29"/>
        </w:numPr>
        <w:rPr>
          <w:rFonts w:ascii="Arial" w:cs="Arial" w:eastAsia="Arial" w:hAnsi="Arial"/>
          <w:sz w:val="16"/>
          <w:szCs w:val="16"/>
          <w:color w:val="231F20"/>
        </w:rPr>
      </w:pPr>
      <w:r>
        <w:rPr>
          <w:rFonts w:ascii="Arial" w:cs="Arial" w:eastAsia="Arial" w:hAnsi="Arial"/>
          <w:sz w:val="18"/>
          <w:szCs w:val="18"/>
          <w:color w:val="231F20"/>
        </w:rPr>
        <w:t>reaching agreement on acceptable terms with prospective clinical research organizations, or CROs, and trial sites, the terms of which can be subject to extensive negotiation and may vary significantly among different CROs and trial sites;</w:t>
      </w:r>
    </w:p>
    <w:p>
      <w:pPr>
        <w:spacing w:after="0" w:line="62" w:lineRule="exact"/>
        <w:rPr>
          <w:rFonts w:ascii="Arial" w:cs="Arial" w:eastAsia="Arial" w:hAnsi="Arial"/>
          <w:sz w:val="16"/>
          <w:szCs w:val="16"/>
          <w:color w:val="231F20"/>
        </w:rPr>
      </w:pPr>
    </w:p>
    <w:p>
      <w:pPr>
        <w:ind w:left="1100" w:hanging="363"/>
        <w:spacing w:after="0"/>
        <w:tabs>
          <w:tab w:leader="none" w:pos="1100" w:val="left"/>
        </w:tabs>
        <w:numPr>
          <w:ilvl w:val="0"/>
          <w:numId w:val="29"/>
        </w:numPr>
        <w:rPr>
          <w:rFonts w:ascii="Arial" w:cs="Arial" w:eastAsia="Arial" w:hAnsi="Arial"/>
          <w:sz w:val="16"/>
          <w:szCs w:val="16"/>
          <w:color w:val="231F20"/>
        </w:rPr>
      </w:pPr>
      <w:r>
        <w:rPr>
          <w:rFonts w:ascii="Arial" w:cs="Arial" w:eastAsia="Arial" w:hAnsi="Arial"/>
          <w:sz w:val="18"/>
          <w:szCs w:val="18"/>
          <w:color w:val="231F20"/>
        </w:rPr>
        <w:t>manufacturing sufficient quantities of a product for use in clinical trials;</w:t>
      </w:r>
    </w:p>
    <w:p>
      <w:pPr>
        <w:spacing w:after="0" w:line="117" w:lineRule="exact"/>
        <w:rPr>
          <w:rFonts w:ascii="Arial" w:cs="Arial" w:eastAsia="Arial" w:hAnsi="Arial"/>
          <w:sz w:val="16"/>
          <w:szCs w:val="16"/>
          <w:color w:val="231F20"/>
        </w:rPr>
      </w:pPr>
    </w:p>
    <w:p>
      <w:pPr>
        <w:ind w:left="1100" w:hanging="363"/>
        <w:spacing w:after="0"/>
        <w:tabs>
          <w:tab w:leader="none" w:pos="1100" w:val="left"/>
        </w:tabs>
        <w:numPr>
          <w:ilvl w:val="0"/>
          <w:numId w:val="29"/>
        </w:numPr>
        <w:rPr>
          <w:rFonts w:ascii="Arial" w:cs="Arial" w:eastAsia="Arial" w:hAnsi="Arial"/>
          <w:sz w:val="16"/>
          <w:szCs w:val="16"/>
          <w:color w:val="231F20"/>
        </w:rPr>
      </w:pPr>
      <w:r>
        <w:rPr>
          <w:rFonts w:ascii="Arial" w:cs="Arial" w:eastAsia="Arial" w:hAnsi="Arial"/>
          <w:sz w:val="18"/>
          <w:szCs w:val="18"/>
          <w:color w:val="231F20"/>
        </w:rPr>
        <w:t>obtaining institutional review board, or IRB, or ethics committees approval to conduct a clinical trial at each prospective site;</w:t>
      </w:r>
    </w:p>
    <w:p>
      <w:pPr>
        <w:spacing w:after="0" w:line="117" w:lineRule="exact"/>
        <w:rPr>
          <w:rFonts w:ascii="Arial" w:cs="Arial" w:eastAsia="Arial" w:hAnsi="Arial"/>
          <w:sz w:val="16"/>
          <w:szCs w:val="16"/>
          <w:color w:val="231F20"/>
        </w:rPr>
      </w:pPr>
    </w:p>
    <w:p>
      <w:pPr>
        <w:ind w:left="1100" w:hanging="363"/>
        <w:spacing w:after="0"/>
        <w:tabs>
          <w:tab w:leader="none" w:pos="1100" w:val="left"/>
        </w:tabs>
        <w:numPr>
          <w:ilvl w:val="0"/>
          <w:numId w:val="29"/>
        </w:numPr>
        <w:rPr>
          <w:rFonts w:ascii="Arial" w:cs="Arial" w:eastAsia="Arial" w:hAnsi="Arial"/>
          <w:sz w:val="16"/>
          <w:szCs w:val="16"/>
          <w:color w:val="231F20"/>
        </w:rPr>
      </w:pPr>
      <w:r>
        <w:rPr>
          <w:rFonts w:ascii="Arial" w:cs="Arial" w:eastAsia="Arial" w:hAnsi="Arial"/>
          <w:sz w:val="18"/>
          <w:szCs w:val="18"/>
          <w:color w:val="231F20"/>
        </w:rPr>
        <w:t>recruiting and enrolling patients and maintaining their participation in clinical trials;</w:t>
      </w:r>
    </w:p>
    <w:p>
      <w:pPr>
        <w:spacing w:after="0" w:line="117" w:lineRule="exact"/>
        <w:rPr>
          <w:rFonts w:ascii="Arial" w:cs="Arial" w:eastAsia="Arial" w:hAnsi="Arial"/>
          <w:sz w:val="16"/>
          <w:szCs w:val="16"/>
          <w:color w:val="231F20"/>
        </w:rPr>
      </w:pPr>
    </w:p>
    <w:p>
      <w:pPr>
        <w:ind w:left="1100" w:hanging="363"/>
        <w:spacing w:after="0"/>
        <w:tabs>
          <w:tab w:leader="none" w:pos="1100" w:val="left"/>
        </w:tabs>
        <w:numPr>
          <w:ilvl w:val="0"/>
          <w:numId w:val="29"/>
        </w:numPr>
        <w:rPr>
          <w:rFonts w:ascii="Arial" w:cs="Arial" w:eastAsia="Arial" w:hAnsi="Arial"/>
          <w:sz w:val="16"/>
          <w:szCs w:val="16"/>
          <w:color w:val="231F20"/>
        </w:rPr>
      </w:pPr>
      <w:r>
        <w:rPr>
          <w:rFonts w:ascii="Arial" w:cs="Arial" w:eastAsia="Arial" w:hAnsi="Arial"/>
          <w:sz w:val="18"/>
          <w:szCs w:val="18"/>
          <w:color w:val="231F20"/>
        </w:rPr>
        <w:t>having clinical sites observe trial protocol or continue to participate in a trial;</w:t>
      </w:r>
    </w:p>
    <w:p>
      <w:pPr>
        <w:spacing w:after="0" w:line="117" w:lineRule="exact"/>
        <w:rPr>
          <w:rFonts w:ascii="Arial" w:cs="Arial" w:eastAsia="Arial" w:hAnsi="Arial"/>
          <w:sz w:val="16"/>
          <w:szCs w:val="16"/>
          <w:color w:val="231F20"/>
        </w:rPr>
      </w:pPr>
    </w:p>
    <w:p>
      <w:pPr>
        <w:ind w:left="1100" w:hanging="363"/>
        <w:spacing w:after="0"/>
        <w:tabs>
          <w:tab w:leader="none" w:pos="1100" w:val="left"/>
        </w:tabs>
        <w:numPr>
          <w:ilvl w:val="0"/>
          <w:numId w:val="29"/>
        </w:numPr>
        <w:rPr>
          <w:rFonts w:ascii="Arial" w:cs="Arial" w:eastAsia="Arial" w:hAnsi="Arial"/>
          <w:sz w:val="16"/>
          <w:szCs w:val="16"/>
          <w:color w:val="231F20"/>
        </w:rPr>
      </w:pPr>
      <w:r>
        <w:rPr>
          <w:rFonts w:ascii="Arial" w:cs="Arial" w:eastAsia="Arial" w:hAnsi="Arial"/>
          <w:sz w:val="18"/>
          <w:szCs w:val="18"/>
          <w:color w:val="231F20"/>
        </w:rPr>
        <w:t>addressing any patient safety concerns that arise during the course of a clinical trial;</w:t>
      </w:r>
    </w:p>
    <w:p>
      <w:pPr>
        <w:spacing w:after="0" w:line="117" w:lineRule="exact"/>
        <w:rPr>
          <w:rFonts w:ascii="Arial" w:cs="Arial" w:eastAsia="Arial" w:hAnsi="Arial"/>
          <w:sz w:val="16"/>
          <w:szCs w:val="16"/>
          <w:color w:val="231F20"/>
        </w:rPr>
      </w:pPr>
    </w:p>
    <w:p>
      <w:pPr>
        <w:ind w:left="1100" w:hanging="363"/>
        <w:spacing w:after="0"/>
        <w:tabs>
          <w:tab w:leader="none" w:pos="1100" w:val="left"/>
        </w:tabs>
        <w:numPr>
          <w:ilvl w:val="0"/>
          <w:numId w:val="29"/>
        </w:numPr>
        <w:rPr>
          <w:rFonts w:ascii="Arial" w:cs="Arial" w:eastAsia="Arial" w:hAnsi="Arial"/>
          <w:sz w:val="16"/>
          <w:szCs w:val="16"/>
          <w:color w:val="231F20"/>
        </w:rPr>
      </w:pPr>
      <w:r>
        <w:rPr>
          <w:rFonts w:ascii="Arial" w:cs="Arial" w:eastAsia="Arial" w:hAnsi="Arial"/>
          <w:sz w:val="18"/>
          <w:szCs w:val="18"/>
          <w:color w:val="231F20"/>
        </w:rPr>
        <w:t>addressing any conflicts with new or existing laws or regulations; and</w:t>
      </w:r>
    </w:p>
    <w:p>
      <w:pPr>
        <w:spacing w:after="0" w:line="117" w:lineRule="exact"/>
        <w:rPr>
          <w:rFonts w:ascii="Arial" w:cs="Arial" w:eastAsia="Arial" w:hAnsi="Arial"/>
          <w:sz w:val="16"/>
          <w:szCs w:val="16"/>
          <w:color w:val="231F20"/>
        </w:rPr>
      </w:pPr>
    </w:p>
    <w:p>
      <w:pPr>
        <w:ind w:left="1100" w:hanging="363"/>
        <w:spacing w:after="0"/>
        <w:tabs>
          <w:tab w:leader="none" w:pos="1100" w:val="left"/>
        </w:tabs>
        <w:numPr>
          <w:ilvl w:val="0"/>
          <w:numId w:val="29"/>
        </w:numPr>
        <w:rPr>
          <w:rFonts w:ascii="Arial" w:cs="Arial" w:eastAsia="Arial" w:hAnsi="Arial"/>
          <w:sz w:val="16"/>
          <w:szCs w:val="16"/>
          <w:color w:val="231F20"/>
        </w:rPr>
      </w:pPr>
      <w:r>
        <w:rPr>
          <w:rFonts w:ascii="Arial" w:cs="Arial" w:eastAsia="Arial" w:hAnsi="Arial"/>
          <w:sz w:val="18"/>
          <w:szCs w:val="18"/>
          <w:color w:val="231F20"/>
        </w:rPr>
        <w:t>adding a sufficient number of clinical trial sites.</w:t>
      </w:r>
    </w:p>
    <w:p>
      <w:pPr>
        <w:spacing w:after="0" w:line="200" w:lineRule="exact"/>
        <w:rPr>
          <w:sz w:val="20"/>
          <w:szCs w:val="20"/>
          <w:color w:val="auto"/>
        </w:rPr>
      </w:pPr>
    </w:p>
    <w:p>
      <w:pPr>
        <w:spacing w:after="0" w:line="26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449" w:right="259" w:bottom="1440" w:gutter="0" w:footer="0" w:header="0"/>
        </w:sectPr>
      </w:pPr>
    </w:p>
    <w:bookmarkStart w:id="34" w:name="page35"/>
    <w:bookmarkEnd w:id="34"/>
    <w:p>
      <w:pPr>
        <w:ind w:right="40"/>
        <w:spacing w:after="0" w:line="270" w:lineRule="auto"/>
        <w:rPr>
          <w:sz w:val="20"/>
          <w:szCs w:val="20"/>
          <w:color w:val="auto"/>
        </w:rPr>
      </w:pPr>
      <w:r>
        <w:rPr>
          <w:rFonts w:ascii="Arial" w:cs="Arial" w:eastAsia="Arial" w:hAnsi="Arial"/>
          <w:sz w:val="17"/>
          <w:szCs w:val="17"/>
          <w:color w:val="231F20"/>
        </w:rPr>
        <w:t>Patient enrollment in clinical trials and completion of patient follow-up depend on many factors, including the size of the patient population, the nature of the trial protocol, the proximity of patients to clinical sites, the eligibility criteria for the clinical trial, patient compliance, competing clinical trials and clinicians’ and patients’ perceptions as to the potential advantages of the product being studied in relation to other available therapies, including any new treatments that may be cleared or approved for the indications we are investigating. For example, patients may be discouraged from enrolling in our clinical trials if the trial protocol requires them to undergo extensive post-treatment procedures or follow-up to assess the safety and efficacy of a product, or they may be persuaded to participate in contemporaneous clinical trials of a competitor’s product. In addition, patients participating in our clinical trials may drop out before completion of the trial or suffer adverse medical events unrelated to our products. Delays in patient enrollment or failure of patients to continue to participate in a clinical trial may delay commencement or completion of the clinical trial, cause an increase in the costs of the clinical trial and delays, or result in the failure of the clinical trial.</w:t>
      </w:r>
    </w:p>
    <w:p>
      <w:pPr>
        <w:spacing w:after="0" w:line="74" w:lineRule="exact"/>
        <w:rPr>
          <w:sz w:val="20"/>
          <w:szCs w:val="20"/>
          <w:color w:val="auto"/>
        </w:rPr>
      </w:pPr>
    </w:p>
    <w:p>
      <w:pPr>
        <w:ind w:right="40"/>
        <w:spacing w:after="0" w:line="254" w:lineRule="auto"/>
        <w:rPr>
          <w:sz w:val="20"/>
          <w:szCs w:val="20"/>
          <w:color w:val="auto"/>
        </w:rPr>
      </w:pPr>
      <w:r>
        <w:rPr>
          <w:rFonts w:ascii="Arial" w:cs="Arial" w:eastAsia="Arial" w:hAnsi="Arial"/>
          <w:sz w:val="18"/>
          <w:szCs w:val="18"/>
          <w:color w:val="231F20"/>
        </w:rPr>
        <w:t>We could also encounter delays if the FDA concluded that our financial relationships with our principal investigators resulted in a perceived or actual conflict of interest that may have affected the interpretation of a study, the integrity of the data generated at the applicable clinical trial site or the utility of the clinical trial itself. Principal investigators for our clinical trials may serve as scientific advisors or consultants to us from time to time and receive cash compensation and/or stock options in connection with such services. If these relationships and any related compensation to or ownership interest by the clinical investigator carrying out the study result in perceived or actual conflicts of interest, or the FDA concludes that the financial relationship may have affected interpretation of the study, the integrity of the data generated at the applicable clinical trial site may be questioned and the utility of the clinical trial itself may be jeopardized, which could result in the delay or rejection of our marketing application by the FDA. Any such delay or rejection could prevent us from commercializing any of our products in development.</w:t>
      </w:r>
    </w:p>
    <w:p>
      <w:pPr>
        <w:spacing w:after="0" w:line="84" w:lineRule="exact"/>
        <w:rPr>
          <w:sz w:val="20"/>
          <w:szCs w:val="20"/>
          <w:color w:val="auto"/>
        </w:rPr>
      </w:pPr>
    </w:p>
    <w:p>
      <w:pPr>
        <w:ind w:right="280"/>
        <w:spacing w:after="0" w:line="264" w:lineRule="auto"/>
        <w:rPr>
          <w:sz w:val="20"/>
          <w:szCs w:val="20"/>
          <w:color w:val="auto"/>
        </w:rPr>
      </w:pPr>
      <w:r>
        <w:rPr>
          <w:rFonts w:ascii="Arial" w:cs="Arial" w:eastAsia="Arial" w:hAnsi="Arial"/>
          <w:sz w:val="18"/>
          <w:szCs w:val="18"/>
          <w:color w:val="231F20"/>
        </w:rPr>
        <w:t>Furthermore, clinical trials may also be delayed as a result of ambiguous or negative interim results. In addition, a clinical trial may be suspended or terminated by us, the FDA, the IRB overseeing the clinical trial at issue, the Data Safety Monitoring Board for such trial, any of our clinical trial sites with respect to that site, or other regulatory authorities due to a number of factors, including:</w:t>
      </w:r>
    </w:p>
    <w:p>
      <w:pPr>
        <w:spacing w:after="0" w:line="73" w:lineRule="exact"/>
        <w:rPr>
          <w:sz w:val="20"/>
          <w:szCs w:val="20"/>
          <w:color w:val="auto"/>
        </w:rPr>
      </w:pPr>
    </w:p>
    <w:p>
      <w:pPr>
        <w:ind w:left="1100" w:hanging="363"/>
        <w:spacing w:after="0"/>
        <w:tabs>
          <w:tab w:leader="none" w:pos="1100" w:val="left"/>
        </w:tabs>
        <w:numPr>
          <w:ilvl w:val="0"/>
          <w:numId w:val="30"/>
        </w:numPr>
        <w:rPr>
          <w:rFonts w:ascii="Arial" w:cs="Arial" w:eastAsia="Arial" w:hAnsi="Arial"/>
          <w:sz w:val="16"/>
          <w:szCs w:val="16"/>
          <w:color w:val="231F20"/>
        </w:rPr>
      </w:pPr>
      <w:r>
        <w:rPr>
          <w:rFonts w:ascii="Arial" w:cs="Arial" w:eastAsia="Arial" w:hAnsi="Arial"/>
          <w:sz w:val="18"/>
          <w:szCs w:val="18"/>
          <w:color w:val="231F20"/>
        </w:rPr>
        <w:t>failure to conduct the clinical trial in accordance with applicable regulatory requirements or our clinical protocols;</w:t>
      </w:r>
    </w:p>
    <w:p>
      <w:pPr>
        <w:spacing w:after="0" w:line="117" w:lineRule="exact"/>
        <w:rPr>
          <w:rFonts w:ascii="Arial" w:cs="Arial" w:eastAsia="Arial" w:hAnsi="Arial"/>
          <w:sz w:val="16"/>
          <w:szCs w:val="16"/>
          <w:color w:val="231F20"/>
        </w:rPr>
      </w:pPr>
    </w:p>
    <w:p>
      <w:pPr>
        <w:ind w:left="1100" w:hanging="363"/>
        <w:spacing w:after="0"/>
        <w:tabs>
          <w:tab w:leader="none" w:pos="1100" w:val="left"/>
        </w:tabs>
        <w:numPr>
          <w:ilvl w:val="0"/>
          <w:numId w:val="30"/>
        </w:numPr>
        <w:rPr>
          <w:rFonts w:ascii="Arial" w:cs="Arial" w:eastAsia="Arial" w:hAnsi="Arial"/>
          <w:sz w:val="15"/>
          <w:szCs w:val="15"/>
          <w:color w:val="231F20"/>
        </w:rPr>
      </w:pPr>
      <w:r>
        <w:rPr>
          <w:rFonts w:ascii="Arial" w:cs="Arial" w:eastAsia="Arial" w:hAnsi="Arial"/>
          <w:sz w:val="17"/>
          <w:szCs w:val="17"/>
          <w:color w:val="231F20"/>
        </w:rPr>
        <w:t>inspection of the clinical trial operations or trial sites by the FDA or other regulatory authorities resulting in the imposition of a clinical hold;</w:t>
      </w:r>
    </w:p>
    <w:p>
      <w:pPr>
        <w:spacing w:after="0" w:line="128" w:lineRule="exact"/>
        <w:rPr>
          <w:rFonts w:ascii="Arial" w:cs="Arial" w:eastAsia="Arial" w:hAnsi="Arial"/>
          <w:sz w:val="15"/>
          <w:szCs w:val="15"/>
          <w:color w:val="231F20"/>
        </w:rPr>
      </w:pPr>
    </w:p>
    <w:p>
      <w:pPr>
        <w:ind w:left="1100" w:hanging="363"/>
        <w:spacing w:after="0"/>
        <w:tabs>
          <w:tab w:leader="none" w:pos="1100" w:val="left"/>
        </w:tabs>
        <w:numPr>
          <w:ilvl w:val="0"/>
          <w:numId w:val="30"/>
        </w:numPr>
        <w:rPr>
          <w:rFonts w:ascii="Arial" w:cs="Arial" w:eastAsia="Arial" w:hAnsi="Arial"/>
          <w:sz w:val="16"/>
          <w:szCs w:val="16"/>
          <w:color w:val="231F20"/>
        </w:rPr>
      </w:pPr>
      <w:r>
        <w:rPr>
          <w:rFonts w:ascii="Arial" w:cs="Arial" w:eastAsia="Arial" w:hAnsi="Arial"/>
          <w:sz w:val="18"/>
          <w:szCs w:val="18"/>
          <w:color w:val="231F20"/>
        </w:rPr>
        <w:t>inability of a clinical investigator or clinical trial site to continue to participate in the clinical trial;</w:t>
      </w:r>
    </w:p>
    <w:p>
      <w:pPr>
        <w:spacing w:after="0" w:line="117" w:lineRule="exact"/>
        <w:rPr>
          <w:rFonts w:ascii="Arial" w:cs="Arial" w:eastAsia="Arial" w:hAnsi="Arial"/>
          <w:sz w:val="16"/>
          <w:szCs w:val="16"/>
          <w:color w:val="231F20"/>
        </w:rPr>
      </w:pPr>
    </w:p>
    <w:p>
      <w:pPr>
        <w:ind w:left="1100" w:hanging="363"/>
        <w:spacing w:after="0"/>
        <w:tabs>
          <w:tab w:leader="none" w:pos="1100" w:val="left"/>
        </w:tabs>
        <w:numPr>
          <w:ilvl w:val="0"/>
          <w:numId w:val="30"/>
        </w:numPr>
        <w:rPr>
          <w:rFonts w:ascii="Arial" w:cs="Arial" w:eastAsia="Arial" w:hAnsi="Arial"/>
          <w:sz w:val="16"/>
          <w:szCs w:val="16"/>
          <w:color w:val="231F20"/>
        </w:rPr>
      </w:pPr>
      <w:r>
        <w:rPr>
          <w:rFonts w:ascii="Arial" w:cs="Arial" w:eastAsia="Arial" w:hAnsi="Arial"/>
          <w:sz w:val="18"/>
          <w:szCs w:val="18"/>
          <w:color w:val="231F20"/>
        </w:rPr>
        <w:t>unforeseen safety issues or adverse side effects;</w:t>
      </w:r>
    </w:p>
    <w:p>
      <w:pPr>
        <w:spacing w:after="0" w:line="117" w:lineRule="exact"/>
        <w:rPr>
          <w:rFonts w:ascii="Arial" w:cs="Arial" w:eastAsia="Arial" w:hAnsi="Arial"/>
          <w:sz w:val="16"/>
          <w:szCs w:val="16"/>
          <w:color w:val="231F20"/>
        </w:rPr>
      </w:pPr>
    </w:p>
    <w:p>
      <w:pPr>
        <w:ind w:left="1100" w:hanging="363"/>
        <w:spacing w:after="0"/>
        <w:tabs>
          <w:tab w:leader="none" w:pos="1100" w:val="left"/>
        </w:tabs>
        <w:numPr>
          <w:ilvl w:val="0"/>
          <w:numId w:val="30"/>
        </w:numPr>
        <w:rPr>
          <w:rFonts w:ascii="Arial" w:cs="Arial" w:eastAsia="Arial" w:hAnsi="Arial"/>
          <w:sz w:val="16"/>
          <w:szCs w:val="16"/>
          <w:color w:val="231F20"/>
        </w:rPr>
      </w:pPr>
      <w:r>
        <w:rPr>
          <w:rFonts w:ascii="Arial" w:cs="Arial" w:eastAsia="Arial" w:hAnsi="Arial"/>
          <w:sz w:val="18"/>
          <w:szCs w:val="18"/>
          <w:color w:val="231F20"/>
        </w:rPr>
        <w:t>failure to demonstrate a benefit from using the product; and</w:t>
      </w:r>
    </w:p>
    <w:p>
      <w:pPr>
        <w:spacing w:after="0" w:line="117" w:lineRule="exact"/>
        <w:rPr>
          <w:rFonts w:ascii="Arial" w:cs="Arial" w:eastAsia="Arial" w:hAnsi="Arial"/>
          <w:sz w:val="16"/>
          <w:szCs w:val="16"/>
          <w:color w:val="231F20"/>
        </w:rPr>
      </w:pPr>
    </w:p>
    <w:p>
      <w:pPr>
        <w:ind w:left="1100" w:hanging="363"/>
        <w:spacing w:after="0"/>
        <w:tabs>
          <w:tab w:leader="none" w:pos="1100" w:val="left"/>
        </w:tabs>
        <w:numPr>
          <w:ilvl w:val="0"/>
          <w:numId w:val="30"/>
        </w:numPr>
        <w:rPr>
          <w:rFonts w:ascii="Arial" w:cs="Arial" w:eastAsia="Arial" w:hAnsi="Arial"/>
          <w:sz w:val="16"/>
          <w:szCs w:val="16"/>
          <w:color w:val="231F20"/>
        </w:rPr>
      </w:pPr>
      <w:r>
        <w:rPr>
          <w:rFonts w:ascii="Arial" w:cs="Arial" w:eastAsia="Arial" w:hAnsi="Arial"/>
          <w:sz w:val="18"/>
          <w:szCs w:val="18"/>
          <w:color w:val="231F20"/>
        </w:rPr>
        <w:t>lack of adequate funding to continue the clinical trial.</w:t>
      </w:r>
    </w:p>
    <w:p>
      <w:pPr>
        <w:spacing w:after="0" w:line="117" w:lineRule="exact"/>
        <w:rPr>
          <w:sz w:val="20"/>
          <w:szCs w:val="20"/>
          <w:color w:val="auto"/>
        </w:rPr>
      </w:pPr>
    </w:p>
    <w:p>
      <w:pPr>
        <w:spacing w:after="0" w:line="254" w:lineRule="auto"/>
        <w:rPr>
          <w:sz w:val="20"/>
          <w:szCs w:val="20"/>
          <w:color w:val="auto"/>
        </w:rPr>
      </w:pPr>
      <w:r>
        <w:rPr>
          <w:rFonts w:ascii="Arial" w:cs="Arial" w:eastAsia="Arial" w:hAnsi="Arial"/>
          <w:sz w:val="18"/>
          <w:szCs w:val="18"/>
          <w:color w:val="231F20"/>
        </w:rPr>
        <w:t>Additionally, changes in regulatory requirements and guidance may occur and we may need to amend clinical trial protocols to reflect these changes. Amendments may require us to resubmit our clinical trial protocols to IRBs for reexamination, which may impact the costs, timing or successful completion of a clinical trial. If we experience delays in completion of, or if we terminate, any of our clinical trials, the commercial prospects for our products may be harmed and our ability to generate product revenue from these products will be delayed or not realized at all. In addition, any delays in completing our clinical trials will increase our costs, slow down our product development and approval process and jeopardize our ability to commence product sales and generate revenue. Any of these occurrences may significantly harm our business, financial condition and prospects significantly. In addition, many of the factors that cause, or lead to, a delay in the commencement or completion of a clinical trial may also ultimately lead to the denial of regulatory approval of the subject product.</w:t>
      </w:r>
    </w:p>
    <w:p>
      <w:pPr>
        <w:spacing w:after="0" w:line="125" w:lineRule="exact"/>
        <w:rPr>
          <w:sz w:val="20"/>
          <w:szCs w:val="20"/>
          <w:color w:val="auto"/>
        </w:rPr>
      </w:pPr>
    </w:p>
    <w:p>
      <w:pPr>
        <w:ind w:right="580"/>
        <w:spacing w:after="0" w:line="277" w:lineRule="auto"/>
        <w:rPr>
          <w:sz w:val="20"/>
          <w:szCs w:val="20"/>
          <w:color w:val="auto"/>
        </w:rPr>
      </w:pPr>
      <w:r>
        <w:rPr>
          <w:rFonts w:ascii="Arial" w:cs="Arial" w:eastAsia="Arial" w:hAnsi="Arial"/>
          <w:sz w:val="18"/>
          <w:szCs w:val="18"/>
          <w:b w:val="1"/>
          <w:bCs w:val="1"/>
          <w:i w:val="1"/>
          <w:iCs w:val="1"/>
          <w:color w:val="231F20"/>
        </w:rPr>
        <w:t>Our business could be adversely affected if we are unable to extend the cleared uses of the ARTAS System or successfully pursue the development, regulatory clearance or approval and commercialization of future products.</w:t>
      </w:r>
    </w:p>
    <w:p>
      <w:pPr>
        <w:spacing w:after="0" w:line="62" w:lineRule="exact"/>
        <w:rPr>
          <w:sz w:val="20"/>
          <w:szCs w:val="20"/>
          <w:color w:val="auto"/>
        </w:rPr>
      </w:pPr>
    </w:p>
    <w:p>
      <w:pPr>
        <w:spacing w:after="0" w:line="286" w:lineRule="auto"/>
        <w:rPr>
          <w:sz w:val="20"/>
          <w:szCs w:val="20"/>
          <w:color w:val="auto"/>
        </w:rPr>
      </w:pPr>
      <w:r>
        <w:rPr>
          <w:rFonts w:ascii="Arial" w:cs="Arial" w:eastAsia="Arial" w:hAnsi="Arial"/>
          <w:sz w:val="17"/>
          <w:szCs w:val="17"/>
          <w:color w:val="231F20"/>
        </w:rPr>
        <w:t>Our only product is the ARTAS System for hair follicle dissection, which has been cleared for use in the U.S. only for dissecting hair follicles from the scalp in men diagnosed with AGA who have black or brown straight hair and recipient site making in which hair follicles are transplanted. The robotic implantation functionality, which we recently submitted a 510(K) application for, is currently in clinical development has not been cleared or approved</w:t>
      </w:r>
    </w:p>
    <w:p>
      <w:pPr>
        <w:spacing w:after="0" w:line="200" w:lineRule="exact"/>
        <w:rPr>
          <w:sz w:val="20"/>
          <w:szCs w:val="20"/>
          <w:color w:val="auto"/>
        </w:rPr>
      </w:pPr>
    </w:p>
    <w:p>
      <w:pPr>
        <w:spacing w:after="0" w:line="20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449" w:right="239" w:bottom="1440" w:gutter="0" w:footer="0" w:header="0"/>
        </w:sectPr>
      </w:pPr>
    </w:p>
    <w:bookmarkStart w:id="35" w:name="page36"/>
    <w:bookmarkEnd w:id="35"/>
    <w:p>
      <w:pPr>
        <w:ind w:right="500"/>
        <w:spacing w:after="0" w:line="259" w:lineRule="auto"/>
        <w:rPr>
          <w:sz w:val="20"/>
          <w:szCs w:val="20"/>
          <w:color w:val="auto"/>
        </w:rPr>
      </w:pPr>
      <w:r>
        <w:rPr>
          <w:rFonts w:ascii="Arial" w:cs="Arial" w:eastAsia="Arial" w:hAnsi="Arial"/>
          <w:sz w:val="18"/>
          <w:szCs w:val="18"/>
          <w:color w:val="231F20"/>
        </w:rPr>
        <w:t>for commercial marketing in the U.S. Our business could be adversely affected if we are unable to extend the cleared uses of the ARTAS System or successfully pursue the development, regulatory clearance or approval and commercialization of future products. In the future, we may also become dependent on other products that we may develop or acquire. The clinical and commercial success of our products will depend on a number of factors, including the following:</w:t>
      </w:r>
    </w:p>
    <w:p>
      <w:pPr>
        <w:spacing w:after="0" w:line="79" w:lineRule="exact"/>
        <w:rPr>
          <w:sz w:val="20"/>
          <w:szCs w:val="20"/>
          <w:color w:val="auto"/>
        </w:rPr>
      </w:pPr>
    </w:p>
    <w:p>
      <w:pPr>
        <w:ind w:left="1100" w:hanging="363"/>
        <w:spacing w:after="0"/>
        <w:tabs>
          <w:tab w:leader="none" w:pos="1100" w:val="left"/>
        </w:tabs>
        <w:numPr>
          <w:ilvl w:val="0"/>
          <w:numId w:val="31"/>
        </w:numPr>
        <w:rPr>
          <w:rFonts w:ascii="Arial" w:cs="Arial" w:eastAsia="Arial" w:hAnsi="Arial"/>
          <w:sz w:val="16"/>
          <w:szCs w:val="16"/>
          <w:color w:val="231F20"/>
        </w:rPr>
      </w:pPr>
      <w:r>
        <w:rPr>
          <w:rFonts w:ascii="Arial" w:cs="Arial" w:eastAsia="Arial" w:hAnsi="Arial"/>
          <w:sz w:val="18"/>
          <w:szCs w:val="18"/>
          <w:color w:val="231F20"/>
        </w:rPr>
        <w:t>the ability to raise any additional required capital on acceptable terms, or at all;</w:t>
      </w:r>
    </w:p>
    <w:p>
      <w:pPr>
        <w:spacing w:after="0" w:line="117" w:lineRule="exact"/>
        <w:rPr>
          <w:rFonts w:ascii="Arial" w:cs="Arial" w:eastAsia="Arial" w:hAnsi="Arial"/>
          <w:sz w:val="16"/>
          <w:szCs w:val="16"/>
          <w:color w:val="231F20"/>
        </w:rPr>
      </w:pPr>
    </w:p>
    <w:p>
      <w:pPr>
        <w:ind w:left="1100" w:right="280" w:hanging="363"/>
        <w:spacing w:after="0" w:line="277" w:lineRule="auto"/>
        <w:tabs>
          <w:tab w:leader="none" w:pos="1100" w:val="left"/>
        </w:tabs>
        <w:numPr>
          <w:ilvl w:val="0"/>
          <w:numId w:val="31"/>
        </w:numPr>
        <w:rPr>
          <w:rFonts w:ascii="Arial" w:cs="Arial" w:eastAsia="Arial" w:hAnsi="Arial"/>
          <w:sz w:val="16"/>
          <w:szCs w:val="16"/>
          <w:color w:val="231F20"/>
        </w:rPr>
      </w:pPr>
      <w:r>
        <w:rPr>
          <w:rFonts w:ascii="Arial" w:cs="Arial" w:eastAsia="Arial" w:hAnsi="Arial"/>
          <w:sz w:val="18"/>
          <w:szCs w:val="18"/>
          <w:color w:val="231F20"/>
        </w:rPr>
        <w:t>timely completion of our nonclinical studies and clinical trials, which may be significantly slower or cost more than we anticipate and will depend substantially upon the performance of third-party contractors;</w:t>
      </w:r>
    </w:p>
    <w:p>
      <w:pPr>
        <w:spacing w:after="0" w:line="62" w:lineRule="exact"/>
        <w:rPr>
          <w:rFonts w:ascii="Arial" w:cs="Arial" w:eastAsia="Arial" w:hAnsi="Arial"/>
          <w:sz w:val="16"/>
          <w:szCs w:val="16"/>
          <w:color w:val="231F20"/>
        </w:rPr>
      </w:pPr>
    </w:p>
    <w:p>
      <w:pPr>
        <w:ind w:left="1100" w:right="160" w:hanging="363"/>
        <w:spacing w:after="0" w:line="277" w:lineRule="auto"/>
        <w:tabs>
          <w:tab w:leader="none" w:pos="1100" w:val="left"/>
        </w:tabs>
        <w:numPr>
          <w:ilvl w:val="0"/>
          <w:numId w:val="31"/>
        </w:numPr>
        <w:rPr>
          <w:rFonts w:ascii="Arial" w:cs="Arial" w:eastAsia="Arial" w:hAnsi="Arial"/>
          <w:sz w:val="16"/>
          <w:szCs w:val="16"/>
          <w:color w:val="231F20"/>
        </w:rPr>
      </w:pPr>
      <w:r>
        <w:rPr>
          <w:rFonts w:ascii="Arial" w:cs="Arial" w:eastAsia="Arial" w:hAnsi="Arial"/>
          <w:sz w:val="18"/>
          <w:szCs w:val="18"/>
          <w:color w:val="231F20"/>
        </w:rPr>
        <w:t>whether we are required by the FDA or similar foreign regulatory agencies to conduct additional clinical trials or other studies beyond those planned to support the clearance or approval and commercialization of any future indications or products;</w:t>
      </w:r>
    </w:p>
    <w:p>
      <w:pPr>
        <w:spacing w:after="0" w:line="62" w:lineRule="exact"/>
        <w:rPr>
          <w:rFonts w:ascii="Arial" w:cs="Arial" w:eastAsia="Arial" w:hAnsi="Arial"/>
          <w:sz w:val="16"/>
          <w:szCs w:val="16"/>
          <w:color w:val="231F20"/>
        </w:rPr>
      </w:pPr>
    </w:p>
    <w:p>
      <w:pPr>
        <w:ind w:left="1100" w:right="200" w:hanging="363"/>
        <w:spacing w:after="0" w:line="277" w:lineRule="auto"/>
        <w:tabs>
          <w:tab w:leader="none" w:pos="1100" w:val="left"/>
        </w:tabs>
        <w:numPr>
          <w:ilvl w:val="0"/>
          <w:numId w:val="31"/>
        </w:numPr>
        <w:rPr>
          <w:rFonts w:ascii="Arial" w:cs="Arial" w:eastAsia="Arial" w:hAnsi="Arial"/>
          <w:sz w:val="16"/>
          <w:szCs w:val="16"/>
          <w:color w:val="231F20"/>
        </w:rPr>
      </w:pPr>
      <w:r>
        <w:rPr>
          <w:rFonts w:ascii="Arial" w:cs="Arial" w:eastAsia="Arial" w:hAnsi="Arial"/>
          <w:sz w:val="18"/>
          <w:szCs w:val="18"/>
          <w:color w:val="231F20"/>
        </w:rPr>
        <w:t>our ability to demonstrate to the satisfaction of the FDA and similar foreign regulatory authorities the safety, efficacy and acceptable risk to benefit profile of any future indications or products;</w:t>
      </w:r>
    </w:p>
    <w:p>
      <w:pPr>
        <w:spacing w:after="0" w:line="62" w:lineRule="exact"/>
        <w:rPr>
          <w:rFonts w:ascii="Arial" w:cs="Arial" w:eastAsia="Arial" w:hAnsi="Arial"/>
          <w:sz w:val="16"/>
          <w:szCs w:val="16"/>
          <w:color w:val="231F20"/>
        </w:rPr>
      </w:pPr>
    </w:p>
    <w:p>
      <w:pPr>
        <w:ind w:left="1100" w:hanging="363"/>
        <w:spacing w:after="0"/>
        <w:tabs>
          <w:tab w:leader="none" w:pos="1100" w:val="left"/>
        </w:tabs>
        <w:numPr>
          <w:ilvl w:val="0"/>
          <w:numId w:val="31"/>
        </w:numPr>
        <w:rPr>
          <w:rFonts w:ascii="Arial" w:cs="Arial" w:eastAsia="Arial" w:hAnsi="Arial"/>
          <w:sz w:val="14"/>
          <w:szCs w:val="14"/>
          <w:color w:val="231F20"/>
        </w:rPr>
      </w:pPr>
      <w:r>
        <w:rPr>
          <w:rFonts w:ascii="Arial" w:cs="Arial" w:eastAsia="Arial" w:hAnsi="Arial"/>
          <w:sz w:val="16"/>
          <w:szCs w:val="16"/>
          <w:color w:val="231F20"/>
        </w:rPr>
        <w:t>the prevalence, duration and severity of potential side effects or other safety issues experienced with our future approved products, if any;</w:t>
      </w:r>
    </w:p>
    <w:p>
      <w:pPr>
        <w:spacing w:after="0" w:line="140" w:lineRule="exact"/>
        <w:rPr>
          <w:rFonts w:ascii="Arial" w:cs="Arial" w:eastAsia="Arial" w:hAnsi="Arial"/>
          <w:sz w:val="14"/>
          <w:szCs w:val="14"/>
          <w:color w:val="231F20"/>
        </w:rPr>
      </w:pPr>
    </w:p>
    <w:p>
      <w:pPr>
        <w:ind w:left="1100" w:hanging="363"/>
        <w:spacing w:after="0"/>
        <w:tabs>
          <w:tab w:leader="none" w:pos="1100" w:val="left"/>
        </w:tabs>
        <w:numPr>
          <w:ilvl w:val="0"/>
          <w:numId w:val="31"/>
        </w:numPr>
        <w:rPr>
          <w:rFonts w:ascii="Arial" w:cs="Arial" w:eastAsia="Arial" w:hAnsi="Arial"/>
          <w:sz w:val="16"/>
          <w:szCs w:val="16"/>
          <w:color w:val="231F20"/>
        </w:rPr>
      </w:pPr>
      <w:r>
        <w:rPr>
          <w:rFonts w:ascii="Arial" w:cs="Arial" w:eastAsia="Arial" w:hAnsi="Arial"/>
          <w:sz w:val="18"/>
          <w:szCs w:val="18"/>
          <w:color w:val="231F20"/>
        </w:rPr>
        <w:t>the timely receipt of necessary marketing approvals or clearances from the FDA and foreign regulatory authorities;</w:t>
      </w:r>
    </w:p>
    <w:p>
      <w:pPr>
        <w:spacing w:after="0" w:line="117" w:lineRule="exact"/>
        <w:rPr>
          <w:rFonts w:ascii="Arial" w:cs="Arial" w:eastAsia="Arial" w:hAnsi="Arial"/>
          <w:sz w:val="16"/>
          <w:szCs w:val="16"/>
          <w:color w:val="231F20"/>
        </w:rPr>
      </w:pPr>
    </w:p>
    <w:p>
      <w:pPr>
        <w:ind w:left="1100" w:right="460" w:hanging="363"/>
        <w:spacing w:after="0" w:line="342" w:lineRule="auto"/>
        <w:tabs>
          <w:tab w:leader="none" w:pos="1100" w:val="left"/>
        </w:tabs>
        <w:numPr>
          <w:ilvl w:val="0"/>
          <w:numId w:val="31"/>
        </w:numPr>
        <w:rPr>
          <w:rFonts w:ascii="Arial" w:cs="Arial" w:eastAsia="Arial" w:hAnsi="Arial"/>
          <w:sz w:val="14"/>
          <w:szCs w:val="14"/>
          <w:color w:val="231F20"/>
        </w:rPr>
      </w:pPr>
      <w:r>
        <w:rPr>
          <w:rFonts w:ascii="Arial" w:cs="Arial" w:eastAsia="Arial" w:hAnsi="Arial"/>
          <w:sz w:val="16"/>
          <w:szCs w:val="16"/>
          <w:color w:val="231F20"/>
        </w:rPr>
        <w:t>achieving and maintaining, and, where applicable, ensuring that our third-party contractors achieve and maintain, compliance with our contractual obligations and with all regulatory requirements applicable to any future products or additional approved indications, if any;</w:t>
      </w:r>
    </w:p>
    <w:p>
      <w:pPr>
        <w:spacing w:after="0" w:line="15" w:lineRule="exact"/>
        <w:rPr>
          <w:rFonts w:ascii="Arial" w:cs="Arial" w:eastAsia="Arial" w:hAnsi="Arial"/>
          <w:sz w:val="14"/>
          <w:szCs w:val="14"/>
          <w:color w:val="231F20"/>
        </w:rPr>
      </w:pPr>
    </w:p>
    <w:p>
      <w:pPr>
        <w:ind w:left="1100" w:right="140" w:hanging="363"/>
        <w:spacing w:after="0" w:line="277" w:lineRule="auto"/>
        <w:tabs>
          <w:tab w:leader="none" w:pos="1100" w:val="left"/>
        </w:tabs>
        <w:numPr>
          <w:ilvl w:val="0"/>
          <w:numId w:val="31"/>
        </w:numPr>
        <w:rPr>
          <w:rFonts w:ascii="Arial" w:cs="Arial" w:eastAsia="Arial" w:hAnsi="Arial"/>
          <w:sz w:val="16"/>
          <w:szCs w:val="16"/>
          <w:color w:val="231F20"/>
        </w:rPr>
      </w:pPr>
      <w:r>
        <w:rPr>
          <w:rFonts w:ascii="Arial" w:cs="Arial" w:eastAsia="Arial" w:hAnsi="Arial"/>
          <w:sz w:val="18"/>
          <w:szCs w:val="18"/>
          <w:color w:val="231F20"/>
        </w:rPr>
        <w:t>acceptance by physicians and patients of the benefits, safety and efficacy of any future products, if approved or cleared, including relative to alternative and competing treatments;</w:t>
      </w:r>
    </w:p>
    <w:p>
      <w:pPr>
        <w:spacing w:after="0" w:line="62" w:lineRule="exact"/>
        <w:rPr>
          <w:rFonts w:ascii="Arial" w:cs="Arial" w:eastAsia="Arial" w:hAnsi="Arial"/>
          <w:sz w:val="16"/>
          <w:szCs w:val="16"/>
          <w:color w:val="231F20"/>
        </w:rPr>
      </w:pPr>
    </w:p>
    <w:p>
      <w:pPr>
        <w:ind w:left="1100" w:hanging="363"/>
        <w:spacing w:after="0"/>
        <w:tabs>
          <w:tab w:leader="none" w:pos="1100" w:val="left"/>
        </w:tabs>
        <w:numPr>
          <w:ilvl w:val="0"/>
          <w:numId w:val="31"/>
        </w:numPr>
        <w:rPr>
          <w:rFonts w:ascii="Arial" w:cs="Arial" w:eastAsia="Arial" w:hAnsi="Arial"/>
          <w:sz w:val="16"/>
          <w:szCs w:val="16"/>
          <w:color w:val="231F20"/>
        </w:rPr>
      </w:pPr>
      <w:r>
        <w:rPr>
          <w:rFonts w:ascii="Arial" w:cs="Arial" w:eastAsia="Arial" w:hAnsi="Arial"/>
          <w:sz w:val="18"/>
          <w:szCs w:val="18"/>
          <w:color w:val="231F20"/>
        </w:rPr>
        <w:t>our ability to establish and enforce intellectual property rights in and to our products or any future indications or products; and</w:t>
      </w:r>
    </w:p>
    <w:p>
      <w:pPr>
        <w:spacing w:after="0" w:line="117" w:lineRule="exact"/>
        <w:rPr>
          <w:rFonts w:ascii="Arial" w:cs="Arial" w:eastAsia="Arial" w:hAnsi="Arial"/>
          <w:sz w:val="16"/>
          <w:szCs w:val="16"/>
          <w:color w:val="231F20"/>
        </w:rPr>
      </w:pPr>
    </w:p>
    <w:p>
      <w:pPr>
        <w:ind w:left="1100" w:hanging="363"/>
        <w:spacing w:after="0"/>
        <w:tabs>
          <w:tab w:leader="none" w:pos="1100" w:val="left"/>
        </w:tabs>
        <w:numPr>
          <w:ilvl w:val="0"/>
          <w:numId w:val="31"/>
        </w:numPr>
        <w:rPr>
          <w:rFonts w:ascii="Arial" w:cs="Arial" w:eastAsia="Arial" w:hAnsi="Arial"/>
          <w:sz w:val="16"/>
          <w:szCs w:val="16"/>
          <w:color w:val="231F20"/>
        </w:rPr>
      </w:pPr>
      <w:r>
        <w:rPr>
          <w:rFonts w:ascii="Arial" w:cs="Arial" w:eastAsia="Arial" w:hAnsi="Arial"/>
          <w:sz w:val="18"/>
          <w:szCs w:val="18"/>
          <w:color w:val="231F20"/>
        </w:rPr>
        <w:t>our ability to avoid third-party patent interference, intellectual property challenges or intellectual property infringement claims.</w:t>
      </w:r>
    </w:p>
    <w:p>
      <w:pPr>
        <w:spacing w:after="0" w:line="117" w:lineRule="exact"/>
        <w:rPr>
          <w:sz w:val="20"/>
          <w:szCs w:val="20"/>
          <w:color w:val="auto"/>
        </w:rPr>
      </w:pPr>
    </w:p>
    <w:p>
      <w:pPr>
        <w:jc w:val="both"/>
        <w:spacing w:after="0" w:line="342" w:lineRule="auto"/>
        <w:rPr>
          <w:sz w:val="20"/>
          <w:szCs w:val="20"/>
          <w:color w:val="auto"/>
        </w:rPr>
      </w:pPr>
      <w:r>
        <w:rPr>
          <w:rFonts w:ascii="Arial" w:cs="Arial" w:eastAsia="Arial" w:hAnsi="Arial"/>
          <w:sz w:val="16"/>
          <w:szCs w:val="16"/>
          <w:color w:val="231F20"/>
        </w:rPr>
        <w:t>Even if regulatory approvals or clearances are obtained, we may never be able to successfully commercialize any future indications or products. Accordingly, we cannot provide assurances that we will be able to generate sufficient revenue through the sale of any future products to continue our business.</w:t>
      </w:r>
    </w:p>
    <w:p>
      <w:pPr>
        <w:spacing w:after="0" w:line="5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231F20"/>
        </w:rPr>
        <w:t>Our loan agreement contains restrictions that limit our flexibility in operating our business.</w:t>
      </w:r>
    </w:p>
    <w:p>
      <w:pPr>
        <w:spacing w:after="0" w:line="117" w:lineRule="exact"/>
        <w:rPr>
          <w:sz w:val="20"/>
          <w:szCs w:val="20"/>
          <w:color w:val="auto"/>
        </w:rPr>
      </w:pPr>
    </w:p>
    <w:p>
      <w:pPr>
        <w:jc w:val="both"/>
        <w:ind w:right="20"/>
        <w:spacing w:after="0" w:line="264" w:lineRule="auto"/>
        <w:rPr>
          <w:sz w:val="20"/>
          <w:szCs w:val="20"/>
          <w:color w:val="auto"/>
        </w:rPr>
      </w:pPr>
      <w:r>
        <w:rPr>
          <w:rFonts w:ascii="Arial" w:cs="Arial" w:eastAsia="Arial" w:hAnsi="Arial"/>
          <w:sz w:val="18"/>
          <w:szCs w:val="18"/>
          <w:color w:val="231F20"/>
        </w:rPr>
        <w:t>In May 2015, we entered into a term loan agreement with Oxford. We borrowed $20 million under the loan agreement with Oxford. Our loan agreement with Oxford also contains various covenants that limit our ability to engage in specified types of transactions. Subject to limited exceptions, these covenants limit our ability, without Oxford’s consent, to, among other things:</w:t>
      </w:r>
    </w:p>
    <w:p>
      <w:pPr>
        <w:spacing w:after="0" w:line="73" w:lineRule="exact"/>
        <w:rPr>
          <w:sz w:val="20"/>
          <w:szCs w:val="20"/>
          <w:color w:val="auto"/>
        </w:rPr>
      </w:pPr>
    </w:p>
    <w:p>
      <w:pPr>
        <w:ind w:left="1100" w:hanging="363"/>
        <w:spacing w:after="0"/>
        <w:tabs>
          <w:tab w:leader="none" w:pos="1100" w:val="left"/>
        </w:tabs>
        <w:numPr>
          <w:ilvl w:val="0"/>
          <w:numId w:val="32"/>
        </w:numPr>
        <w:rPr>
          <w:rFonts w:ascii="Arial" w:cs="Arial" w:eastAsia="Arial" w:hAnsi="Arial"/>
          <w:sz w:val="16"/>
          <w:szCs w:val="16"/>
          <w:color w:val="231F20"/>
        </w:rPr>
      </w:pPr>
      <w:r>
        <w:rPr>
          <w:rFonts w:ascii="Arial" w:cs="Arial" w:eastAsia="Arial" w:hAnsi="Arial"/>
          <w:sz w:val="18"/>
          <w:szCs w:val="18"/>
          <w:color w:val="231F20"/>
        </w:rPr>
        <w:t>sell, lease, transfer, exclusively license or dispose of our assets;</w:t>
      </w:r>
    </w:p>
    <w:p>
      <w:pPr>
        <w:spacing w:after="0" w:line="117" w:lineRule="exact"/>
        <w:rPr>
          <w:rFonts w:ascii="Arial" w:cs="Arial" w:eastAsia="Arial" w:hAnsi="Arial"/>
          <w:sz w:val="16"/>
          <w:szCs w:val="16"/>
          <w:color w:val="231F20"/>
        </w:rPr>
      </w:pPr>
    </w:p>
    <w:p>
      <w:pPr>
        <w:ind w:left="1100" w:hanging="363"/>
        <w:spacing w:after="0"/>
        <w:tabs>
          <w:tab w:leader="none" w:pos="1100" w:val="left"/>
        </w:tabs>
        <w:numPr>
          <w:ilvl w:val="0"/>
          <w:numId w:val="32"/>
        </w:numPr>
        <w:rPr>
          <w:rFonts w:ascii="Arial" w:cs="Arial" w:eastAsia="Arial" w:hAnsi="Arial"/>
          <w:sz w:val="16"/>
          <w:szCs w:val="16"/>
          <w:color w:val="231F20"/>
        </w:rPr>
      </w:pPr>
      <w:r>
        <w:rPr>
          <w:rFonts w:ascii="Arial" w:cs="Arial" w:eastAsia="Arial" w:hAnsi="Arial"/>
          <w:sz w:val="18"/>
          <w:szCs w:val="18"/>
          <w:color w:val="231F20"/>
        </w:rPr>
        <w:t>create, incur, assume or permit to exist additional indebtedness or liens;</w:t>
      </w:r>
    </w:p>
    <w:p>
      <w:pPr>
        <w:spacing w:after="0" w:line="117" w:lineRule="exact"/>
        <w:rPr>
          <w:rFonts w:ascii="Arial" w:cs="Arial" w:eastAsia="Arial" w:hAnsi="Arial"/>
          <w:sz w:val="16"/>
          <w:szCs w:val="16"/>
          <w:color w:val="231F20"/>
        </w:rPr>
      </w:pPr>
    </w:p>
    <w:p>
      <w:pPr>
        <w:ind w:left="1100" w:hanging="363"/>
        <w:spacing w:after="0"/>
        <w:tabs>
          <w:tab w:leader="none" w:pos="1100" w:val="left"/>
        </w:tabs>
        <w:numPr>
          <w:ilvl w:val="0"/>
          <w:numId w:val="32"/>
        </w:numPr>
        <w:rPr>
          <w:rFonts w:ascii="Arial" w:cs="Arial" w:eastAsia="Arial" w:hAnsi="Arial"/>
          <w:sz w:val="16"/>
          <w:szCs w:val="16"/>
          <w:color w:val="231F20"/>
        </w:rPr>
      </w:pPr>
      <w:r>
        <w:rPr>
          <w:rFonts w:ascii="Arial" w:cs="Arial" w:eastAsia="Arial" w:hAnsi="Arial"/>
          <w:sz w:val="18"/>
          <w:szCs w:val="18"/>
          <w:color w:val="231F20"/>
        </w:rPr>
        <w:t>make restricted payments, including paying dividends on, repurchasing or making distributions with respect to our capital stock;</w:t>
      </w:r>
    </w:p>
    <w:p>
      <w:pPr>
        <w:spacing w:after="0" w:line="117" w:lineRule="exact"/>
        <w:rPr>
          <w:rFonts w:ascii="Arial" w:cs="Arial" w:eastAsia="Arial" w:hAnsi="Arial"/>
          <w:sz w:val="16"/>
          <w:szCs w:val="16"/>
          <w:color w:val="231F20"/>
        </w:rPr>
      </w:pPr>
    </w:p>
    <w:p>
      <w:pPr>
        <w:ind w:left="1100" w:right="200" w:hanging="363"/>
        <w:spacing w:after="0" w:line="277" w:lineRule="auto"/>
        <w:tabs>
          <w:tab w:leader="none" w:pos="1100" w:val="left"/>
        </w:tabs>
        <w:numPr>
          <w:ilvl w:val="0"/>
          <w:numId w:val="32"/>
        </w:numPr>
        <w:rPr>
          <w:rFonts w:ascii="Arial" w:cs="Arial" w:eastAsia="Arial" w:hAnsi="Arial"/>
          <w:sz w:val="16"/>
          <w:szCs w:val="16"/>
          <w:color w:val="231F20"/>
        </w:rPr>
      </w:pPr>
      <w:r>
        <w:rPr>
          <w:rFonts w:ascii="Arial" w:cs="Arial" w:eastAsia="Arial" w:hAnsi="Arial"/>
          <w:sz w:val="18"/>
          <w:szCs w:val="18"/>
          <w:color w:val="231F20"/>
        </w:rPr>
        <w:t>pay any cash dividend or make any other cash distribution or payment in respect of our capital stock in excess of $250,000 in aggregate per calendar year;</w:t>
      </w:r>
    </w:p>
    <w:p>
      <w:pPr>
        <w:spacing w:after="0" w:line="62" w:lineRule="exact"/>
        <w:rPr>
          <w:rFonts w:ascii="Arial" w:cs="Arial" w:eastAsia="Arial" w:hAnsi="Arial"/>
          <w:sz w:val="16"/>
          <w:szCs w:val="16"/>
          <w:color w:val="231F20"/>
        </w:rPr>
      </w:pPr>
    </w:p>
    <w:p>
      <w:pPr>
        <w:ind w:left="1100" w:hanging="363"/>
        <w:spacing w:after="0"/>
        <w:tabs>
          <w:tab w:leader="none" w:pos="1100" w:val="left"/>
        </w:tabs>
        <w:numPr>
          <w:ilvl w:val="0"/>
          <w:numId w:val="32"/>
        </w:numPr>
        <w:rPr>
          <w:rFonts w:ascii="Arial" w:cs="Arial" w:eastAsia="Arial" w:hAnsi="Arial"/>
          <w:sz w:val="16"/>
          <w:szCs w:val="16"/>
          <w:color w:val="231F20"/>
        </w:rPr>
      </w:pPr>
      <w:r>
        <w:rPr>
          <w:rFonts w:ascii="Arial" w:cs="Arial" w:eastAsia="Arial" w:hAnsi="Arial"/>
          <w:sz w:val="18"/>
          <w:szCs w:val="18"/>
          <w:color w:val="231F20"/>
        </w:rPr>
        <w:t>make specified investments (including loans and advances);</w:t>
      </w:r>
    </w:p>
    <w:p>
      <w:pPr>
        <w:spacing w:after="0" w:line="117" w:lineRule="exact"/>
        <w:rPr>
          <w:rFonts w:ascii="Arial" w:cs="Arial" w:eastAsia="Arial" w:hAnsi="Arial"/>
          <w:sz w:val="16"/>
          <w:szCs w:val="16"/>
          <w:color w:val="231F20"/>
        </w:rPr>
      </w:pPr>
    </w:p>
    <w:p>
      <w:pPr>
        <w:ind w:left="1100" w:hanging="363"/>
        <w:spacing w:after="0"/>
        <w:tabs>
          <w:tab w:leader="none" w:pos="1100" w:val="left"/>
        </w:tabs>
        <w:numPr>
          <w:ilvl w:val="0"/>
          <w:numId w:val="32"/>
        </w:numPr>
        <w:rPr>
          <w:rFonts w:ascii="Arial" w:cs="Arial" w:eastAsia="Arial" w:hAnsi="Arial"/>
          <w:sz w:val="16"/>
          <w:szCs w:val="16"/>
          <w:color w:val="231F20"/>
        </w:rPr>
      </w:pPr>
      <w:r>
        <w:rPr>
          <w:rFonts w:ascii="Arial" w:cs="Arial" w:eastAsia="Arial" w:hAnsi="Arial"/>
          <w:sz w:val="18"/>
          <w:szCs w:val="18"/>
          <w:color w:val="231F20"/>
        </w:rPr>
        <w:t>make changes to certain key personnel including our President and Chief Executive Officer;</w:t>
      </w:r>
    </w:p>
    <w:p>
      <w:pPr>
        <w:spacing w:after="0" w:line="117" w:lineRule="exact"/>
        <w:rPr>
          <w:rFonts w:ascii="Arial" w:cs="Arial" w:eastAsia="Arial" w:hAnsi="Arial"/>
          <w:sz w:val="16"/>
          <w:szCs w:val="16"/>
          <w:color w:val="231F20"/>
        </w:rPr>
      </w:pPr>
    </w:p>
    <w:p>
      <w:pPr>
        <w:ind w:left="1100" w:hanging="363"/>
        <w:spacing w:after="0"/>
        <w:tabs>
          <w:tab w:leader="none" w:pos="1100" w:val="left"/>
        </w:tabs>
        <w:numPr>
          <w:ilvl w:val="0"/>
          <w:numId w:val="32"/>
        </w:numPr>
        <w:rPr>
          <w:rFonts w:ascii="Arial" w:cs="Arial" w:eastAsia="Arial" w:hAnsi="Arial"/>
          <w:sz w:val="16"/>
          <w:szCs w:val="16"/>
          <w:color w:val="231F20"/>
        </w:rPr>
      </w:pPr>
      <w:r>
        <w:rPr>
          <w:rFonts w:ascii="Arial" w:cs="Arial" w:eastAsia="Arial" w:hAnsi="Arial"/>
          <w:sz w:val="18"/>
          <w:szCs w:val="18"/>
          <w:color w:val="231F20"/>
        </w:rPr>
        <w:t>merge, consolidate or liquidate; and</w:t>
      </w:r>
    </w:p>
    <w:p>
      <w:pPr>
        <w:spacing w:after="0" w:line="117" w:lineRule="exact"/>
        <w:rPr>
          <w:rFonts w:ascii="Arial" w:cs="Arial" w:eastAsia="Arial" w:hAnsi="Arial"/>
          <w:sz w:val="16"/>
          <w:szCs w:val="16"/>
          <w:color w:val="231F20"/>
        </w:rPr>
      </w:pPr>
    </w:p>
    <w:p>
      <w:pPr>
        <w:ind w:left="1100" w:hanging="363"/>
        <w:spacing w:after="0"/>
        <w:tabs>
          <w:tab w:leader="none" w:pos="1100" w:val="left"/>
        </w:tabs>
        <w:numPr>
          <w:ilvl w:val="0"/>
          <w:numId w:val="32"/>
        </w:numPr>
        <w:rPr>
          <w:rFonts w:ascii="Arial" w:cs="Arial" w:eastAsia="Arial" w:hAnsi="Arial"/>
          <w:sz w:val="16"/>
          <w:szCs w:val="16"/>
          <w:color w:val="231F20"/>
        </w:rPr>
      </w:pPr>
      <w:r>
        <w:rPr>
          <w:rFonts w:ascii="Arial" w:cs="Arial" w:eastAsia="Arial" w:hAnsi="Arial"/>
          <w:sz w:val="18"/>
          <w:szCs w:val="18"/>
          <w:color w:val="231F20"/>
        </w:rPr>
        <w:t>enter into certain transactions with our affiliates.</w:t>
      </w:r>
    </w:p>
    <w:p>
      <w:pPr>
        <w:spacing w:after="0" w:line="200" w:lineRule="exact"/>
        <w:rPr>
          <w:sz w:val="20"/>
          <w:szCs w:val="20"/>
          <w:color w:val="auto"/>
        </w:rPr>
      </w:pPr>
    </w:p>
    <w:p>
      <w:pPr>
        <w:spacing w:after="0" w:line="268"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360"/>
          </w:cols>
          <w:pgMar w:left="240" w:top="449" w:right="299" w:bottom="1440" w:gutter="0" w:footer="0" w:header="0"/>
        </w:sectPr>
      </w:pPr>
    </w:p>
    <w:bookmarkStart w:id="36" w:name="page37"/>
    <w:bookmarkEnd w:id="36"/>
    <w:p>
      <w:pPr>
        <w:ind w:right="80"/>
        <w:spacing w:after="0" w:line="264" w:lineRule="auto"/>
        <w:rPr>
          <w:sz w:val="20"/>
          <w:szCs w:val="20"/>
          <w:color w:val="auto"/>
        </w:rPr>
      </w:pPr>
      <w:r>
        <w:rPr>
          <w:rFonts w:ascii="Arial" w:cs="Arial" w:eastAsia="Arial" w:hAnsi="Arial"/>
          <w:sz w:val="18"/>
          <w:szCs w:val="18"/>
          <w:color w:val="231F20"/>
        </w:rPr>
        <w:t>The covenants in our loan agreement with Oxford may limit our ability to take certain actions and, in the event that we breach one or more covenants, our lender may choose to declare an event of default and require that we immediately repay all amounts outstanding, terminate the commitment to extend further credit and foreclose on the collateral granted to it to collateralize such indebtedness.</w:t>
      </w:r>
    </w:p>
    <w:p>
      <w:pPr>
        <w:spacing w:after="0" w:line="11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231F20"/>
        </w:rPr>
        <w:t>We will need to increase the size of our organization, and we may experience difficulties in managing growth.</w:t>
      </w:r>
    </w:p>
    <w:p>
      <w:pPr>
        <w:spacing w:after="0" w:line="117" w:lineRule="exact"/>
        <w:rPr>
          <w:sz w:val="20"/>
          <w:szCs w:val="20"/>
          <w:color w:val="auto"/>
        </w:rPr>
      </w:pPr>
    </w:p>
    <w:p>
      <w:pPr>
        <w:spacing w:after="0" w:line="279" w:lineRule="auto"/>
        <w:rPr>
          <w:sz w:val="20"/>
          <w:szCs w:val="20"/>
          <w:color w:val="auto"/>
        </w:rPr>
      </w:pPr>
      <w:r>
        <w:rPr>
          <w:rFonts w:ascii="Arial" w:cs="Arial" w:eastAsia="Arial" w:hAnsi="Arial"/>
          <w:sz w:val="17"/>
          <w:szCs w:val="17"/>
          <w:color w:val="231F20"/>
        </w:rPr>
        <w:t>As of December 31, 2017, we had 87 employees, with 35 employees in sales and marketing, 15 employees in customer support, 21 employees in research and development, including clinical, regulatory and certain quality control functions, four employees in manufacturing operations and 12 employees in general management and administration. We will need to continue to expand our sales, marketing, managerial, operational, finance and administrative resources for the ongoing commercialization of the ARTAS System, and continue our development activities of any future products.</w:t>
      </w:r>
    </w:p>
    <w:p>
      <w:pPr>
        <w:spacing w:after="0" w:line="63" w:lineRule="exact"/>
        <w:rPr>
          <w:sz w:val="20"/>
          <w:szCs w:val="20"/>
          <w:color w:val="auto"/>
        </w:rPr>
      </w:pPr>
    </w:p>
    <w:p>
      <w:pPr>
        <w:ind w:right="300"/>
        <w:spacing w:after="0" w:line="277" w:lineRule="auto"/>
        <w:rPr>
          <w:sz w:val="20"/>
          <w:szCs w:val="20"/>
          <w:color w:val="auto"/>
        </w:rPr>
      </w:pPr>
      <w:r>
        <w:rPr>
          <w:rFonts w:ascii="Arial" w:cs="Arial" w:eastAsia="Arial" w:hAnsi="Arial"/>
          <w:sz w:val="18"/>
          <w:szCs w:val="18"/>
          <w:color w:val="231F20"/>
        </w:rPr>
        <w:t>Our existing management, personnel, systems and facilities may not be adequate to support our future growth. Our need to effectively execute our growth strategy requires that we:</w:t>
      </w:r>
    </w:p>
    <w:p>
      <w:pPr>
        <w:spacing w:after="0" w:line="62" w:lineRule="exact"/>
        <w:rPr>
          <w:sz w:val="20"/>
          <w:szCs w:val="20"/>
          <w:color w:val="auto"/>
        </w:rPr>
      </w:pPr>
    </w:p>
    <w:p>
      <w:pPr>
        <w:ind w:left="1100" w:hanging="363"/>
        <w:spacing w:after="0"/>
        <w:tabs>
          <w:tab w:leader="none" w:pos="1100" w:val="left"/>
        </w:tabs>
        <w:numPr>
          <w:ilvl w:val="0"/>
          <w:numId w:val="33"/>
        </w:numPr>
        <w:rPr>
          <w:rFonts w:ascii="Arial" w:cs="Arial" w:eastAsia="Arial" w:hAnsi="Arial"/>
          <w:sz w:val="16"/>
          <w:szCs w:val="16"/>
          <w:color w:val="231F20"/>
        </w:rPr>
      </w:pPr>
      <w:r>
        <w:rPr>
          <w:rFonts w:ascii="Arial" w:cs="Arial" w:eastAsia="Arial" w:hAnsi="Arial"/>
          <w:sz w:val="18"/>
          <w:szCs w:val="18"/>
          <w:color w:val="231F20"/>
        </w:rPr>
        <w:t>identify, recruit, retain, incentivize and integrate additional employees, including sales personnel;</w:t>
      </w:r>
    </w:p>
    <w:p>
      <w:pPr>
        <w:spacing w:after="0" w:line="117" w:lineRule="exact"/>
        <w:rPr>
          <w:rFonts w:ascii="Arial" w:cs="Arial" w:eastAsia="Arial" w:hAnsi="Arial"/>
          <w:sz w:val="16"/>
          <w:szCs w:val="16"/>
          <w:color w:val="231F20"/>
        </w:rPr>
      </w:pPr>
    </w:p>
    <w:p>
      <w:pPr>
        <w:ind w:left="1100" w:hanging="363"/>
        <w:spacing w:after="0"/>
        <w:tabs>
          <w:tab w:leader="none" w:pos="1100" w:val="left"/>
        </w:tabs>
        <w:numPr>
          <w:ilvl w:val="0"/>
          <w:numId w:val="33"/>
        </w:numPr>
        <w:rPr>
          <w:rFonts w:ascii="Arial" w:cs="Arial" w:eastAsia="Arial" w:hAnsi="Arial"/>
          <w:sz w:val="15"/>
          <w:szCs w:val="15"/>
          <w:color w:val="231F20"/>
        </w:rPr>
      </w:pPr>
      <w:r>
        <w:rPr>
          <w:rFonts w:ascii="Arial" w:cs="Arial" w:eastAsia="Arial" w:hAnsi="Arial"/>
          <w:sz w:val="17"/>
          <w:szCs w:val="17"/>
          <w:color w:val="231F20"/>
        </w:rPr>
        <w:t>manage our internal development and operational efforts effectively while carrying out our contractual obligations to third parties; and</w:t>
      </w:r>
    </w:p>
    <w:p>
      <w:pPr>
        <w:spacing w:after="0" w:line="128" w:lineRule="exact"/>
        <w:rPr>
          <w:rFonts w:ascii="Arial" w:cs="Arial" w:eastAsia="Arial" w:hAnsi="Arial"/>
          <w:sz w:val="15"/>
          <w:szCs w:val="15"/>
          <w:color w:val="231F20"/>
        </w:rPr>
      </w:pPr>
    </w:p>
    <w:p>
      <w:pPr>
        <w:ind w:left="1100" w:hanging="363"/>
        <w:spacing w:after="0"/>
        <w:tabs>
          <w:tab w:leader="none" w:pos="1100" w:val="left"/>
        </w:tabs>
        <w:numPr>
          <w:ilvl w:val="0"/>
          <w:numId w:val="33"/>
        </w:numPr>
        <w:rPr>
          <w:rFonts w:ascii="Arial" w:cs="Arial" w:eastAsia="Arial" w:hAnsi="Arial"/>
          <w:sz w:val="16"/>
          <w:szCs w:val="16"/>
          <w:color w:val="231F20"/>
        </w:rPr>
      </w:pPr>
      <w:r>
        <w:rPr>
          <w:rFonts w:ascii="Arial" w:cs="Arial" w:eastAsia="Arial" w:hAnsi="Arial"/>
          <w:sz w:val="18"/>
          <w:szCs w:val="18"/>
          <w:color w:val="231F20"/>
        </w:rPr>
        <w:t>continue to improve our operational, financial and management controls, reports systems and procedures.</w:t>
      </w:r>
    </w:p>
    <w:p>
      <w:pPr>
        <w:spacing w:after="0" w:line="14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231F20"/>
        </w:rPr>
        <w:t>If we fail to attract and retain senior management and key personnel, we may be unable to successfully grow our business.</w:t>
      </w:r>
    </w:p>
    <w:p>
      <w:pPr>
        <w:spacing w:after="0" w:line="117" w:lineRule="exact"/>
        <w:rPr>
          <w:sz w:val="20"/>
          <w:szCs w:val="20"/>
          <w:color w:val="auto"/>
        </w:rPr>
      </w:pPr>
    </w:p>
    <w:p>
      <w:pPr>
        <w:ind w:right="100"/>
        <w:spacing w:after="0" w:line="257" w:lineRule="auto"/>
        <w:rPr>
          <w:sz w:val="20"/>
          <w:szCs w:val="20"/>
          <w:color w:val="auto"/>
        </w:rPr>
      </w:pPr>
      <w:r>
        <w:rPr>
          <w:rFonts w:ascii="Arial" w:cs="Arial" w:eastAsia="Arial" w:hAnsi="Arial"/>
          <w:sz w:val="18"/>
          <w:szCs w:val="18"/>
          <w:color w:val="231F20"/>
        </w:rPr>
        <w:t>Our success depends in part on our continued ability to attract, retain and motivate highly qualified management, clinical and other personnel. We are highly dependent upon our senior management, particularly our President and Chief Executive Officer, our management team and other key personnel. The loss of services of any of these individuals could delay or prevent enhancement of the ARTAS System, the expansion of the ARTAS System to new indications, or the development of any future products. Although we have entered into employment agreements with our senior management team, these agreements do not provide for a fixed term of service.</w:t>
      </w:r>
    </w:p>
    <w:p>
      <w:pPr>
        <w:spacing w:after="0" w:line="80" w:lineRule="exact"/>
        <w:rPr>
          <w:sz w:val="20"/>
          <w:szCs w:val="20"/>
          <w:color w:val="auto"/>
        </w:rPr>
      </w:pPr>
    </w:p>
    <w:p>
      <w:pPr>
        <w:ind w:right="120"/>
        <w:spacing w:after="0" w:line="279" w:lineRule="auto"/>
        <w:rPr>
          <w:sz w:val="20"/>
          <w:szCs w:val="20"/>
          <w:color w:val="auto"/>
        </w:rPr>
      </w:pPr>
      <w:r>
        <w:rPr>
          <w:rFonts w:ascii="Arial" w:cs="Arial" w:eastAsia="Arial" w:hAnsi="Arial"/>
          <w:sz w:val="17"/>
          <w:szCs w:val="17"/>
          <w:color w:val="231F20"/>
        </w:rPr>
        <w:t>Competition for qualified personnel in the medical device field is intense due to the limited number of individuals who possess the skills and experience required by our industry. We will need to hire additional personnel and we may not be able to attract and retain quality personnel on acceptable terms, or at all. In addition, to the extent we hire personnel from competitors, we may be subject to allegations that they have been improperly solicited or that they have divulged proprietary or other confidential information, or that their former employers own their research output.</w:t>
      </w:r>
    </w:p>
    <w:p>
      <w:pPr>
        <w:spacing w:after="0" w:line="104"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b w:val="1"/>
          <w:bCs w:val="1"/>
          <w:i w:val="1"/>
          <w:iCs w:val="1"/>
          <w:color w:val="231F20"/>
        </w:rPr>
        <w:t>Because we have opted to take advantage of the JOBS Act provision which allows us to delay implementing new accounting standards, our consolidated financial statements may not be directly comparable to other public companies.</w:t>
      </w:r>
    </w:p>
    <w:p>
      <w:pPr>
        <w:spacing w:after="0" w:line="62" w:lineRule="exact"/>
        <w:rPr>
          <w:sz w:val="20"/>
          <w:szCs w:val="20"/>
          <w:color w:val="auto"/>
        </w:rPr>
      </w:pPr>
    </w:p>
    <w:p>
      <w:pPr>
        <w:ind w:right="160"/>
        <w:spacing w:after="0" w:line="273" w:lineRule="auto"/>
        <w:rPr>
          <w:sz w:val="20"/>
          <w:szCs w:val="20"/>
          <w:color w:val="auto"/>
        </w:rPr>
      </w:pPr>
      <w:r>
        <w:rPr>
          <w:rFonts w:ascii="Arial" w:cs="Arial" w:eastAsia="Arial" w:hAnsi="Arial"/>
          <w:sz w:val="17"/>
          <w:szCs w:val="17"/>
          <w:color w:val="231F20"/>
        </w:rPr>
        <w:t>Pursuant to the Jumpstart Our Business Startups Act of 2012, or the JOBS Act, emerging growth companies can delay adopting new or revised accounting standards issued subsequent to the enactment of the JOBS Act until such time as those standards apply to private companies. We have elected to use this extended transition period for complying with new or revised accounting standards that have different effective dates for public and private companies until the earlier of the date we (i) are no longer an emerging growth company or (ii) affirmatively and irrevocably opt out of the extended transition period provided in the JOBS Act. Because we have elected to take advantage of this provision of the JOBS Act, our consolidated financial statements and the reported results of operations contained therein may not be directly comparable to other public companies.</w:t>
      </w:r>
    </w:p>
    <w:p>
      <w:pPr>
        <w:spacing w:after="0" w:line="111" w:lineRule="exact"/>
        <w:rPr>
          <w:sz w:val="20"/>
          <w:szCs w:val="20"/>
          <w:color w:val="auto"/>
        </w:rPr>
      </w:pPr>
    </w:p>
    <w:p>
      <w:pPr>
        <w:ind w:right="180"/>
        <w:spacing w:after="0" w:line="264" w:lineRule="auto"/>
        <w:rPr>
          <w:sz w:val="20"/>
          <w:szCs w:val="20"/>
          <w:color w:val="auto"/>
        </w:rPr>
      </w:pPr>
      <w:r>
        <w:rPr>
          <w:rFonts w:ascii="Arial" w:cs="Arial" w:eastAsia="Arial" w:hAnsi="Arial"/>
          <w:sz w:val="18"/>
          <w:szCs w:val="18"/>
          <w:b w:val="1"/>
          <w:bCs w:val="1"/>
          <w:i w:val="1"/>
          <w:iCs w:val="1"/>
          <w:color w:val="231F20"/>
        </w:rPr>
        <w:t>We incur significant costs as a result of operating as a public company, and our management devotes substantial time to new compliance initiatives. We may fail to comply with the rules that apply to public companies, including Section 404 of the Sarbanes-Oxley Act of 2002, which could result in sanctions or other penalties that would harm our business.</w:t>
      </w:r>
    </w:p>
    <w:p>
      <w:pPr>
        <w:spacing w:after="0" w:line="73"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231F20"/>
        </w:rPr>
        <w:t>We incur significant legal, accounting and other expenses as a public company, including costs resulting from public company reporting obligations under the Securities Exchange Act of 1934, as amended, and regulations</w:t>
      </w:r>
    </w:p>
    <w:p>
      <w:pPr>
        <w:spacing w:after="0" w:line="200" w:lineRule="exact"/>
        <w:rPr>
          <w:sz w:val="20"/>
          <w:szCs w:val="20"/>
          <w:color w:val="auto"/>
        </w:rPr>
      </w:pPr>
    </w:p>
    <w:p>
      <w:pPr>
        <w:spacing w:after="0" w:line="2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449" w:right="259" w:bottom="1440" w:gutter="0" w:footer="0" w:header="0"/>
        </w:sectPr>
      </w:pPr>
    </w:p>
    <w:bookmarkStart w:id="37" w:name="page38"/>
    <w:bookmarkEnd w:id="37"/>
    <w:p>
      <w:pPr>
        <w:ind w:right="40"/>
        <w:spacing w:after="0" w:line="270" w:lineRule="auto"/>
        <w:rPr>
          <w:sz w:val="20"/>
          <w:szCs w:val="20"/>
          <w:color w:val="auto"/>
        </w:rPr>
      </w:pPr>
      <w:r>
        <w:rPr>
          <w:rFonts w:ascii="Arial" w:cs="Arial" w:eastAsia="Arial" w:hAnsi="Arial"/>
          <w:sz w:val="17"/>
          <w:szCs w:val="17"/>
          <w:color w:val="231F20"/>
        </w:rPr>
        <w:t>regarding corporate governance practices. The listing requirements of The Nasdaq Global Market and the rules of the Securities and Exchange Commission, or SEC, require that we satisfy certain corporate governance requirements relating to director independence, filing annual and interim reports, stockholder meetings, approvals and voting, soliciting proxies, conflicts of interest and a code of conduct. Our management and other personnel devote a substantial amount of time to ensure that we comply with all of these requirements. Moreover, the reporting requirements, rules and regulations will continue to increase our legal and financial compliance costs and will make some activities more time-consuming and costly. Any changes we make to comply with these obligations may not be sufficient to allow us to satisfy our obligations as a public company on a timely basis, or at all. These reporting requirements, rules and regulations, coupled with the increase in potential litigation exposure associated with being a public company, could also make it more difficult for us to attract and retain qualified persons to serve on our board of directors or board committees or to serve as executive officers, or to obtain certain types of insurance, including directors’ and officers’ insurance, on acceptable terms.</w:t>
      </w:r>
    </w:p>
    <w:p>
      <w:pPr>
        <w:spacing w:after="0" w:line="74" w:lineRule="exact"/>
        <w:rPr>
          <w:sz w:val="20"/>
          <w:szCs w:val="20"/>
          <w:color w:val="auto"/>
        </w:rPr>
      </w:pPr>
    </w:p>
    <w:p>
      <w:pPr>
        <w:spacing w:after="0" w:line="269" w:lineRule="auto"/>
        <w:rPr>
          <w:sz w:val="20"/>
          <w:szCs w:val="20"/>
          <w:color w:val="auto"/>
        </w:rPr>
      </w:pPr>
      <w:r>
        <w:rPr>
          <w:rFonts w:ascii="Arial" w:cs="Arial" w:eastAsia="Arial" w:hAnsi="Arial"/>
          <w:sz w:val="17"/>
          <w:szCs w:val="17"/>
          <w:color w:val="231F20"/>
        </w:rPr>
        <w:t>We are subject to Section 404 of The Sarbanes-Oxley Act of 2002, or Section 404, and the related rules of the SEC, which generally require our management and independent registered public accounting firm to report on the effectiveness of our internal control over financial reporting. Beginning with the second annual report that we will be required to file with the SEC, Section 404 requires an annual management assessment of the effectiveness of our internal control over financial reporting. However, for so long as we remain an emerging growth company as defined in the JOBS Act, we intend to take advantage of certain exemptions from various reporting requirements that are applicable to public companies that are not emerging growth companies, including, but not limited to, not being required to comply with the auditor attestation requirements of Section 404. Once we are no longer an emerging growth company or, if prior to such date, we opt to no longer take advantage of the applicable exemption, our independent registered public accounting firm will be engaged to provide an attestation report on the effectiveness of our internal control over financial reporting. We will remain an emerging growth company until the earlier of (1) the last day of the fiscal year (a)following the fifth anniversary of our initial public offering, (b) in which we have total annual gross revenue of at least $1.07 billion, or (c) in which we are deemed to be a large accelerated filer, which means the market value of our common stock that is held by non-affiliates exceeds $700.0 million as of the prior June 30th, and (2) the date on which we have issued more than $1.0 billion in non-convertible debt during the prior three-year period.</w:t>
      </w:r>
    </w:p>
    <w:p>
      <w:pPr>
        <w:spacing w:after="0" w:line="72" w:lineRule="exact"/>
        <w:rPr>
          <w:sz w:val="20"/>
          <w:szCs w:val="20"/>
          <w:color w:val="auto"/>
        </w:rPr>
      </w:pPr>
    </w:p>
    <w:p>
      <w:pPr>
        <w:ind w:right="80"/>
        <w:spacing w:after="0" w:line="270" w:lineRule="auto"/>
        <w:rPr>
          <w:sz w:val="20"/>
          <w:szCs w:val="20"/>
          <w:color w:val="auto"/>
        </w:rPr>
      </w:pPr>
      <w:r>
        <w:rPr>
          <w:rFonts w:ascii="Arial" w:cs="Arial" w:eastAsia="Arial" w:hAnsi="Arial"/>
          <w:sz w:val="17"/>
          <w:szCs w:val="17"/>
          <w:color w:val="231F20"/>
        </w:rPr>
        <w:t>To date, we have never conducted a review of our internal control for the purpose of providing the reports required by these rules. During the course of our review and testing, we may identify deficiencies and be unable to remediate them before we must provide the required reports. Furthermore, if we have a material weakness in our internal controls over financial reporting, we may not detect errors on a timely basis and our consolidated financial statements may be materially misstated. We or our independent registered public accounting firm may not be able to conclude on an ongoing basis that we have effective internal control over financial reporting, which could harm our operating results, cause investors to lose confidence in our reported financial information and cause the market price of our stock to decline. In addition, as a public company we are required to file accurate and timely quarterly and annual reports with the SEC under the Securities Exchange Act of 1934, as amended. Any failure to report our financial results on an accurate and timely basis could result in sanctions, lawsuits, delisting of our shares from The Nasdaq Global Market or other adverse consequences that would materially harm to our business and cause the market price of our common stock to decline.</w:t>
      </w:r>
    </w:p>
    <w:p>
      <w:pPr>
        <w:spacing w:after="0" w:line="11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231F20"/>
        </w:rPr>
        <w:t>Unfavorable global economic conditions could adversely affect our business, financial condition or results of operations.</w:t>
      </w:r>
    </w:p>
    <w:p>
      <w:pPr>
        <w:spacing w:after="0" w:line="117" w:lineRule="exact"/>
        <w:rPr>
          <w:sz w:val="20"/>
          <w:szCs w:val="20"/>
          <w:color w:val="auto"/>
        </w:rPr>
      </w:pPr>
    </w:p>
    <w:p>
      <w:pPr>
        <w:ind w:right="40"/>
        <w:spacing w:after="0" w:line="270" w:lineRule="auto"/>
        <w:rPr>
          <w:sz w:val="20"/>
          <w:szCs w:val="20"/>
          <w:color w:val="auto"/>
        </w:rPr>
      </w:pPr>
      <w:r>
        <w:rPr>
          <w:rFonts w:ascii="Arial" w:cs="Arial" w:eastAsia="Arial" w:hAnsi="Arial"/>
          <w:sz w:val="17"/>
          <w:szCs w:val="17"/>
          <w:color w:val="231F20"/>
        </w:rPr>
        <w:t>Our results of operations could be adversely affected by general conditions in the global economy and in the global financial markets. Furthermore, the market for aesthetic medical procedures may be particularly vulnerable to unfavorable economic conditions. In particular, the ARTAS procedures will not receive coverage and reimbursement and, as a result, demand for this product will be tied to discretionary spending levels of our targeted patient population. The recent global financial crisis caused extreme volatility and disruptions in the capital and credit markets. A severe or prolonged economic downturn, such as the recent global financial crisis, could result in a variety of risks to our business, including weakened demand for the ARTAS System, ARTAS procedures or any future products, if approved, and our ability to raise additional capital when needed on acceptable terms, if at all. A weak or declining economy could also strain our manufacturers or suppliers, possibly resulting in supply disruption, or cause our customers to delay making payments for our services. Any of the foregoing could harm our business and we cannot anticipate all of the ways in which the economic climate and financial market conditions could adversely impact our business.</w:t>
      </w:r>
    </w:p>
    <w:p>
      <w:pPr>
        <w:spacing w:after="0" w:line="200" w:lineRule="exact"/>
        <w:rPr>
          <w:sz w:val="20"/>
          <w:szCs w:val="20"/>
          <w:color w:val="auto"/>
        </w:rPr>
      </w:pPr>
    </w:p>
    <w:p>
      <w:pPr>
        <w:spacing w:after="0" w:line="22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380"/>
          </w:cols>
          <w:pgMar w:left="240" w:top="449" w:right="279" w:bottom="1440" w:gutter="0" w:footer="0" w:header="0"/>
        </w:sectPr>
      </w:pPr>
    </w:p>
    <w:bookmarkStart w:id="38" w:name="page39"/>
    <w:bookmarkEnd w:id="38"/>
    <w:p>
      <w:pPr>
        <w:ind w:right="560"/>
        <w:spacing w:after="0" w:line="277" w:lineRule="auto"/>
        <w:rPr>
          <w:sz w:val="20"/>
          <w:szCs w:val="20"/>
          <w:color w:val="auto"/>
        </w:rPr>
      </w:pPr>
      <w:r>
        <w:rPr>
          <w:rFonts w:ascii="Arial" w:cs="Arial" w:eastAsia="Arial" w:hAnsi="Arial"/>
          <w:sz w:val="18"/>
          <w:szCs w:val="18"/>
          <w:b w:val="1"/>
          <w:bCs w:val="1"/>
          <w:i w:val="1"/>
          <w:iCs w:val="1"/>
          <w:color w:val="231F20"/>
        </w:rPr>
        <w:t>We or the third parties upon whom we depend may be adversely affected by earthquakes or other natural disasters and our business continuity and disaster recovery plans may not adequately protect us from a serious disaster.</w:t>
      </w:r>
    </w:p>
    <w:p>
      <w:pPr>
        <w:spacing w:after="0" w:line="62" w:lineRule="exact"/>
        <w:rPr>
          <w:sz w:val="20"/>
          <w:szCs w:val="20"/>
          <w:color w:val="auto"/>
        </w:rPr>
      </w:pPr>
    </w:p>
    <w:p>
      <w:pPr>
        <w:jc w:val="both"/>
        <w:ind w:right="60"/>
        <w:spacing w:after="0" w:line="264" w:lineRule="auto"/>
        <w:rPr>
          <w:sz w:val="20"/>
          <w:szCs w:val="20"/>
          <w:color w:val="auto"/>
        </w:rPr>
      </w:pPr>
      <w:r>
        <w:rPr>
          <w:rFonts w:ascii="Arial" w:cs="Arial" w:eastAsia="Arial" w:hAnsi="Arial"/>
          <w:sz w:val="18"/>
          <w:szCs w:val="18"/>
          <w:color w:val="231F20"/>
        </w:rPr>
        <w:t>Our corporate headquarters and other facilities are located in San Jose, California, which in the past has experienced both severe earthquakes and floods. We do not carry earthquake or flood insurance. Earthquakes or other natural disasters could severely disrupt our operations, and have a material adverse effect on our business, results of operations, financial condition and prospects.</w:t>
      </w:r>
    </w:p>
    <w:p>
      <w:pPr>
        <w:spacing w:after="0" w:line="73" w:lineRule="exact"/>
        <w:rPr>
          <w:sz w:val="20"/>
          <w:szCs w:val="20"/>
          <w:color w:val="auto"/>
        </w:rPr>
      </w:pPr>
    </w:p>
    <w:p>
      <w:pPr>
        <w:ind w:right="140"/>
        <w:spacing w:after="0" w:line="293" w:lineRule="auto"/>
        <w:rPr>
          <w:sz w:val="20"/>
          <w:szCs w:val="20"/>
          <w:color w:val="auto"/>
        </w:rPr>
      </w:pPr>
      <w:r>
        <w:rPr>
          <w:rFonts w:ascii="Arial" w:cs="Arial" w:eastAsia="Arial" w:hAnsi="Arial"/>
          <w:sz w:val="16"/>
          <w:szCs w:val="16"/>
          <w:color w:val="231F20"/>
        </w:rPr>
        <w:t>If a natural disaster, power outage or other event occurred that prevented us from using all or a significant portion of our headquarters, that damaged critical infrastructure, such as our ARTAS enterprise system, enterprise financial systems and records, manufacturing resource planning and enterprise quality systems, or that otherwise disrupted operations, it may be difficult or, in certain cases, impossible, for us to continue our business for a substantial period of time. The disaster recovery and business continuity plans we have in place are limited and are unlikely to prove adequate in the event of a serious disaster or similar event. We may incur substantial expenses as a result of the limited nature of our disaster recovery and business continuity plans, which, particularly when taken together with our lack of earthquake or flood insurance, could have a material adverse effect on our business.</w:t>
      </w:r>
    </w:p>
    <w:p>
      <w:pPr>
        <w:spacing w:after="0" w:line="57" w:lineRule="exact"/>
        <w:rPr>
          <w:sz w:val="20"/>
          <w:szCs w:val="20"/>
          <w:color w:val="auto"/>
        </w:rPr>
      </w:pPr>
    </w:p>
    <w:p>
      <w:pPr>
        <w:ind w:right="220"/>
        <w:spacing w:after="0" w:line="277" w:lineRule="auto"/>
        <w:rPr>
          <w:sz w:val="20"/>
          <w:szCs w:val="20"/>
          <w:color w:val="auto"/>
        </w:rPr>
      </w:pPr>
      <w:r>
        <w:rPr>
          <w:rFonts w:ascii="Arial" w:cs="Arial" w:eastAsia="Arial" w:hAnsi="Arial"/>
          <w:sz w:val="18"/>
          <w:szCs w:val="18"/>
          <w:color w:val="231F20"/>
        </w:rPr>
        <w:t>Furthermore, integral parties in our supply chain are similarly vulnerable to natural disasters or other sudden, unforeseen and severe adverse events. If such an event were to affect our supply chain, it could have a material adverse effect on our business.</w:t>
      </w:r>
    </w:p>
    <w:p>
      <w:pPr>
        <w:spacing w:after="0" w:line="89" w:lineRule="exact"/>
        <w:rPr>
          <w:sz w:val="20"/>
          <w:szCs w:val="20"/>
          <w:color w:val="auto"/>
        </w:rPr>
      </w:pPr>
    </w:p>
    <w:p>
      <w:pPr>
        <w:spacing w:after="0" w:line="277" w:lineRule="auto"/>
        <w:rPr>
          <w:sz w:val="20"/>
          <w:szCs w:val="20"/>
          <w:color w:val="auto"/>
        </w:rPr>
      </w:pPr>
      <w:r>
        <w:rPr>
          <w:rFonts w:ascii="Arial" w:cs="Arial" w:eastAsia="Arial" w:hAnsi="Arial"/>
          <w:sz w:val="18"/>
          <w:szCs w:val="18"/>
          <w:b w:val="1"/>
          <w:bCs w:val="1"/>
          <w:i w:val="1"/>
          <w:iCs w:val="1"/>
          <w:color w:val="231F20"/>
        </w:rPr>
        <w:t>Significant disruptions of information technology systems or breaches of data security could materially adversely affect our business, results of operations and financial condition.</w:t>
      </w:r>
    </w:p>
    <w:p>
      <w:pPr>
        <w:spacing w:after="0" w:line="62" w:lineRule="exact"/>
        <w:rPr>
          <w:sz w:val="20"/>
          <w:szCs w:val="20"/>
          <w:color w:val="auto"/>
        </w:rPr>
      </w:pPr>
    </w:p>
    <w:p>
      <w:pPr>
        <w:ind w:right="20"/>
        <w:spacing w:after="0" w:line="284" w:lineRule="auto"/>
        <w:rPr>
          <w:sz w:val="20"/>
          <w:szCs w:val="20"/>
          <w:color w:val="auto"/>
        </w:rPr>
      </w:pPr>
      <w:r>
        <w:rPr>
          <w:rFonts w:ascii="Arial" w:cs="Arial" w:eastAsia="Arial" w:hAnsi="Arial"/>
          <w:sz w:val="16"/>
          <w:szCs w:val="16"/>
          <w:color w:val="231F20"/>
        </w:rPr>
        <w:t>We collect and maintain information in digital form that is necessary to conduct our business, and we are increasingly dependent on information technology systems and infrastructure to operate our business. In the ordinary course of our business, we collect, store and transmit large amounts of confidential information, including intellectual property, proprietary business information and personal information. It is critical that we do so in a secure manner to maintain the confidentiality and integrity of such confidential information. We have established physical, electronic, and organizational measures to safeguard and secure our systems to prevent a data compromise, and rely on commercially available systems, software, tools, and monitoring to provide security for our information technology systems and the processing, transmission and storage of digital information. We have also outsourced elements of our information technology infrastructure, and as a result a number of third-party vendors may or could have access to our confidential information. Our internal information technology systems and infrastructure, and those of our current and any future collaborators, contractors and consultants and other third parties on which we rely, are vulnerable to damage from computer viruses, malware, natural disasters, terrorism, war, telecommunication and electrical failures, cyber-attacks or cyber-intrusions over the Internet, attachments to emails, persons inside our organization, or persons with access to systems inside our organization. The risk of a security breach or disruption, particularly through cyber-attacks or cyber intrusion, including by computer hackers, foreign governments, and cyber terrorists, has generally increased as the number, intensity and sophistication of attempted attacks and intrusions from around the world have increased. In addition, the prevalent use of mobile devices that access confidential information increases the risk of data security breaches, which could lead to the loss of confidential information or other intellectual property. The costs to us to mitigate network security problems, bugs, viruses, worms, malicious software programs and security vulnerabilities could be significant, and while we have implemented security measures to protect our data security and information technology systems, our efforts to address these problems may not be successful, and these problems could result in unexpected interruptions, delays, cessation of service and other harm to our business and our competitive position. If such an event were to occur and cause interruptions in our operations, it could result in a material disruption of our product development programs. Moreover, if a computer security breach affects our systems or results in the unauthorized release of personally identifiable information, our reputation could be materially damaged. In addition, such a breach may require notification to governmental agencies, the media or individuals pursuant to various federal and state privacy and security laws, if applicable, including the Health Insurance Portability and Accountability Act of 1996, or HIPAA, as amended by the Health Information Technology for Clinical Health Act of 2009, or HITECH, and its implementing rules and regulations, as well as regulations promulgated by the Federal Trade Commission, state breach notification laws and international privacy laws such as rules and regulations relating to data protection. We would also be exposed to a risk of loss or litigation and potential liability, which could materially adversely affect our business, results of operations and financial condition.</w:t>
      </w:r>
    </w:p>
    <w:p>
      <w:pPr>
        <w:spacing w:after="0" w:line="200" w:lineRule="exact"/>
        <w:rPr>
          <w:sz w:val="20"/>
          <w:szCs w:val="20"/>
          <w:color w:val="auto"/>
        </w:rPr>
      </w:pPr>
    </w:p>
    <w:p>
      <w:pPr>
        <w:spacing w:after="0" w:line="22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490" w:right="239" w:bottom="1440" w:gutter="0" w:footer="0" w:header="0"/>
        </w:sectPr>
      </w:pPr>
    </w:p>
    <w:bookmarkStart w:id="39" w:name="page40"/>
    <w:bookmarkEnd w:id="39"/>
    <w:p>
      <w:pPr>
        <w:ind w:right="60"/>
        <w:spacing w:after="0" w:line="264" w:lineRule="auto"/>
        <w:rPr>
          <w:sz w:val="20"/>
          <w:szCs w:val="20"/>
          <w:color w:val="auto"/>
        </w:rPr>
      </w:pPr>
      <w:r>
        <w:rPr>
          <w:rFonts w:ascii="Arial" w:cs="Arial" w:eastAsia="Arial" w:hAnsi="Arial"/>
          <w:sz w:val="18"/>
          <w:szCs w:val="18"/>
          <w:b w:val="1"/>
          <w:bCs w:val="1"/>
          <w:i w:val="1"/>
          <w:iCs w:val="1"/>
          <w:color w:val="231F20"/>
        </w:rPr>
        <w:t>Our employees and independent contractors, including consultants, manufacturers, distributors, commercial collaborators, service providers and other vendors may engage in misconduct or other improper activities, including noncompliance with regulatory standards and requirements, which could have an adverse effect on our results of operations.</w:t>
      </w:r>
    </w:p>
    <w:p>
      <w:pPr>
        <w:spacing w:after="0" w:line="73" w:lineRule="exact"/>
        <w:rPr>
          <w:sz w:val="20"/>
          <w:szCs w:val="20"/>
          <w:color w:val="auto"/>
        </w:rPr>
      </w:pPr>
    </w:p>
    <w:p>
      <w:pPr>
        <w:ind w:right="40"/>
        <w:spacing w:after="0" w:line="286" w:lineRule="auto"/>
        <w:rPr>
          <w:sz w:val="20"/>
          <w:szCs w:val="20"/>
          <w:color w:val="auto"/>
        </w:rPr>
      </w:pPr>
      <w:r>
        <w:rPr>
          <w:rFonts w:ascii="Arial" w:cs="Arial" w:eastAsia="Arial" w:hAnsi="Arial"/>
          <w:sz w:val="16"/>
          <w:szCs w:val="16"/>
          <w:color w:val="231F20"/>
        </w:rPr>
        <w:t>We are exposed to the risk that our employees and independent contractors, including consultants, manufacturers, distributors, commercial collaborators, service providers and other vendors may engage in misconduct or other illegal activity. Misconduct by these parties could include intentional, reckless and/or negligent conduct or other unauthorized activities that violate the laws and regulations of the FDA and other similar regulatory bodies, including those laws that require the reporting of true, complete and accurate information to such regulatory bodies; manufacturing standards; U.S. federal and state healthcare fraud and abuse, data privacy laws and other similar non-U.S. laws; or laws that require the true, complete and accurate reporting of financial information or data. Activities subject to these laws also involve the improper use or misrepresentation of information obtained in the course of clinical trials, the creation of fraudulent data in our nonclinical studies or clinical trials, or illegal misappropriation of product, which could result in regulatory sanctions and cause serious harm to our reputation. It is not always possible to identify and deter misconduct by employees and other third-parties, and the precautions we take to detect and prevent this activity may not be effective in controlling unknown or unmanaged risks or losses or in protecting us from governmental investigations or other actions or lawsuits stemming from a failure to be in compliance with such laws or regulations. In addition, we are subject to the risk that a person or government could allege such fraud or other misconduct, even if none occurred. If any such actions are instituted against us, and we are not successful in defending ourselves or asserting our rights, those actions could have a significant impact on our business and financial results, including, without limitation, the imposition of significant civil, criminal and administrative penalties, damages, monetary fines, disgorgements, individual imprisonment, other sanctions, contractual damages, reputational harm, diminished profits and future earnings and curtailment of our operations, any of which could adversely affect our ability to operate our business and our results of operations.</w:t>
      </w:r>
    </w:p>
    <w:p>
      <w:pPr>
        <w:spacing w:after="0" w:line="84" w:lineRule="exact"/>
        <w:rPr>
          <w:sz w:val="20"/>
          <w:szCs w:val="20"/>
          <w:color w:val="auto"/>
        </w:rPr>
      </w:pPr>
    </w:p>
    <w:p>
      <w:pPr>
        <w:spacing w:after="0"/>
        <w:rPr>
          <w:sz w:val="20"/>
          <w:szCs w:val="20"/>
          <w:color w:val="auto"/>
        </w:rPr>
      </w:pPr>
      <w:r>
        <w:rPr>
          <w:rFonts w:ascii="Arial" w:cs="Arial" w:eastAsia="Arial" w:hAnsi="Arial"/>
          <w:sz w:val="18"/>
          <w:szCs w:val="18"/>
          <w:b w:val="1"/>
          <w:bCs w:val="1"/>
          <w:color w:val="231F20"/>
        </w:rPr>
        <w:t>Risks Related to Intellectual Property</w:t>
      </w:r>
    </w:p>
    <w:p>
      <w:pPr>
        <w:spacing w:after="0" w:line="121" w:lineRule="exact"/>
        <w:rPr>
          <w:sz w:val="20"/>
          <w:szCs w:val="20"/>
          <w:color w:val="auto"/>
        </w:rPr>
      </w:pPr>
    </w:p>
    <w:p>
      <w:pPr>
        <w:spacing w:after="0" w:line="264" w:lineRule="auto"/>
        <w:rPr>
          <w:sz w:val="20"/>
          <w:szCs w:val="20"/>
          <w:color w:val="auto"/>
        </w:rPr>
      </w:pPr>
      <w:r>
        <w:rPr>
          <w:rFonts w:ascii="Arial" w:cs="Arial" w:eastAsia="Arial" w:hAnsi="Arial"/>
          <w:sz w:val="18"/>
          <w:szCs w:val="18"/>
          <w:b w:val="1"/>
          <w:bCs w:val="1"/>
          <w:i w:val="1"/>
          <w:iCs w:val="1"/>
          <w:color w:val="231F20"/>
        </w:rPr>
        <w:t>We may in the future become involved in lawsuits to defend ourselves against intellectual property disputes, which could be expensive and time consuming, and ultimately unsuccessful, and could result in the diversion of significant resources, and hinder our ability to commercialize our existing or future products.</w:t>
      </w:r>
    </w:p>
    <w:p>
      <w:pPr>
        <w:spacing w:after="0" w:line="73" w:lineRule="exact"/>
        <w:rPr>
          <w:sz w:val="20"/>
          <w:szCs w:val="20"/>
          <w:color w:val="auto"/>
        </w:rPr>
      </w:pPr>
    </w:p>
    <w:p>
      <w:pPr>
        <w:ind w:right="60"/>
        <w:spacing w:after="0" w:line="287" w:lineRule="auto"/>
        <w:rPr>
          <w:sz w:val="20"/>
          <w:szCs w:val="20"/>
          <w:color w:val="auto"/>
        </w:rPr>
      </w:pPr>
      <w:r>
        <w:rPr>
          <w:rFonts w:ascii="Arial" w:cs="Arial" w:eastAsia="Arial" w:hAnsi="Arial"/>
          <w:sz w:val="16"/>
          <w:szCs w:val="16"/>
          <w:color w:val="231F20"/>
        </w:rPr>
        <w:t>Our success depends in part on not infringing the patents or violating the other proprietary rights of others. Intellectual property disputes can be costly to defend and may cause our business, operating results and financial condition to suffer. Significant litigation regarding patent rights occurs in the medical industry. Whether merited or not, it is possible that U.S. and foreign patents and pending patent applications controlled by third parties may be alleged to cover our products. We may also face allegations that our employees have misappropriated the intellectual property rights of their former employers or other third parties. Our competitors in both the U.S. and abroad, many of which have substantially greater resources and have made substantial investments in patent portfolios and competing technologies, may have applied for or obtained or may in the future apply for and obtain, patents that will prevent, limit, or otherwise interfere with our ability to make, use, sell, and/or export our products. Our competitors may have one or more patents for which they can threaten and/or initiate patent infringement actions against us and/or any of our third-party suppliers. Our ability to defend ourselves and/or our third-party suppliers may be limited by our financial and human resources, the availability of reasonable defenses, and the ultimate acceptance of our defenses by the courts or juries. Furthermore, if such patents are successfully asserted against us, this may result in an adverse impact on our business, including injunctions, damages, and/or attorneys’ fees. From time to time and in the ordinary course of business, we may develop noninfringement and/or invalidity positions with respect to third-party patents, which may or not be ultimately adjudicated as successful by a judge or jury if such patents were asserted against us.</w:t>
      </w:r>
    </w:p>
    <w:p>
      <w:pPr>
        <w:spacing w:after="0" w:line="61" w:lineRule="exact"/>
        <w:rPr>
          <w:sz w:val="20"/>
          <w:szCs w:val="20"/>
          <w:color w:val="auto"/>
        </w:rPr>
      </w:pPr>
    </w:p>
    <w:p>
      <w:pPr>
        <w:ind w:right="40"/>
        <w:spacing w:after="0" w:line="257" w:lineRule="auto"/>
        <w:rPr>
          <w:sz w:val="20"/>
          <w:szCs w:val="20"/>
          <w:color w:val="auto"/>
        </w:rPr>
      </w:pPr>
      <w:r>
        <w:rPr>
          <w:rFonts w:ascii="Arial" w:cs="Arial" w:eastAsia="Arial" w:hAnsi="Arial"/>
          <w:sz w:val="18"/>
          <w:szCs w:val="18"/>
          <w:color w:val="231F20"/>
        </w:rPr>
        <w:t>We may receive in the future, particularly as a public company, communications from patent holders, including non-practicing entities, alleging infringement of patents or other intellectual property rights or misappropriation of trade secrets, or offering licenses to such intellectual property. Any claims that we assert against perceived infringers could also provoke these parties to assert counterclaims against us alleging that we infringe their intellectual property rights. At any given time, we may be involved as either a plaintiff or a defendant in a number of patent infringement actions, the outcomes of which may not be known for prolonged periods of time.</w:t>
      </w:r>
    </w:p>
    <w:p>
      <w:pPr>
        <w:spacing w:after="0" w:line="200" w:lineRule="exact"/>
        <w:rPr>
          <w:sz w:val="20"/>
          <w:szCs w:val="20"/>
          <w:color w:val="auto"/>
        </w:rPr>
      </w:pPr>
    </w:p>
    <w:p>
      <w:pPr>
        <w:spacing w:after="0" w:line="23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490" w:right="259" w:bottom="1440" w:gutter="0" w:footer="0" w:header="0"/>
        </w:sectPr>
      </w:pPr>
    </w:p>
    <w:bookmarkStart w:id="40" w:name="page41"/>
    <w:bookmarkEnd w:id="40"/>
    <w:p>
      <w:pPr>
        <w:ind w:right="100"/>
        <w:spacing w:after="0" w:line="264" w:lineRule="auto"/>
        <w:rPr>
          <w:sz w:val="20"/>
          <w:szCs w:val="20"/>
          <w:color w:val="auto"/>
        </w:rPr>
      </w:pPr>
      <w:r>
        <w:rPr>
          <w:rFonts w:ascii="Arial" w:cs="Arial" w:eastAsia="Arial" w:hAnsi="Arial"/>
          <w:sz w:val="18"/>
          <w:szCs w:val="18"/>
          <w:color w:val="231F20"/>
        </w:rPr>
        <w:t>The large number of patents, the rapid rate of new patent applications and issuances, the complexities of the technologies involved and the uncertainty of litigation significantly increase the risks related to any patent litigation. Any potential intellectual property litigation also could force us to do one or more of the following:</w:t>
      </w:r>
    </w:p>
    <w:p>
      <w:pPr>
        <w:spacing w:after="0" w:line="73" w:lineRule="exact"/>
        <w:rPr>
          <w:sz w:val="20"/>
          <w:szCs w:val="20"/>
          <w:color w:val="auto"/>
        </w:rPr>
      </w:pPr>
    </w:p>
    <w:p>
      <w:pPr>
        <w:ind w:left="1100" w:hanging="363"/>
        <w:spacing w:after="0"/>
        <w:tabs>
          <w:tab w:leader="none" w:pos="1100" w:val="left"/>
        </w:tabs>
        <w:numPr>
          <w:ilvl w:val="0"/>
          <w:numId w:val="34"/>
        </w:numPr>
        <w:rPr>
          <w:rFonts w:ascii="Arial" w:cs="Arial" w:eastAsia="Arial" w:hAnsi="Arial"/>
          <w:sz w:val="16"/>
          <w:szCs w:val="16"/>
          <w:color w:val="231F20"/>
        </w:rPr>
      </w:pPr>
      <w:r>
        <w:rPr>
          <w:rFonts w:ascii="Arial" w:cs="Arial" w:eastAsia="Arial" w:hAnsi="Arial"/>
          <w:sz w:val="18"/>
          <w:szCs w:val="18"/>
          <w:color w:val="231F20"/>
        </w:rPr>
        <w:t>stop selling, making, using, or exporting products that use the disputed intellectual property;</w:t>
      </w:r>
    </w:p>
    <w:p>
      <w:pPr>
        <w:spacing w:after="0" w:line="117" w:lineRule="exact"/>
        <w:rPr>
          <w:rFonts w:ascii="Arial" w:cs="Arial" w:eastAsia="Arial" w:hAnsi="Arial"/>
          <w:sz w:val="16"/>
          <w:szCs w:val="16"/>
          <w:color w:val="231F20"/>
        </w:rPr>
      </w:pPr>
    </w:p>
    <w:p>
      <w:pPr>
        <w:ind w:left="1100" w:right="400" w:hanging="363"/>
        <w:spacing w:after="0" w:line="277" w:lineRule="auto"/>
        <w:tabs>
          <w:tab w:leader="none" w:pos="1100" w:val="left"/>
        </w:tabs>
        <w:numPr>
          <w:ilvl w:val="0"/>
          <w:numId w:val="34"/>
        </w:numPr>
        <w:rPr>
          <w:rFonts w:ascii="Arial" w:cs="Arial" w:eastAsia="Arial" w:hAnsi="Arial"/>
          <w:sz w:val="16"/>
          <w:szCs w:val="16"/>
          <w:color w:val="231F20"/>
        </w:rPr>
      </w:pPr>
      <w:r>
        <w:rPr>
          <w:rFonts w:ascii="Arial" w:cs="Arial" w:eastAsia="Arial" w:hAnsi="Arial"/>
          <w:sz w:val="18"/>
          <w:szCs w:val="18"/>
          <w:color w:val="231F20"/>
        </w:rPr>
        <w:t>obtain a license from the intellectual property owner to continue selling, making, exporting, or using products, which license may require substantial royalty payments and may not be available on reasonable terms, or at all;</w:t>
      </w:r>
    </w:p>
    <w:p>
      <w:pPr>
        <w:spacing w:after="0" w:line="62" w:lineRule="exact"/>
        <w:rPr>
          <w:rFonts w:ascii="Arial" w:cs="Arial" w:eastAsia="Arial" w:hAnsi="Arial"/>
          <w:sz w:val="16"/>
          <w:szCs w:val="16"/>
          <w:color w:val="231F20"/>
        </w:rPr>
      </w:pPr>
    </w:p>
    <w:p>
      <w:pPr>
        <w:ind w:left="1100" w:hanging="363"/>
        <w:spacing w:after="0"/>
        <w:tabs>
          <w:tab w:leader="none" w:pos="1100" w:val="left"/>
        </w:tabs>
        <w:numPr>
          <w:ilvl w:val="0"/>
          <w:numId w:val="34"/>
        </w:numPr>
        <w:rPr>
          <w:rFonts w:ascii="Arial" w:cs="Arial" w:eastAsia="Arial" w:hAnsi="Arial"/>
          <w:sz w:val="16"/>
          <w:szCs w:val="16"/>
          <w:color w:val="231F20"/>
        </w:rPr>
      </w:pPr>
      <w:r>
        <w:rPr>
          <w:rFonts w:ascii="Arial" w:cs="Arial" w:eastAsia="Arial" w:hAnsi="Arial"/>
          <w:sz w:val="18"/>
          <w:szCs w:val="18"/>
          <w:color w:val="231F20"/>
        </w:rPr>
        <w:t>incur significant legal expenses;</w:t>
      </w:r>
    </w:p>
    <w:p>
      <w:pPr>
        <w:spacing w:after="0" w:line="117" w:lineRule="exact"/>
        <w:rPr>
          <w:rFonts w:ascii="Arial" w:cs="Arial" w:eastAsia="Arial" w:hAnsi="Arial"/>
          <w:sz w:val="16"/>
          <w:szCs w:val="16"/>
          <w:color w:val="231F20"/>
        </w:rPr>
      </w:pPr>
    </w:p>
    <w:p>
      <w:pPr>
        <w:ind w:left="1100" w:right="320" w:hanging="363"/>
        <w:spacing w:after="0" w:line="277" w:lineRule="auto"/>
        <w:tabs>
          <w:tab w:leader="none" w:pos="1100" w:val="left"/>
        </w:tabs>
        <w:numPr>
          <w:ilvl w:val="0"/>
          <w:numId w:val="34"/>
        </w:numPr>
        <w:rPr>
          <w:rFonts w:ascii="Arial" w:cs="Arial" w:eastAsia="Arial" w:hAnsi="Arial"/>
          <w:sz w:val="16"/>
          <w:szCs w:val="16"/>
          <w:color w:val="231F20"/>
        </w:rPr>
      </w:pPr>
      <w:r>
        <w:rPr>
          <w:rFonts w:ascii="Arial" w:cs="Arial" w:eastAsia="Arial" w:hAnsi="Arial"/>
          <w:sz w:val="18"/>
          <w:szCs w:val="18"/>
          <w:color w:val="231F20"/>
        </w:rPr>
        <w:t>pay substantial damages or royalties to the party whose intellectual property rights we may be found to be infringing, potentially including treble damages if the court finds that the infringement was willful;</w:t>
      </w:r>
    </w:p>
    <w:p>
      <w:pPr>
        <w:spacing w:after="0" w:line="62" w:lineRule="exact"/>
        <w:rPr>
          <w:rFonts w:ascii="Arial" w:cs="Arial" w:eastAsia="Arial" w:hAnsi="Arial"/>
          <w:sz w:val="16"/>
          <w:szCs w:val="16"/>
          <w:color w:val="231F20"/>
        </w:rPr>
      </w:pPr>
    </w:p>
    <w:p>
      <w:pPr>
        <w:ind w:left="1100" w:right="20" w:hanging="363"/>
        <w:spacing w:after="0" w:line="277" w:lineRule="auto"/>
        <w:tabs>
          <w:tab w:leader="none" w:pos="1100" w:val="left"/>
        </w:tabs>
        <w:numPr>
          <w:ilvl w:val="0"/>
          <w:numId w:val="34"/>
        </w:numPr>
        <w:rPr>
          <w:rFonts w:ascii="Arial" w:cs="Arial" w:eastAsia="Arial" w:hAnsi="Arial"/>
          <w:sz w:val="16"/>
          <w:szCs w:val="16"/>
          <w:color w:val="231F20"/>
        </w:rPr>
      </w:pPr>
      <w:r>
        <w:rPr>
          <w:rFonts w:ascii="Arial" w:cs="Arial" w:eastAsia="Arial" w:hAnsi="Arial"/>
          <w:sz w:val="18"/>
          <w:szCs w:val="18"/>
          <w:color w:val="231F20"/>
        </w:rPr>
        <w:t>if a license is available from a third-party, we may have to pay substantial royalties, upfront fees or grant cross-licenses to intellectual property rights for our products and services;</w:t>
      </w:r>
    </w:p>
    <w:p>
      <w:pPr>
        <w:spacing w:after="0" w:line="62" w:lineRule="exact"/>
        <w:rPr>
          <w:rFonts w:ascii="Arial" w:cs="Arial" w:eastAsia="Arial" w:hAnsi="Arial"/>
          <w:sz w:val="16"/>
          <w:szCs w:val="16"/>
          <w:color w:val="231F20"/>
        </w:rPr>
      </w:pPr>
    </w:p>
    <w:p>
      <w:pPr>
        <w:ind w:left="1100" w:hanging="363"/>
        <w:spacing w:after="0"/>
        <w:tabs>
          <w:tab w:leader="none" w:pos="1100" w:val="left"/>
        </w:tabs>
        <w:numPr>
          <w:ilvl w:val="0"/>
          <w:numId w:val="34"/>
        </w:numPr>
        <w:rPr>
          <w:rFonts w:ascii="Arial" w:cs="Arial" w:eastAsia="Arial" w:hAnsi="Arial"/>
          <w:sz w:val="16"/>
          <w:szCs w:val="16"/>
          <w:color w:val="231F20"/>
        </w:rPr>
      </w:pPr>
      <w:r>
        <w:rPr>
          <w:rFonts w:ascii="Arial" w:cs="Arial" w:eastAsia="Arial" w:hAnsi="Arial"/>
          <w:sz w:val="18"/>
          <w:szCs w:val="18"/>
          <w:color w:val="231F20"/>
        </w:rPr>
        <w:t>pay the attorney fees and costs of litigation to the party whose intellectual property rights we may be found to be infringing;</w:t>
      </w:r>
    </w:p>
    <w:p>
      <w:pPr>
        <w:spacing w:after="0" w:line="117" w:lineRule="exact"/>
        <w:rPr>
          <w:rFonts w:ascii="Arial" w:cs="Arial" w:eastAsia="Arial" w:hAnsi="Arial"/>
          <w:sz w:val="16"/>
          <w:szCs w:val="16"/>
          <w:color w:val="231F20"/>
        </w:rPr>
      </w:pPr>
    </w:p>
    <w:p>
      <w:pPr>
        <w:ind w:left="1100" w:hanging="363"/>
        <w:spacing w:after="0"/>
        <w:tabs>
          <w:tab w:leader="none" w:pos="1100" w:val="left"/>
        </w:tabs>
        <w:numPr>
          <w:ilvl w:val="0"/>
          <w:numId w:val="34"/>
        </w:numPr>
        <w:rPr>
          <w:rFonts w:ascii="Arial" w:cs="Arial" w:eastAsia="Arial" w:hAnsi="Arial"/>
          <w:sz w:val="15"/>
          <w:szCs w:val="15"/>
          <w:color w:val="231F20"/>
        </w:rPr>
      </w:pPr>
      <w:r>
        <w:rPr>
          <w:rFonts w:ascii="Arial" w:cs="Arial" w:eastAsia="Arial" w:hAnsi="Arial"/>
          <w:sz w:val="17"/>
          <w:szCs w:val="17"/>
          <w:color w:val="231F20"/>
        </w:rPr>
        <w:t>find non-infringing substitute products, which could be costly and create significant delay due to the need for FDA regulatory clearance;</w:t>
      </w:r>
    </w:p>
    <w:p>
      <w:pPr>
        <w:spacing w:after="0" w:line="128" w:lineRule="exact"/>
        <w:rPr>
          <w:rFonts w:ascii="Arial" w:cs="Arial" w:eastAsia="Arial" w:hAnsi="Arial"/>
          <w:sz w:val="15"/>
          <w:szCs w:val="15"/>
          <w:color w:val="231F20"/>
        </w:rPr>
      </w:pPr>
    </w:p>
    <w:p>
      <w:pPr>
        <w:ind w:left="1100" w:right="460" w:hanging="363"/>
        <w:spacing w:after="0" w:line="277" w:lineRule="auto"/>
        <w:tabs>
          <w:tab w:leader="none" w:pos="1100" w:val="left"/>
        </w:tabs>
        <w:numPr>
          <w:ilvl w:val="0"/>
          <w:numId w:val="34"/>
        </w:numPr>
        <w:rPr>
          <w:rFonts w:ascii="Arial" w:cs="Arial" w:eastAsia="Arial" w:hAnsi="Arial"/>
          <w:sz w:val="16"/>
          <w:szCs w:val="16"/>
          <w:color w:val="231F20"/>
        </w:rPr>
      </w:pPr>
      <w:r>
        <w:rPr>
          <w:rFonts w:ascii="Arial" w:cs="Arial" w:eastAsia="Arial" w:hAnsi="Arial"/>
          <w:sz w:val="18"/>
          <w:szCs w:val="18"/>
          <w:color w:val="231F20"/>
        </w:rPr>
        <w:t>find alternative supplies for infringing products or processes, which could be costly and create significant delay due to the need for FDA regulatory clearance; and/or</w:t>
      </w:r>
    </w:p>
    <w:p>
      <w:pPr>
        <w:spacing w:after="0" w:line="62" w:lineRule="exact"/>
        <w:rPr>
          <w:rFonts w:ascii="Arial" w:cs="Arial" w:eastAsia="Arial" w:hAnsi="Arial"/>
          <w:sz w:val="16"/>
          <w:szCs w:val="16"/>
          <w:color w:val="231F20"/>
        </w:rPr>
      </w:pPr>
    </w:p>
    <w:p>
      <w:pPr>
        <w:ind w:left="1100" w:hanging="363"/>
        <w:spacing w:after="0"/>
        <w:tabs>
          <w:tab w:leader="none" w:pos="1100" w:val="left"/>
        </w:tabs>
        <w:numPr>
          <w:ilvl w:val="0"/>
          <w:numId w:val="34"/>
        </w:numPr>
        <w:rPr>
          <w:rFonts w:ascii="Arial" w:cs="Arial" w:eastAsia="Arial" w:hAnsi="Arial"/>
          <w:sz w:val="14"/>
          <w:szCs w:val="14"/>
          <w:color w:val="231F20"/>
        </w:rPr>
      </w:pPr>
      <w:r>
        <w:rPr>
          <w:rFonts w:ascii="Arial" w:cs="Arial" w:eastAsia="Arial" w:hAnsi="Arial"/>
          <w:sz w:val="16"/>
          <w:szCs w:val="16"/>
          <w:color w:val="231F20"/>
        </w:rPr>
        <w:t>redesign those products or processes that infringe any third-party intellectual property, which could be costly, disruptive, and/or infeasible.</w:t>
      </w:r>
    </w:p>
    <w:p>
      <w:pPr>
        <w:spacing w:after="0" w:line="140" w:lineRule="exact"/>
        <w:rPr>
          <w:sz w:val="20"/>
          <w:szCs w:val="20"/>
          <w:color w:val="auto"/>
        </w:rPr>
      </w:pPr>
    </w:p>
    <w:p>
      <w:pPr>
        <w:spacing w:after="0" w:line="273" w:lineRule="auto"/>
        <w:rPr>
          <w:sz w:val="20"/>
          <w:szCs w:val="20"/>
          <w:color w:val="auto"/>
        </w:rPr>
      </w:pPr>
      <w:r>
        <w:rPr>
          <w:rFonts w:ascii="Arial" w:cs="Arial" w:eastAsia="Arial" w:hAnsi="Arial"/>
          <w:sz w:val="17"/>
          <w:szCs w:val="17"/>
          <w:color w:val="231F20"/>
        </w:rPr>
        <w:t>From time to time, we may be subject to legal proceedings and claims in the ordinary course of business with respect to intellectual property. Even if resolved in our favor, litigation or other legal proceedings relating to intellectual property claims may cause us to incur significant expenses, and could distract our technical and management personnel from their normal responsibilities. In addition, there could be public announcements of the results of hearings, motions or other interim proceedings or developments, and if securities analysts or investors perceive these results to be negative, it could have a material adverse effect on the price of our common stock. Finally, any uncertainties resulting from the initiation and continuation of any litigation could have a material adverse effect on our ability to raise the funds necessary to continue our operations.</w:t>
      </w:r>
    </w:p>
    <w:p>
      <w:pPr>
        <w:spacing w:after="0" w:line="70" w:lineRule="exact"/>
        <w:rPr>
          <w:sz w:val="20"/>
          <w:szCs w:val="20"/>
          <w:color w:val="auto"/>
        </w:rPr>
      </w:pPr>
    </w:p>
    <w:p>
      <w:pPr>
        <w:ind w:right="20"/>
        <w:spacing w:after="0" w:line="257" w:lineRule="auto"/>
        <w:rPr>
          <w:sz w:val="20"/>
          <w:szCs w:val="20"/>
          <w:color w:val="auto"/>
        </w:rPr>
      </w:pPr>
      <w:r>
        <w:rPr>
          <w:rFonts w:ascii="Arial" w:cs="Arial" w:eastAsia="Arial" w:hAnsi="Arial"/>
          <w:sz w:val="18"/>
          <w:szCs w:val="18"/>
          <w:color w:val="231F20"/>
        </w:rPr>
        <w:t>If any of the foregoing occurs, we may have to withdraw existing products from the market or may be unable to commercialize one or more of our products, all of which could have a material adverse effect on our business, results of operations and financial condition. Any litigation or claim against us, even those without merit, may cause us to incur substantial costs, and could place a significant strain on our financial resources, divert the attention of management from our core business and harm our reputation. Furthermore, as the number of participants in the robotic hair restoration surgery market grows, the possibility of intellectual property infringement claims against us increases.</w:t>
      </w:r>
    </w:p>
    <w:p>
      <w:pPr>
        <w:spacing w:after="0" w:line="80" w:lineRule="exact"/>
        <w:rPr>
          <w:sz w:val="20"/>
          <w:szCs w:val="20"/>
          <w:color w:val="auto"/>
        </w:rPr>
      </w:pPr>
    </w:p>
    <w:p>
      <w:pPr>
        <w:ind w:right="80"/>
        <w:spacing w:after="0" w:line="293" w:lineRule="auto"/>
        <w:rPr>
          <w:sz w:val="20"/>
          <w:szCs w:val="20"/>
          <w:color w:val="auto"/>
        </w:rPr>
      </w:pPr>
      <w:r>
        <w:rPr>
          <w:rFonts w:ascii="Arial" w:cs="Arial" w:eastAsia="Arial" w:hAnsi="Arial"/>
          <w:sz w:val="16"/>
          <w:szCs w:val="16"/>
          <w:color w:val="231F20"/>
        </w:rPr>
        <w:t>In addition, we may indemnify our customers, suppliers and international distributors against claims relating to the infringement of the intellectual property rights of third parties relating to our products, methods, and/or manufacturing processes. Third parties may assert infringement claims against our customers, suppliers, or distributors. These claims may require us to initiate or defend protracted and costly litigation on behalf of our customers, suppliers or distributors, regardless of the merits of these claims. If any of these claims succeed, we may be forced to pay damages on behalf of our customers, suppliers, or distributors or may be required to obtain licenses for the products they use. If we cannot obtain all necessary licenses on commercially reasonable terms, our customers may be forced to stop using our products, or our suppliers may be forced to stop providing us with products.</w:t>
      </w:r>
    </w:p>
    <w:p>
      <w:pPr>
        <w:spacing w:after="0" w:line="57" w:lineRule="exact"/>
        <w:rPr>
          <w:sz w:val="20"/>
          <w:szCs w:val="20"/>
          <w:color w:val="auto"/>
        </w:rPr>
      </w:pPr>
    </w:p>
    <w:p>
      <w:pPr>
        <w:ind w:right="180"/>
        <w:spacing w:after="0" w:line="259" w:lineRule="auto"/>
        <w:rPr>
          <w:sz w:val="20"/>
          <w:szCs w:val="20"/>
          <w:color w:val="auto"/>
        </w:rPr>
      </w:pPr>
      <w:r>
        <w:rPr>
          <w:rFonts w:ascii="Arial" w:cs="Arial" w:eastAsia="Arial" w:hAnsi="Arial"/>
          <w:sz w:val="18"/>
          <w:szCs w:val="18"/>
          <w:color w:val="231F20"/>
        </w:rPr>
        <w:t>Similarly, interference or derivation proceedings provoked by third parties or brought by the United Stated Patent and Trademark Office, or USPTO, or any foreign patent authority may be necessary to determine the priority of inventions or other matters of inventorship with respect to our patents or patent applications. We may also become involved in other proceedings, such as re-examination or opposition proceedings, before the USPTO or its foreign counterparts relating to our intellectual property or the intellectual property rights of others. An unfavorable</w:t>
      </w:r>
    </w:p>
    <w:p>
      <w:pPr>
        <w:spacing w:after="0" w:line="200" w:lineRule="exact"/>
        <w:rPr>
          <w:sz w:val="20"/>
          <w:szCs w:val="20"/>
          <w:color w:val="auto"/>
        </w:rPr>
      </w:pPr>
    </w:p>
    <w:p>
      <w:pPr>
        <w:spacing w:after="0" w:line="23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449" w:right="259" w:bottom="1440" w:gutter="0" w:footer="0" w:header="0"/>
        </w:sectPr>
      </w:pPr>
    </w:p>
    <w:bookmarkStart w:id="41" w:name="page42"/>
    <w:bookmarkEnd w:id="41"/>
    <w:p>
      <w:pPr>
        <w:ind w:right="80"/>
        <w:spacing w:after="0" w:line="293" w:lineRule="auto"/>
        <w:rPr>
          <w:sz w:val="20"/>
          <w:szCs w:val="20"/>
          <w:color w:val="auto"/>
        </w:rPr>
      </w:pPr>
      <w:r>
        <w:rPr>
          <w:rFonts w:ascii="Arial" w:cs="Arial" w:eastAsia="Arial" w:hAnsi="Arial"/>
          <w:sz w:val="16"/>
          <w:szCs w:val="16"/>
          <w:color w:val="231F20"/>
        </w:rPr>
        <w:t>outcome in any such proceedings could require us to cease using the related technology or to attempt to license rights to it from the prevailing party, or could cause us to lose valuable intellectual property rights. Our business could be harmed if the prevailing party does not offer us a license on commercially reasonable terms, if any license is offered at all. Litigation or other proceedings may fail and, even if successful, may result in substantial costs and distract our management and other employees. We may also become involved in disputes with others regarding the ownership of intellectual property rights. For example, we jointly develop intellectual property with certain parties, and disagreements may therefore arise as to the ownership of the intellectual property developed pursuant to these relationships. If we are unable to resolve these disputes, we could lose valuable intellectual property rights.</w:t>
      </w:r>
    </w:p>
    <w:p>
      <w:pPr>
        <w:spacing w:after="0" w:line="97"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231F20"/>
        </w:rPr>
        <w:t>Changes in patent law could diminish the value of patents in general, thereby impairing our ability to protect our existing and future products.</w:t>
      </w:r>
    </w:p>
    <w:p>
      <w:pPr>
        <w:spacing w:after="0" w:line="140" w:lineRule="exact"/>
        <w:rPr>
          <w:sz w:val="20"/>
          <w:szCs w:val="20"/>
          <w:color w:val="auto"/>
        </w:rPr>
      </w:pPr>
    </w:p>
    <w:p>
      <w:pPr>
        <w:ind w:right="20"/>
        <w:spacing w:after="0" w:line="288" w:lineRule="auto"/>
        <w:rPr>
          <w:sz w:val="20"/>
          <w:szCs w:val="20"/>
          <w:color w:val="auto"/>
        </w:rPr>
      </w:pPr>
      <w:r>
        <w:rPr>
          <w:rFonts w:ascii="Arial" w:cs="Arial" w:eastAsia="Arial" w:hAnsi="Arial"/>
          <w:sz w:val="16"/>
          <w:szCs w:val="16"/>
          <w:color w:val="231F20"/>
        </w:rPr>
        <w:t>Recent patent reform legislation could increase the uncertainties and costs surrounding the prosecution of our patent applications and the enforcement or defense of our issued patents. On September 16, 2011, the Leahy-Smith America Invents Act, or the Leahy-Smith Act, was signed into law. The Leahy-Smith Act includes a number of significant changes to U.S. patent law. These include provisions that affect the way patent applications are prosecuted, redefine prior art, may affect patent litigation, and switched the U.S. patent system from a “first-to-invent” system to a “first-to-file” system. Under a “first-to-file” system, assuming the other requirements for patentability are met, the first inventor to file a patent application generally will be entitled to the patent on an invention regardless of whether another inventor had made the invention earlier. The USPTO recently developed new regulations and procedures to govern administration of the Leahy-Smith Act, and many of the substantive changes to patent law associated with the Leahy-Smith Act, in particular, the first-to-file provisions, only became effective on March 16, 2013. Accordingly, it is not clear what, if any, impact the Leahy-Smith Act will have on the operation of our business. The Leahy-Smith Act and its implementation could increase the uncertainties and costs surrounding the prosecution of our patent applications and the enforcement or defense of our issued patents, all of which could have a material adverse effect on our business and financial condition.</w:t>
      </w:r>
    </w:p>
    <w:p>
      <w:pPr>
        <w:spacing w:after="0" w:line="61" w:lineRule="exact"/>
        <w:rPr>
          <w:sz w:val="20"/>
          <w:szCs w:val="20"/>
          <w:color w:val="auto"/>
        </w:rPr>
      </w:pPr>
    </w:p>
    <w:p>
      <w:pPr>
        <w:spacing w:after="0" w:line="270" w:lineRule="auto"/>
        <w:rPr>
          <w:sz w:val="20"/>
          <w:szCs w:val="20"/>
          <w:color w:val="auto"/>
        </w:rPr>
      </w:pPr>
      <w:r>
        <w:rPr>
          <w:rFonts w:ascii="Arial" w:cs="Arial" w:eastAsia="Arial" w:hAnsi="Arial"/>
          <w:sz w:val="17"/>
          <w:szCs w:val="17"/>
          <w:color w:val="231F20"/>
        </w:rPr>
        <w:t xml:space="preserve">In addition, patent reform legislation may pass in the future that could lead to additional uncertainties and increased costs surrounding the prosecution, enforcement and defense of our patents and applications. Furthermore, the U.S. Supreme Court and the U.S. Court of Appeals for the Federal Circuit have made, and will likely continue to make, changes in how the patent laws of the U.S. are interpreted. For example, the U.S. Supreme Court has ruled on several patent cases in recent years, such as </w:t>
      </w:r>
      <w:r>
        <w:rPr>
          <w:rFonts w:ascii="Arial" w:cs="Arial" w:eastAsia="Arial" w:hAnsi="Arial"/>
          <w:sz w:val="17"/>
          <w:szCs w:val="17"/>
          <w:i w:val="1"/>
          <w:iCs w:val="1"/>
          <w:color w:val="231F20"/>
        </w:rPr>
        <w:t>Association for Molecular Pathology v. Myriad Genetics, Inc.</w:t>
      </w:r>
      <w:r>
        <w:rPr>
          <w:rFonts w:ascii="Arial" w:cs="Arial" w:eastAsia="Arial" w:hAnsi="Arial"/>
          <w:sz w:val="17"/>
          <w:szCs w:val="17"/>
          <w:color w:val="231F20"/>
        </w:rPr>
        <w:t xml:space="preserve"> (Myriad I), </w:t>
      </w:r>
      <w:r>
        <w:rPr>
          <w:rFonts w:ascii="Arial" w:cs="Arial" w:eastAsia="Arial" w:hAnsi="Arial"/>
          <w:sz w:val="17"/>
          <w:szCs w:val="17"/>
          <w:i w:val="1"/>
          <w:iCs w:val="1"/>
          <w:color w:val="231F20"/>
        </w:rPr>
        <w:t>Mayo Collaborative Services v. Prometheus Laboratories,</w:t>
      </w:r>
      <w:r>
        <w:rPr>
          <w:rFonts w:ascii="Arial" w:cs="Arial" w:eastAsia="Arial" w:hAnsi="Arial"/>
          <w:sz w:val="17"/>
          <w:szCs w:val="17"/>
          <w:color w:val="231F20"/>
        </w:rPr>
        <w:t xml:space="preserve"> </w:t>
      </w:r>
      <w:r>
        <w:rPr>
          <w:rFonts w:ascii="Arial" w:cs="Arial" w:eastAsia="Arial" w:hAnsi="Arial"/>
          <w:sz w:val="17"/>
          <w:szCs w:val="17"/>
          <w:i w:val="1"/>
          <w:iCs w:val="1"/>
          <w:color w:val="231F20"/>
        </w:rPr>
        <w:t xml:space="preserve">Inc., </w:t>
      </w:r>
      <w:r>
        <w:rPr>
          <w:rFonts w:ascii="Arial" w:cs="Arial" w:eastAsia="Arial" w:hAnsi="Arial"/>
          <w:sz w:val="17"/>
          <w:szCs w:val="17"/>
          <w:color w:val="231F20"/>
        </w:rPr>
        <w:t>and</w:t>
      </w:r>
      <w:r>
        <w:rPr>
          <w:rFonts w:ascii="Arial" w:cs="Arial" w:eastAsia="Arial" w:hAnsi="Arial"/>
          <w:sz w:val="17"/>
          <w:szCs w:val="17"/>
          <w:i w:val="1"/>
          <w:iCs w:val="1"/>
          <w:color w:val="231F20"/>
        </w:rPr>
        <w:t xml:space="preserve"> Alice Corporation Pty. Ltd. v. CLS Bank International, </w:t>
      </w:r>
      <w:r>
        <w:rPr>
          <w:rFonts w:ascii="Arial" w:cs="Arial" w:eastAsia="Arial" w:hAnsi="Arial"/>
          <w:sz w:val="17"/>
          <w:szCs w:val="17"/>
          <w:color w:val="231F20"/>
        </w:rPr>
        <w:t>either narrowing the scope of patent protection available in certain circumstances or weakening</w:t>
      </w:r>
      <w:r>
        <w:rPr>
          <w:rFonts w:ascii="Arial" w:cs="Arial" w:eastAsia="Arial" w:hAnsi="Arial"/>
          <w:sz w:val="17"/>
          <w:szCs w:val="17"/>
          <w:i w:val="1"/>
          <w:iCs w:val="1"/>
          <w:color w:val="231F20"/>
        </w:rPr>
        <w:t xml:space="preserve"> </w:t>
      </w:r>
      <w:r>
        <w:rPr>
          <w:rFonts w:ascii="Arial" w:cs="Arial" w:eastAsia="Arial" w:hAnsi="Arial"/>
          <w:sz w:val="17"/>
          <w:szCs w:val="17"/>
          <w:color w:val="231F20"/>
        </w:rPr>
        <w:t>the rights of patent owners in certain situations. Similarly, foreign courts have made, and will likely continue to make, changes in how the patent laws in their respective jurisdictions are interpreted. We cannot predict future changes in the interpretation of patent laws or changes to patent laws that might be enacted into law by U.S. and foreign legislative bodies. Those changes may materially affect our patents or patent applications and our ability to obtain additional patent protection in the future.</w:t>
      </w:r>
    </w:p>
    <w:p>
      <w:pPr>
        <w:spacing w:after="0" w:line="101" w:lineRule="exact"/>
        <w:rPr>
          <w:sz w:val="20"/>
          <w:szCs w:val="20"/>
          <w:color w:val="auto"/>
        </w:rPr>
      </w:pPr>
    </w:p>
    <w:p>
      <w:pPr>
        <w:spacing w:after="0" w:line="375" w:lineRule="auto"/>
        <w:rPr>
          <w:sz w:val="20"/>
          <w:szCs w:val="20"/>
          <w:color w:val="auto"/>
        </w:rPr>
      </w:pPr>
      <w:r>
        <w:rPr>
          <w:rFonts w:ascii="Arial" w:cs="Arial" w:eastAsia="Arial" w:hAnsi="Arial"/>
          <w:sz w:val="15"/>
          <w:szCs w:val="15"/>
          <w:b w:val="1"/>
          <w:bCs w:val="1"/>
          <w:i w:val="1"/>
          <w:iCs w:val="1"/>
          <w:color w:val="231F20"/>
        </w:rPr>
        <w:t>Obtaining and maintaining patent protection depends on compliance with various procedural, document submission, fee payment and other requirements imposed by governmental patent agencies, and our patent protection could be reduced or eliminated for non-compliance with these requirements.</w:t>
      </w:r>
    </w:p>
    <w:p>
      <w:pPr>
        <w:spacing w:after="0" w:line="1" w:lineRule="exact"/>
        <w:rPr>
          <w:sz w:val="20"/>
          <w:szCs w:val="20"/>
          <w:color w:val="auto"/>
        </w:rPr>
      </w:pPr>
    </w:p>
    <w:p>
      <w:pPr>
        <w:ind w:right="20"/>
        <w:spacing w:after="0" w:line="290" w:lineRule="auto"/>
        <w:rPr>
          <w:sz w:val="20"/>
          <w:szCs w:val="20"/>
          <w:color w:val="auto"/>
        </w:rPr>
      </w:pPr>
      <w:r>
        <w:rPr>
          <w:rFonts w:ascii="Arial" w:cs="Arial" w:eastAsia="Arial" w:hAnsi="Arial"/>
          <w:sz w:val="16"/>
          <w:szCs w:val="16"/>
          <w:color w:val="231F20"/>
        </w:rPr>
        <w:t>The USPTO and various foreign governmental patent agencies require compliance with a number of procedural, documentary, fee payment, and other similar provisions during the patent application process. In addition, periodic maintenance fees on issued patents often must be paid to the USPTO and foreign patent agencies over the lifetime of the patent. While an unintentional lapse can in many cases be cured by payment of a late fee or by other means in accordance with the applicable rules, there are situations in which noncompliance can result in abandonment or lapse of the patent or patent application, resulting in partial or complete loss of patent rights in the relevant jurisdiction. Non-compliance events that could result in abandonment or lapse of a patent or patent application include, but are not limited to, failure to respond to official actions within prescribed time limits, non-payment of fees and failure to properly legalize and submit formal documents. If we fail to maintain the patents and patent applications covering our products or procedures, we may not be able to stop a competitor from marketing products that are the same as or similar to our own, which would have a material adverse effect on our business.</w:t>
      </w:r>
    </w:p>
    <w:p>
      <w:pPr>
        <w:spacing w:after="0" w:line="200" w:lineRule="exact"/>
        <w:rPr>
          <w:sz w:val="20"/>
          <w:szCs w:val="20"/>
          <w:color w:val="auto"/>
        </w:rPr>
      </w:pPr>
    </w:p>
    <w:p>
      <w:pPr>
        <w:spacing w:after="0" w:line="20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449" w:right="259" w:bottom="1440" w:gutter="0" w:footer="0" w:header="0"/>
        </w:sectPr>
      </w:pPr>
    </w:p>
    <w:bookmarkStart w:id="42" w:name="page43"/>
    <w:bookmarkEnd w:id="42"/>
    <w:p>
      <w:pPr>
        <w:spacing w:after="0"/>
        <w:rPr>
          <w:sz w:val="20"/>
          <w:szCs w:val="20"/>
          <w:color w:val="auto"/>
        </w:rPr>
      </w:pPr>
      <w:r>
        <w:rPr>
          <w:rFonts w:ascii="Arial" w:cs="Arial" w:eastAsia="Arial" w:hAnsi="Arial"/>
          <w:sz w:val="18"/>
          <w:szCs w:val="18"/>
          <w:b w:val="1"/>
          <w:bCs w:val="1"/>
          <w:i w:val="1"/>
          <w:iCs w:val="1"/>
          <w:color w:val="231F20"/>
        </w:rPr>
        <w:t>We may not be able to adequately protect our intellectual property rights throughout the world.</w:t>
      </w:r>
    </w:p>
    <w:p>
      <w:pPr>
        <w:spacing w:after="0" w:line="117" w:lineRule="exact"/>
        <w:rPr>
          <w:sz w:val="20"/>
          <w:szCs w:val="20"/>
          <w:color w:val="auto"/>
        </w:rPr>
      </w:pPr>
    </w:p>
    <w:p>
      <w:pPr>
        <w:ind w:right="40"/>
        <w:spacing w:after="0" w:line="255" w:lineRule="auto"/>
        <w:rPr>
          <w:sz w:val="20"/>
          <w:szCs w:val="20"/>
          <w:color w:val="auto"/>
        </w:rPr>
      </w:pPr>
      <w:r>
        <w:rPr>
          <w:rFonts w:ascii="Arial" w:cs="Arial" w:eastAsia="Arial" w:hAnsi="Arial"/>
          <w:sz w:val="18"/>
          <w:szCs w:val="18"/>
          <w:color w:val="231F20"/>
        </w:rPr>
        <w:t>Filing, prosecuting and defending patents on our products in all countries throughout the world would be prohibitively expensive. The requirements for patentability may differ in certain countries, particularly developing countries, and the breadth of patent claims allowed can be inconsistent. In addition, the laws of some foreign countries may not protect our intellectual property rights to the same extent as laws in the U.S. Consequently, we may not be able to prevent third parties from practicing our inventions in all countries outside the U.S. Competitors may use our technologies in jurisdictions where we have not obtained patent protection to develop their own products and, furthermore, may export otherwise infringing products to territories in which we have patent protection that may not be sufficient to terminate infringing activities.</w:t>
      </w:r>
    </w:p>
    <w:p>
      <w:pPr>
        <w:spacing w:after="0" w:line="85" w:lineRule="exact"/>
        <w:rPr>
          <w:sz w:val="20"/>
          <w:szCs w:val="20"/>
          <w:color w:val="auto"/>
        </w:rPr>
      </w:pPr>
    </w:p>
    <w:p>
      <w:pPr>
        <w:ind w:right="240"/>
        <w:spacing w:after="0" w:line="273" w:lineRule="auto"/>
        <w:rPr>
          <w:sz w:val="20"/>
          <w:szCs w:val="20"/>
          <w:color w:val="auto"/>
        </w:rPr>
      </w:pPr>
      <w:r>
        <w:rPr>
          <w:rFonts w:ascii="Arial" w:cs="Arial" w:eastAsia="Arial" w:hAnsi="Arial"/>
          <w:sz w:val="17"/>
          <w:szCs w:val="17"/>
          <w:color w:val="231F20"/>
        </w:rPr>
        <w:t>We do not have patent rights in certain foreign countries in which a market may exist. Moreover, in foreign jurisdictions where we do have patent rights, proceedings to enforce such rights could result in substantial costs and divert our efforts and attention from other aspects of our business, could put our patents at risk of being invalidated or interpreted narrowly, and our patent applications at risk of not issuing. Additionally, such proceedings could provoke third parties to assert claims against us. We may not prevail in any lawsuits that we initiate and the damages or other remedies awarded, if any, may not be commercially meaningful. Thus, we may not be able to stop a competitor from marketing and selling in foreign countries products that are the same as or similar to our products, and our competitive position in the international market would be harmed.</w:t>
      </w:r>
    </w:p>
    <w:p>
      <w:pPr>
        <w:spacing w:after="0" w:line="97"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b w:val="1"/>
          <w:bCs w:val="1"/>
          <w:i w:val="1"/>
          <w:iCs w:val="1"/>
          <w:color w:val="231F20"/>
        </w:rPr>
        <w:t>We depend on certain technologies that are licensed to us. We do not control these technologies and any loss of our rights to them could prevent us from selling our products.</w:t>
      </w:r>
    </w:p>
    <w:p>
      <w:pPr>
        <w:spacing w:after="0" w:line="62" w:lineRule="exact"/>
        <w:rPr>
          <w:sz w:val="20"/>
          <w:szCs w:val="20"/>
          <w:color w:val="auto"/>
        </w:rPr>
      </w:pPr>
    </w:p>
    <w:p>
      <w:pPr>
        <w:ind w:right="20"/>
        <w:spacing w:after="0" w:line="271" w:lineRule="auto"/>
        <w:rPr>
          <w:sz w:val="20"/>
          <w:szCs w:val="20"/>
          <w:color w:val="auto"/>
        </w:rPr>
      </w:pPr>
      <w:r>
        <w:rPr>
          <w:rFonts w:ascii="Arial" w:cs="Arial" w:eastAsia="Arial" w:hAnsi="Arial"/>
          <w:sz w:val="17"/>
          <w:szCs w:val="17"/>
          <w:color w:val="231F20"/>
        </w:rPr>
        <w:t>We are dependent on licenses from HSC Development LLC and James A. Harris, M.D. for some of our key technologies. We do not own the patents that underlie these licenses. Our rights to use the technology we license are subject to the negotiation of, continuation of and compliance with the terms of those licenses. In some cases, we do not control the prosecution, maintenance, or filing of the patents to which we hold licenses, or the enforcement of these patents against third parties. These patents and patent applications were largely not written by us or our attorneys, and we largely did not have control over the drafting and prosecution. Our licensors might not have given the same attention to the drafting and prosecution of these patents and applications as we would have if we had been the owners of the patents and applications and had complete control over the drafting and prosecution. We cannot be certain that drafting and/or prosecution of the licensed patents and patent applications by the licensors have been or will be conducted in compliance with applicable laws and regulations or will result in valid and enforceable patents and other intellectual property rights.</w:t>
      </w:r>
    </w:p>
    <w:p>
      <w:pPr>
        <w:spacing w:after="0" w:line="111" w:lineRule="exact"/>
        <w:rPr>
          <w:sz w:val="20"/>
          <w:szCs w:val="20"/>
          <w:color w:val="auto"/>
        </w:rPr>
      </w:pPr>
    </w:p>
    <w:p>
      <w:pPr>
        <w:ind w:right="20"/>
        <w:spacing w:after="0" w:line="308" w:lineRule="auto"/>
        <w:rPr>
          <w:sz w:val="20"/>
          <w:szCs w:val="20"/>
          <w:color w:val="auto"/>
        </w:rPr>
      </w:pPr>
      <w:r>
        <w:rPr>
          <w:rFonts w:ascii="Arial" w:cs="Arial" w:eastAsia="Arial" w:hAnsi="Arial"/>
          <w:sz w:val="17"/>
          <w:szCs w:val="17"/>
          <w:b w:val="1"/>
          <w:bCs w:val="1"/>
          <w:i w:val="1"/>
          <w:iCs w:val="1"/>
          <w:color w:val="231F20"/>
        </w:rPr>
        <w:t>Our intellectual property agreements with third parties may be subject to disagreements over contract interpretation, which could narrow the scope of our rights to the relevant intellectual property or technology or increase our financial or other obligations to our licensors.</w:t>
      </w:r>
    </w:p>
    <w:p>
      <w:pPr>
        <w:spacing w:after="0" w:line="38" w:lineRule="exact"/>
        <w:rPr>
          <w:sz w:val="20"/>
          <w:szCs w:val="20"/>
          <w:color w:val="auto"/>
        </w:rPr>
      </w:pPr>
    </w:p>
    <w:p>
      <w:pPr>
        <w:ind w:right="240"/>
        <w:spacing w:after="0" w:line="312" w:lineRule="auto"/>
        <w:rPr>
          <w:sz w:val="20"/>
          <w:szCs w:val="20"/>
          <w:color w:val="auto"/>
        </w:rPr>
      </w:pPr>
      <w:r>
        <w:rPr>
          <w:rFonts w:ascii="Arial" w:cs="Arial" w:eastAsia="Arial" w:hAnsi="Arial"/>
          <w:sz w:val="16"/>
          <w:szCs w:val="16"/>
          <w:color w:val="231F20"/>
        </w:rPr>
        <w:t>Certain provisions in our intellectual property agreements may be susceptible to multiple interpretations. The resolution of any contract interpretation disagreement that may arise could affect the scope of our rights to the relevant intellectual property or technology, or affect financial or other obligations under the relevant agreement, either of which could have a material adverse effect on our business, financial condition, results of operations and prospects.</w:t>
      </w:r>
    </w:p>
    <w:p>
      <w:pPr>
        <w:spacing w:after="0" w:line="39" w:lineRule="exact"/>
        <w:rPr>
          <w:sz w:val="20"/>
          <w:szCs w:val="20"/>
          <w:color w:val="auto"/>
        </w:rPr>
      </w:pPr>
    </w:p>
    <w:p>
      <w:pPr>
        <w:jc w:val="both"/>
        <w:spacing w:after="0" w:line="302" w:lineRule="auto"/>
        <w:rPr>
          <w:sz w:val="20"/>
          <w:szCs w:val="20"/>
          <w:color w:val="auto"/>
        </w:rPr>
      </w:pPr>
      <w:r>
        <w:rPr>
          <w:rFonts w:ascii="Arial" w:cs="Arial" w:eastAsia="Arial" w:hAnsi="Arial"/>
          <w:sz w:val="16"/>
          <w:szCs w:val="16"/>
          <w:color w:val="231F20"/>
        </w:rPr>
        <w:t>In addition, while it is our policy to require our employees and contractors who may be involved in the conception or development of intellectual property to execute agreements assigning such intellectual property to us, we may be unsuccessful in executing such an agreement with each party who in fact conceives or develops intellectual property that we regard as our own. Our assignment agreements may not be self-executing or may be breached, and we may be forced to bring claims against third parties, or defend claims they may bring against us, to determine the ownership of what we regard as our intellectual property.</w:t>
      </w:r>
    </w:p>
    <w:p>
      <w:pPr>
        <w:spacing w:after="0" w:line="87"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b w:val="1"/>
          <w:bCs w:val="1"/>
          <w:i w:val="1"/>
          <w:iCs w:val="1"/>
          <w:color w:val="231F20"/>
        </w:rPr>
        <w:t>We may be subject to damages resulting from claims that we or our employees have wrongfully used or disclosed alleged trade secrets of our competitors or are in breach of non-competition or non-solicitation agreements with our competitors.</w:t>
      </w:r>
    </w:p>
    <w:p>
      <w:pPr>
        <w:spacing w:after="0" w:line="62" w:lineRule="exact"/>
        <w:rPr>
          <w:sz w:val="20"/>
          <w:szCs w:val="20"/>
          <w:color w:val="auto"/>
        </w:rPr>
      </w:pPr>
    </w:p>
    <w:p>
      <w:pPr>
        <w:ind w:right="120"/>
        <w:spacing w:after="0" w:line="312" w:lineRule="auto"/>
        <w:rPr>
          <w:sz w:val="20"/>
          <w:szCs w:val="20"/>
          <w:color w:val="auto"/>
        </w:rPr>
      </w:pPr>
      <w:r>
        <w:rPr>
          <w:rFonts w:ascii="Arial" w:cs="Arial" w:eastAsia="Arial" w:hAnsi="Arial"/>
          <w:sz w:val="16"/>
          <w:szCs w:val="16"/>
          <w:color w:val="231F20"/>
        </w:rPr>
        <w:t>We could in the future be subject to claims that we or our employees have inadvertently or otherwise used or disclosed alleged trade secrets or other proprietary information of former employers or competitors. Although we have procedures in place that seek to prevent our employees and consultants from using the intellectual property, proprietary information, know-how or trade secrets of others in their work for us, we may in the future be subject to</w:t>
      </w:r>
    </w:p>
    <w:p>
      <w:pPr>
        <w:spacing w:after="0" w:line="39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490" w:right="259" w:bottom="1440" w:gutter="0" w:footer="0" w:header="0"/>
        </w:sectPr>
      </w:pPr>
    </w:p>
    <w:bookmarkStart w:id="43" w:name="page44"/>
    <w:bookmarkEnd w:id="43"/>
    <w:p>
      <w:pPr>
        <w:spacing w:after="0" w:line="288" w:lineRule="auto"/>
        <w:rPr>
          <w:sz w:val="20"/>
          <w:szCs w:val="20"/>
          <w:color w:val="auto"/>
        </w:rPr>
      </w:pPr>
      <w:r>
        <w:rPr>
          <w:rFonts w:ascii="Arial" w:cs="Arial" w:eastAsia="Arial" w:hAnsi="Arial"/>
          <w:sz w:val="16"/>
          <w:szCs w:val="16"/>
          <w:color w:val="231F20"/>
        </w:rPr>
        <w:t>claims that we caused an employee to breach the terms of his or her non-competition or non-solicitation agreement, or that we or these individuals have, inadvertently or otherwise, used or disclosed the alleged trade secrets or other proprietary information of a former employer or competitor. Litigation may be necessary to defend against these claims. Even if we are successful in defending against these claims, litigation could result in substantial costs and could be a distraction to management. If our defense to those claims fails, in addition to paying monetary damages, a court could prohibit us from using technologies or functionalities that are essential to our products, if such technologies or functionalities are found to incorporate or be derived from the trade secrets or other proprietary information of the former employers. An inability to incorporate technologies or functionalities that are important or essential to our products would have a material adverse effect on our business, and may prevent us from selling our products or from practicing our processes. In addition, we may lose valuable intellectual property rights or personnel. Moreover, any such litigation or the threat thereof may adversely affect our ability to hire employees or contract with independent sales representatives. A loss of key personnel or their work product could hamper or prevent our ability to commercialize our products, which could have an adverse effect on our business, results of operations and financial condition.</w:t>
      </w:r>
    </w:p>
    <w:p>
      <w:pPr>
        <w:spacing w:after="0" w:line="102" w:lineRule="exact"/>
        <w:rPr>
          <w:sz w:val="20"/>
          <w:szCs w:val="20"/>
          <w:color w:val="auto"/>
        </w:rPr>
      </w:pPr>
    </w:p>
    <w:p>
      <w:pPr>
        <w:ind w:right="260"/>
        <w:spacing w:after="0" w:line="277" w:lineRule="auto"/>
        <w:rPr>
          <w:sz w:val="20"/>
          <w:szCs w:val="20"/>
          <w:color w:val="auto"/>
        </w:rPr>
      </w:pPr>
      <w:r>
        <w:rPr>
          <w:rFonts w:ascii="Arial" w:cs="Arial" w:eastAsia="Arial" w:hAnsi="Arial"/>
          <w:sz w:val="18"/>
          <w:szCs w:val="18"/>
          <w:b w:val="1"/>
          <w:bCs w:val="1"/>
          <w:i w:val="1"/>
          <w:iCs w:val="1"/>
          <w:color w:val="231F20"/>
        </w:rPr>
        <w:t>If our trademarks and trade names are not adequately protected, then we may not be able to build name recognition in our markets of interest and our business may be adversely affected.</w:t>
      </w:r>
    </w:p>
    <w:p>
      <w:pPr>
        <w:spacing w:after="0" w:line="62" w:lineRule="exact"/>
        <w:rPr>
          <w:sz w:val="20"/>
          <w:szCs w:val="20"/>
          <w:color w:val="auto"/>
        </w:rPr>
      </w:pPr>
    </w:p>
    <w:p>
      <w:pPr>
        <w:ind w:right="40"/>
        <w:spacing w:after="0" w:line="269" w:lineRule="auto"/>
        <w:rPr>
          <w:sz w:val="20"/>
          <w:szCs w:val="20"/>
          <w:color w:val="auto"/>
        </w:rPr>
      </w:pPr>
      <w:r>
        <w:rPr>
          <w:rFonts w:ascii="Arial" w:cs="Arial" w:eastAsia="Arial" w:hAnsi="Arial"/>
          <w:sz w:val="17"/>
          <w:szCs w:val="17"/>
          <w:color w:val="231F20"/>
        </w:rPr>
        <w:t>We hold various trademarks for our products and services. Many of these trademarks are registered with the USPTO and corresponding government agencies in numerous other countries, and we hold trademark applications for these marks in a number of foreign countries, although the laws of many countries may not protect our trademark rights to the same extent as the laws of the U.S. Actions taken by us to establish and protect our trademarks might not prevent imitation of our products or services, infringement of our trademark rights by unauthorized parties or other challenges to our ownership or validity of our trademarks. If any of these events occur, we may not be able to protect and enforce our rights in these trademarks, which we need in order to build name recognition with potential partners or customers in our markets of interest. In addition, unauthorized third-parties may have registered trademarks similar and identical to our trademarks in foreign jurisdictions or may in the future file for registration of such trademarks. If they succeed in registering or developing common law rights in such trademarks, and if we were not successful in challenging such third-party rights, we may not be able to use such trademarks to market our products and services in those countries. If we are unable to register our trademarks, enforce our trademarks, or bar a third-party from registering or using a trademark, our ability to establish name recognition based on our trademarks and compete effectively in our markets of interest may be adversely affected.</w:t>
      </w:r>
    </w:p>
    <w:p>
      <w:pPr>
        <w:spacing w:after="0" w:line="10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231F20"/>
        </w:rPr>
        <w:t>If we are unable to protect the confidentiality of our trade secrets, our business and competitive position may be harmed.</w:t>
      </w:r>
    </w:p>
    <w:p>
      <w:pPr>
        <w:spacing w:after="0" w:line="117" w:lineRule="exact"/>
        <w:rPr>
          <w:sz w:val="20"/>
          <w:szCs w:val="20"/>
          <w:color w:val="auto"/>
        </w:rPr>
      </w:pPr>
    </w:p>
    <w:p>
      <w:pPr>
        <w:ind w:right="80"/>
        <w:spacing w:after="0" w:line="270" w:lineRule="auto"/>
        <w:rPr>
          <w:sz w:val="20"/>
          <w:szCs w:val="20"/>
          <w:color w:val="auto"/>
        </w:rPr>
      </w:pPr>
      <w:r>
        <w:rPr>
          <w:rFonts w:ascii="Arial" w:cs="Arial" w:eastAsia="Arial" w:hAnsi="Arial"/>
          <w:sz w:val="17"/>
          <w:szCs w:val="17"/>
          <w:color w:val="231F20"/>
        </w:rPr>
        <w:t>In addition to patent and trademark protection, we also rely on trade secrets, including unpatented know-how, technology and other proprietary information, to maintain our competitive position. We seek to protect our trade secrets, in part, by entering into non-disclosure and confidentiality agreements with parties who have access to them, such as our consultants and vendors, or our former or current employees. We also enter into confidentiality and invention or patent assignment agreements with our employees and consultants. Despite these efforts, however, any of these parties may breach the agreements and disclose our trade secrets and other unpatented or unregistered proprietary information, and once disclosed, we are likely to lose trade secret protection. Monitoring unauthorized uses and disclosures of our intellectual property is difficult, and we do not know whether the steps we have taken to protect our intellectual property will be effective. In addition, we may not be able to obtain adequate remedies for any such breaches. Enforcing a claim that a party illegally disclosed or misappropriated a trade secret is difficult, expensive and time-consuming, and the outcome is unpredictable. In addition, some courts inside and outside the U.S. are less willing or unwilling to enforce trade secret protection.</w:t>
      </w:r>
    </w:p>
    <w:p>
      <w:pPr>
        <w:spacing w:after="0" w:line="74" w:lineRule="exact"/>
        <w:rPr>
          <w:sz w:val="20"/>
          <w:szCs w:val="20"/>
          <w:color w:val="auto"/>
        </w:rPr>
      </w:pPr>
    </w:p>
    <w:p>
      <w:pPr>
        <w:ind w:right="200"/>
        <w:spacing w:after="0" w:line="291" w:lineRule="auto"/>
        <w:rPr>
          <w:sz w:val="20"/>
          <w:szCs w:val="20"/>
          <w:color w:val="auto"/>
        </w:rPr>
      </w:pPr>
      <w:r>
        <w:rPr>
          <w:rFonts w:ascii="Arial" w:cs="Arial" w:eastAsia="Arial" w:hAnsi="Arial"/>
          <w:sz w:val="16"/>
          <w:szCs w:val="16"/>
          <w:color w:val="231F20"/>
        </w:rPr>
        <w:t>Furthermore, our competitors may independently develop knowledge, methods and know-how similar, equivalent, or superior to our proprietary technology. Competitors could purchase our products and attempt to replicate some or all of the competitive advantages we derive from our development efforts, willfully infringe our intellectual property rights, design around our protected technology, or develop their own competitive technologies that fall outside of our intellectual property rights. In addition, our key employees, consultants, suppliers or other individuals with access to our proprietary technology and know-how may incorporate that technology and know-how into projects and inventions developed independently or with third parties. As a result, disputes may arise regarding the ownership of the proprietary rights to such technology or know-how, and any such dispute may not be resolved in our favor. If any of our trade secrets were to be lawfully obtained or independently developed by a competitor, we would have no right to</w:t>
      </w:r>
    </w:p>
    <w:p>
      <w:pPr>
        <w:spacing w:after="0" w:line="200" w:lineRule="exact"/>
        <w:rPr>
          <w:sz w:val="20"/>
          <w:szCs w:val="20"/>
          <w:color w:val="auto"/>
        </w:rPr>
      </w:pPr>
    </w:p>
    <w:p>
      <w:pPr>
        <w:spacing w:after="0" w:line="21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449" w:right="259" w:bottom="1440" w:gutter="0" w:footer="0" w:header="0"/>
        </w:sectPr>
      </w:pPr>
    </w:p>
    <w:bookmarkStart w:id="44" w:name="page45"/>
    <w:bookmarkEnd w:id="44"/>
    <w:p>
      <w:pPr>
        <w:ind w:right="60"/>
        <w:spacing w:after="0" w:line="264" w:lineRule="auto"/>
        <w:rPr>
          <w:sz w:val="20"/>
          <w:szCs w:val="20"/>
          <w:color w:val="auto"/>
        </w:rPr>
      </w:pPr>
      <w:r>
        <w:rPr>
          <w:rFonts w:ascii="Arial" w:cs="Arial" w:eastAsia="Arial" w:hAnsi="Arial"/>
          <w:sz w:val="18"/>
          <w:szCs w:val="18"/>
          <w:color w:val="231F20"/>
        </w:rPr>
        <w:t>prevent them, or those to whom they communicate it, from using that technology or information to compete with us and our competitive position could be adversely affected. If our intellectual property is not adequately protected so as to protect our market against competitors’ products and methods, our competitive position could be adversely affected, as could our business.</w:t>
      </w:r>
    </w:p>
    <w:p>
      <w:pPr>
        <w:spacing w:after="0" w:line="110" w:lineRule="exact"/>
        <w:rPr>
          <w:sz w:val="20"/>
          <w:szCs w:val="20"/>
          <w:color w:val="auto"/>
        </w:rPr>
      </w:pPr>
    </w:p>
    <w:p>
      <w:pPr>
        <w:spacing w:after="0"/>
        <w:rPr>
          <w:sz w:val="20"/>
          <w:szCs w:val="20"/>
          <w:color w:val="auto"/>
        </w:rPr>
      </w:pPr>
      <w:r>
        <w:rPr>
          <w:rFonts w:ascii="Arial" w:cs="Arial" w:eastAsia="Arial" w:hAnsi="Arial"/>
          <w:sz w:val="18"/>
          <w:szCs w:val="18"/>
          <w:b w:val="1"/>
          <w:bCs w:val="1"/>
          <w:color w:val="231F20"/>
        </w:rPr>
        <w:t>Risks Related to Government Regulation</w:t>
      </w:r>
    </w:p>
    <w:p>
      <w:pPr>
        <w:spacing w:after="0" w:line="121" w:lineRule="exact"/>
        <w:rPr>
          <w:sz w:val="20"/>
          <w:szCs w:val="20"/>
          <w:color w:val="auto"/>
        </w:rPr>
      </w:pPr>
    </w:p>
    <w:p>
      <w:pPr>
        <w:ind w:right="420"/>
        <w:spacing w:after="0" w:line="277" w:lineRule="auto"/>
        <w:rPr>
          <w:sz w:val="20"/>
          <w:szCs w:val="20"/>
          <w:color w:val="auto"/>
        </w:rPr>
      </w:pPr>
      <w:r>
        <w:rPr>
          <w:rFonts w:ascii="Arial" w:cs="Arial" w:eastAsia="Arial" w:hAnsi="Arial"/>
          <w:sz w:val="18"/>
          <w:szCs w:val="18"/>
          <w:b w:val="1"/>
          <w:bCs w:val="1"/>
          <w:i w:val="1"/>
          <w:iCs w:val="1"/>
          <w:color w:val="231F20"/>
        </w:rPr>
        <w:t>The ARTAS System and our operations are subject to extensive government regulation and oversight both in the U.S. and abroad, and our failure to comply with applicable requirements could harm our business.</w:t>
      </w:r>
    </w:p>
    <w:p>
      <w:pPr>
        <w:spacing w:after="0" w:line="62" w:lineRule="exact"/>
        <w:rPr>
          <w:sz w:val="20"/>
          <w:szCs w:val="20"/>
          <w:color w:val="auto"/>
        </w:rPr>
      </w:pPr>
    </w:p>
    <w:p>
      <w:pPr>
        <w:spacing w:after="0" w:line="342" w:lineRule="auto"/>
        <w:rPr>
          <w:sz w:val="20"/>
          <w:szCs w:val="20"/>
          <w:color w:val="auto"/>
        </w:rPr>
      </w:pPr>
      <w:r>
        <w:rPr>
          <w:rFonts w:ascii="Arial" w:cs="Arial" w:eastAsia="Arial" w:hAnsi="Arial"/>
          <w:sz w:val="16"/>
          <w:szCs w:val="16"/>
          <w:color w:val="231F20"/>
        </w:rPr>
        <w:t>The ARTAS System and related products and services are regulated as medical devices subject to extensive regulation in the U.S. and elsewhere, including by the FDA and its foreign counterparts. The FDA and foreign regulatory agencies regulate, among other things, with respect to medical devices:</w:t>
      </w:r>
    </w:p>
    <w:p>
      <w:pPr>
        <w:spacing w:after="0" w:line="16" w:lineRule="exact"/>
        <w:rPr>
          <w:sz w:val="20"/>
          <w:szCs w:val="20"/>
          <w:color w:val="auto"/>
        </w:rPr>
      </w:pPr>
    </w:p>
    <w:p>
      <w:pPr>
        <w:ind w:left="1100" w:hanging="363"/>
        <w:spacing w:after="0"/>
        <w:tabs>
          <w:tab w:leader="none" w:pos="1100" w:val="left"/>
        </w:tabs>
        <w:numPr>
          <w:ilvl w:val="0"/>
          <w:numId w:val="35"/>
        </w:numPr>
        <w:rPr>
          <w:rFonts w:ascii="Arial" w:cs="Arial" w:eastAsia="Arial" w:hAnsi="Arial"/>
          <w:sz w:val="16"/>
          <w:szCs w:val="16"/>
          <w:color w:val="231F20"/>
        </w:rPr>
      </w:pPr>
      <w:r>
        <w:rPr>
          <w:rFonts w:ascii="Arial" w:cs="Arial" w:eastAsia="Arial" w:hAnsi="Arial"/>
          <w:sz w:val="18"/>
          <w:szCs w:val="18"/>
          <w:color w:val="231F20"/>
        </w:rPr>
        <w:t>design, development and manufacturing;</w:t>
      </w:r>
    </w:p>
    <w:p>
      <w:pPr>
        <w:spacing w:after="0" w:line="117" w:lineRule="exact"/>
        <w:rPr>
          <w:rFonts w:ascii="Arial" w:cs="Arial" w:eastAsia="Arial" w:hAnsi="Arial"/>
          <w:sz w:val="16"/>
          <w:szCs w:val="16"/>
          <w:color w:val="231F20"/>
        </w:rPr>
      </w:pPr>
    </w:p>
    <w:p>
      <w:pPr>
        <w:ind w:left="1100" w:hanging="363"/>
        <w:spacing w:after="0"/>
        <w:tabs>
          <w:tab w:leader="none" w:pos="1100" w:val="left"/>
        </w:tabs>
        <w:numPr>
          <w:ilvl w:val="0"/>
          <w:numId w:val="35"/>
        </w:numPr>
        <w:rPr>
          <w:rFonts w:ascii="Arial" w:cs="Arial" w:eastAsia="Arial" w:hAnsi="Arial"/>
          <w:sz w:val="16"/>
          <w:szCs w:val="16"/>
          <w:color w:val="231F20"/>
        </w:rPr>
      </w:pPr>
      <w:r>
        <w:rPr>
          <w:rFonts w:ascii="Arial" w:cs="Arial" w:eastAsia="Arial" w:hAnsi="Arial"/>
          <w:sz w:val="18"/>
          <w:szCs w:val="18"/>
          <w:color w:val="231F20"/>
        </w:rPr>
        <w:t>testing, labeling, content and language of instructions for use and storage;</w:t>
      </w:r>
    </w:p>
    <w:p>
      <w:pPr>
        <w:spacing w:after="0" w:line="117" w:lineRule="exact"/>
        <w:rPr>
          <w:rFonts w:ascii="Arial" w:cs="Arial" w:eastAsia="Arial" w:hAnsi="Arial"/>
          <w:sz w:val="16"/>
          <w:szCs w:val="16"/>
          <w:color w:val="231F20"/>
        </w:rPr>
      </w:pPr>
    </w:p>
    <w:p>
      <w:pPr>
        <w:ind w:left="1100" w:hanging="363"/>
        <w:spacing w:after="0"/>
        <w:tabs>
          <w:tab w:leader="none" w:pos="1100" w:val="left"/>
        </w:tabs>
        <w:numPr>
          <w:ilvl w:val="0"/>
          <w:numId w:val="35"/>
        </w:numPr>
        <w:rPr>
          <w:rFonts w:ascii="Arial" w:cs="Arial" w:eastAsia="Arial" w:hAnsi="Arial"/>
          <w:sz w:val="16"/>
          <w:szCs w:val="16"/>
          <w:color w:val="231F20"/>
        </w:rPr>
      </w:pPr>
      <w:r>
        <w:rPr>
          <w:rFonts w:ascii="Arial" w:cs="Arial" w:eastAsia="Arial" w:hAnsi="Arial"/>
          <w:sz w:val="18"/>
          <w:szCs w:val="18"/>
          <w:color w:val="231F20"/>
        </w:rPr>
        <w:t>clinical trials;</w:t>
      </w:r>
    </w:p>
    <w:p>
      <w:pPr>
        <w:spacing w:after="0" w:line="117" w:lineRule="exact"/>
        <w:rPr>
          <w:rFonts w:ascii="Arial" w:cs="Arial" w:eastAsia="Arial" w:hAnsi="Arial"/>
          <w:sz w:val="16"/>
          <w:szCs w:val="16"/>
          <w:color w:val="231F20"/>
        </w:rPr>
      </w:pPr>
    </w:p>
    <w:p>
      <w:pPr>
        <w:ind w:left="1100" w:hanging="363"/>
        <w:spacing w:after="0"/>
        <w:tabs>
          <w:tab w:leader="none" w:pos="1100" w:val="left"/>
        </w:tabs>
        <w:numPr>
          <w:ilvl w:val="0"/>
          <w:numId w:val="35"/>
        </w:numPr>
        <w:rPr>
          <w:rFonts w:ascii="Arial" w:cs="Arial" w:eastAsia="Arial" w:hAnsi="Arial"/>
          <w:sz w:val="16"/>
          <w:szCs w:val="16"/>
          <w:color w:val="231F20"/>
        </w:rPr>
      </w:pPr>
      <w:r>
        <w:rPr>
          <w:rFonts w:ascii="Arial" w:cs="Arial" w:eastAsia="Arial" w:hAnsi="Arial"/>
          <w:sz w:val="18"/>
          <w:szCs w:val="18"/>
          <w:color w:val="231F20"/>
        </w:rPr>
        <w:t>product safety;</w:t>
      </w:r>
    </w:p>
    <w:p>
      <w:pPr>
        <w:spacing w:after="0" w:line="117" w:lineRule="exact"/>
        <w:rPr>
          <w:rFonts w:ascii="Arial" w:cs="Arial" w:eastAsia="Arial" w:hAnsi="Arial"/>
          <w:sz w:val="16"/>
          <w:szCs w:val="16"/>
          <w:color w:val="231F20"/>
        </w:rPr>
      </w:pPr>
    </w:p>
    <w:p>
      <w:pPr>
        <w:ind w:left="1100" w:hanging="363"/>
        <w:spacing w:after="0"/>
        <w:tabs>
          <w:tab w:leader="none" w:pos="1100" w:val="left"/>
        </w:tabs>
        <w:numPr>
          <w:ilvl w:val="0"/>
          <w:numId w:val="35"/>
        </w:numPr>
        <w:rPr>
          <w:rFonts w:ascii="Arial" w:cs="Arial" w:eastAsia="Arial" w:hAnsi="Arial"/>
          <w:sz w:val="16"/>
          <w:szCs w:val="16"/>
          <w:color w:val="231F20"/>
        </w:rPr>
      </w:pPr>
      <w:r>
        <w:rPr>
          <w:rFonts w:ascii="Arial" w:cs="Arial" w:eastAsia="Arial" w:hAnsi="Arial"/>
          <w:sz w:val="18"/>
          <w:szCs w:val="18"/>
          <w:color w:val="231F20"/>
        </w:rPr>
        <w:t>marketing, sales and distribution;</w:t>
      </w:r>
    </w:p>
    <w:p>
      <w:pPr>
        <w:spacing w:after="0" w:line="117" w:lineRule="exact"/>
        <w:rPr>
          <w:rFonts w:ascii="Arial" w:cs="Arial" w:eastAsia="Arial" w:hAnsi="Arial"/>
          <w:sz w:val="16"/>
          <w:szCs w:val="16"/>
          <w:color w:val="231F20"/>
        </w:rPr>
      </w:pPr>
    </w:p>
    <w:p>
      <w:pPr>
        <w:ind w:left="1100" w:hanging="363"/>
        <w:spacing w:after="0"/>
        <w:tabs>
          <w:tab w:leader="none" w:pos="1100" w:val="left"/>
        </w:tabs>
        <w:numPr>
          <w:ilvl w:val="0"/>
          <w:numId w:val="35"/>
        </w:numPr>
        <w:rPr>
          <w:rFonts w:ascii="Arial" w:cs="Arial" w:eastAsia="Arial" w:hAnsi="Arial"/>
          <w:sz w:val="16"/>
          <w:szCs w:val="16"/>
          <w:color w:val="231F20"/>
        </w:rPr>
      </w:pPr>
      <w:r>
        <w:rPr>
          <w:rFonts w:ascii="Arial" w:cs="Arial" w:eastAsia="Arial" w:hAnsi="Arial"/>
          <w:sz w:val="18"/>
          <w:szCs w:val="18"/>
          <w:color w:val="231F20"/>
        </w:rPr>
        <w:t>premarket clearance and approval;</w:t>
      </w:r>
    </w:p>
    <w:p>
      <w:pPr>
        <w:spacing w:after="0" w:line="117" w:lineRule="exact"/>
        <w:rPr>
          <w:rFonts w:ascii="Arial" w:cs="Arial" w:eastAsia="Arial" w:hAnsi="Arial"/>
          <w:sz w:val="16"/>
          <w:szCs w:val="16"/>
          <w:color w:val="231F20"/>
        </w:rPr>
      </w:pPr>
    </w:p>
    <w:p>
      <w:pPr>
        <w:ind w:left="1100" w:hanging="363"/>
        <w:spacing w:after="0"/>
        <w:tabs>
          <w:tab w:leader="none" w:pos="1100" w:val="left"/>
        </w:tabs>
        <w:numPr>
          <w:ilvl w:val="0"/>
          <w:numId w:val="35"/>
        </w:numPr>
        <w:rPr>
          <w:rFonts w:ascii="Arial" w:cs="Arial" w:eastAsia="Arial" w:hAnsi="Arial"/>
          <w:sz w:val="16"/>
          <w:szCs w:val="16"/>
          <w:color w:val="231F20"/>
        </w:rPr>
      </w:pPr>
      <w:r>
        <w:rPr>
          <w:rFonts w:ascii="Arial" w:cs="Arial" w:eastAsia="Arial" w:hAnsi="Arial"/>
          <w:sz w:val="18"/>
          <w:szCs w:val="18"/>
          <w:color w:val="231F20"/>
        </w:rPr>
        <w:t>record keeping procedures;</w:t>
      </w:r>
    </w:p>
    <w:p>
      <w:pPr>
        <w:spacing w:after="0" w:line="117" w:lineRule="exact"/>
        <w:rPr>
          <w:rFonts w:ascii="Arial" w:cs="Arial" w:eastAsia="Arial" w:hAnsi="Arial"/>
          <w:sz w:val="16"/>
          <w:szCs w:val="16"/>
          <w:color w:val="231F20"/>
        </w:rPr>
      </w:pPr>
    </w:p>
    <w:p>
      <w:pPr>
        <w:ind w:left="1100" w:hanging="363"/>
        <w:spacing w:after="0"/>
        <w:tabs>
          <w:tab w:leader="none" w:pos="1100" w:val="left"/>
        </w:tabs>
        <w:numPr>
          <w:ilvl w:val="0"/>
          <w:numId w:val="35"/>
        </w:numPr>
        <w:rPr>
          <w:rFonts w:ascii="Arial" w:cs="Arial" w:eastAsia="Arial" w:hAnsi="Arial"/>
          <w:sz w:val="16"/>
          <w:szCs w:val="16"/>
          <w:color w:val="231F20"/>
        </w:rPr>
      </w:pPr>
      <w:r>
        <w:rPr>
          <w:rFonts w:ascii="Arial" w:cs="Arial" w:eastAsia="Arial" w:hAnsi="Arial"/>
          <w:sz w:val="18"/>
          <w:szCs w:val="18"/>
          <w:color w:val="231F20"/>
        </w:rPr>
        <w:t>advertising and promotion;</w:t>
      </w:r>
    </w:p>
    <w:p>
      <w:pPr>
        <w:spacing w:after="0" w:line="117" w:lineRule="exact"/>
        <w:rPr>
          <w:rFonts w:ascii="Arial" w:cs="Arial" w:eastAsia="Arial" w:hAnsi="Arial"/>
          <w:sz w:val="16"/>
          <w:szCs w:val="16"/>
          <w:color w:val="231F20"/>
        </w:rPr>
      </w:pPr>
    </w:p>
    <w:p>
      <w:pPr>
        <w:ind w:left="1100" w:hanging="363"/>
        <w:spacing w:after="0"/>
        <w:tabs>
          <w:tab w:leader="none" w:pos="1100" w:val="left"/>
        </w:tabs>
        <w:numPr>
          <w:ilvl w:val="0"/>
          <w:numId w:val="35"/>
        </w:numPr>
        <w:rPr>
          <w:rFonts w:ascii="Arial" w:cs="Arial" w:eastAsia="Arial" w:hAnsi="Arial"/>
          <w:sz w:val="16"/>
          <w:szCs w:val="16"/>
          <w:color w:val="231F20"/>
        </w:rPr>
      </w:pPr>
      <w:r>
        <w:rPr>
          <w:rFonts w:ascii="Arial" w:cs="Arial" w:eastAsia="Arial" w:hAnsi="Arial"/>
          <w:sz w:val="18"/>
          <w:szCs w:val="18"/>
          <w:color w:val="231F20"/>
        </w:rPr>
        <w:t>recalls and field safety corrective actions;</w:t>
      </w:r>
    </w:p>
    <w:p>
      <w:pPr>
        <w:spacing w:after="0" w:line="117" w:lineRule="exact"/>
        <w:rPr>
          <w:rFonts w:ascii="Arial" w:cs="Arial" w:eastAsia="Arial" w:hAnsi="Arial"/>
          <w:sz w:val="16"/>
          <w:szCs w:val="16"/>
          <w:color w:val="231F20"/>
        </w:rPr>
      </w:pPr>
    </w:p>
    <w:p>
      <w:pPr>
        <w:ind w:left="1100" w:right="200" w:hanging="363"/>
        <w:spacing w:after="0" w:line="277" w:lineRule="auto"/>
        <w:tabs>
          <w:tab w:leader="none" w:pos="1100" w:val="left"/>
        </w:tabs>
        <w:numPr>
          <w:ilvl w:val="0"/>
          <w:numId w:val="35"/>
        </w:numPr>
        <w:rPr>
          <w:rFonts w:ascii="Arial" w:cs="Arial" w:eastAsia="Arial" w:hAnsi="Arial"/>
          <w:sz w:val="16"/>
          <w:szCs w:val="16"/>
          <w:color w:val="231F20"/>
        </w:rPr>
      </w:pPr>
      <w:r>
        <w:rPr>
          <w:rFonts w:ascii="Arial" w:cs="Arial" w:eastAsia="Arial" w:hAnsi="Arial"/>
          <w:sz w:val="18"/>
          <w:szCs w:val="18"/>
          <w:color w:val="231F20"/>
        </w:rPr>
        <w:t>post-market surveillance, including reporting of deaths or serious injuries and malfunctions that, if they were to recur, could lead to death or serious injury;</w:t>
      </w:r>
    </w:p>
    <w:p>
      <w:pPr>
        <w:spacing w:after="0" w:line="62" w:lineRule="exact"/>
        <w:rPr>
          <w:rFonts w:ascii="Arial" w:cs="Arial" w:eastAsia="Arial" w:hAnsi="Arial"/>
          <w:sz w:val="16"/>
          <w:szCs w:val="16"/>
          <w:color w:val="231F20"/>
        </w:rPr>
      </w:pPr>
    </w:p>
    <w:p>
      <w:pPr>
        <w:ind w:left="1100" w:hanging="363"/>
        <w:spacing w:after="0"/>
        <w:tabs>
          <w:tab w:leader="none" w:pos="1100" w:val="left"/>
        </w:tabs>
        <w:numPr>
          <w:ilvl w:val="0"/>
          <w:numId w:val="35"/>
        </w:numPr>
        <w:rPr>
          <w:rFonts w:ascii="Arial" w:cs="Arial" w:eastAsia="Arial" w:hAnsi="Arial"/>
          <w:sz w:val="16"/>
          <w:szCs w:val="16"/>
          <w:color w:val="231F20"/>
        </w:rPr>
      </w:pPr>
      <w:r>
        <w:rPr>
          <w:rFonts w:ascii="Arial" w:cs="Arial" w:eastAsia="Arial" w:hAnsi="Arial"/>
          <w:sz w:val="18"/>
          <w:szCs w:val="18"/>
          <w:color w:val="231F20"/>
        </w:rPr>
        <w:t>post-market approval studies; and</w:t>
      </w:r>
    </w:p>
    <w:p>
      <w:pPr>
        <w:spacing w:after="0" w:line="117" w:lineRule="exact"/>
        <w:rPr>
          <w:rFonts w:ascii="Arial" w:cs="Arial" w:eastAsia="Arial" w:hAnsi="Arial"/>
          <w:sz w:val="16"/>
          <w:szCs w:val="16"/>
          <w:color w:val="231F20"/>
        </w:rPr>
      </w:pPr>
    </w:p>
    <w:p>
      <w:pPr>
        <w:ind w:left="1100" w:hanging="363"/>
        <w:spacing w:after="0"/>
        <w:tabs>
          <w:tab w:leader="none" w:pos="1100" w:val="left"/>
        </w:tabs>
        <w:numPr>
          <w:ilvl w:val="0"/>
          <w:numId w:val="35"/>
        </w:numPr>
        <w:rPr>
          <w:rFonts w:ascii="Arial" w:cs="Arial" w:eastAsia="Arial" w:hAnsi="Arial"/>
          <w:sz w:val="16"/>
          <w:szCs w:val="16"/>
          <w:color w:val="231F20"/>
        </w:rPr>
      </w:pPr>
      <w:r>
        <w:rPr>
          <w:rFonts w:ascii="Arial" w:cs="Arial" w:eastAsia="Arial" w:hAnsi="Arial"/>
          <w:sz w:val="18"/>
          <w:szCs w:val="18"/>
          <w:color w:val="231F20"/>
        </w:rPr>
        <w:t>product import and export.</w:t>
      </w:r>
    </w:p>
    <w:p>
      <w:pPr>
        <w:spacing w:after="0" w:line="117"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color w:val="231F20"/>
        </w:rPr>
        <w:t>The regulations to which we are subject are complex and have tended to become more stringent over time. Regulatory changes could result in restrictions on our ability to carry on or expand our operations, higher than anticipated costs or lower than anticipated sales.</w:t>
      </w:r>
    </w:p>
    <w:p>
      <w:pPr>
        <w:spacing w:after="0" w:line="62" w:lineRule="exact"/>
        <w:rPr>
          <w:sz w:val="20"/>
          <w:szCs w:val="20"/>
          <w:color w:val="auto"/>
        </w:rPr>
      </w:pPr>
    </w:p>
    <w:p>
      <w:pPr>
        <w:ind w:right="100"/>
        <w:spacing w:after="0" w:line="269" w:lineRule="auto"/>
        <w:rPr>
          <w:sz w:val="20"/>
          <w:szCs w:val="20"/>
          <w:color w:val="auto"/>
        </w:rPr>
      </w:pPr>
      <w:r>
        <w:rPr>
          <w:rFonts w:ascii="Arial" w:cs="Arial" w:eastAsia="Arial" w:hAnsi="Arial"/>
          <w:sz w:val="17"/>
          <w:szCs w:val="17"/>
          <w:color w:val="231F20"/>
        </w:rPr>
        <w:t>In the U.S., before we can market a new medical device, or a new use of, new claim for or significant modification to an existing product, we must first receive either clearance under Section 510(k) of the FDCA or approval of a PMA application from the FDA, unless an exemption applies. In the 510(k) clearance process, before a device may be marketed, the FDA must determine that a proposed device is “substantially equivalent” to a legally-marketed “predicate” device, which includes a device that has been previously cleared through the 510(k) process, a device that was legally marketed prior to May 28, 1976 (preamendments device), a device that was originally on the U.S. market pursuant to an approved premarket approval, or PMA, application and later downclassified, or a 510(k)-exempt device. To be “substantially equivalent,” the proposed device must have the same intended use as the predicate device, and either have the same technological characteristics as the predicate device or have different technological characteristics and not raise different questions of safety or effectiveness than the predicate device. Clinical data are sometimes required to support substantial equivalence. In the PMA process, the FDA must determine that a proposed device is safe and effective for its intended use based, in part, on extensive data, including, but not limited to, technical, pre-clinical, clinical trial, manufacturing and labeling data. The PMA process is typically required for devices that are deemed to pose the greatest risk, such as life- sustaining, life-supporting or implantable devices.</w:t>
      </w:r>
    </w:p>
    <w:p>
      <w:pPr>
        <w:spacing w:after="0" w:line="75" w:lineRule="exact"/>
        <w:rPr>
          <w:sz w:val="20"/>
          <w:szCs w:val="20"/>
          <w:color w:val="auto"/>
        </w:rPr>
      </w:pPr>
    </w:p>
    <w:p>
      <w:pPr>
        <w:ind w:right="220"/>
        <w:spacing w:after="0" w:line="279" w:lineRule="auto"/>
        <w:rPr>
          <w:sz w:val="20"/>
          <w:szCs w:val="20"/>
          <w:color w:val="auto"/>
        </w:rPr>
      </w:pPr>
      <w:r>
        <w:rPr>
          <w:rFonts w:ascii="Arial" w:cs="Arial" w:eastAsia="Arial" w:hAnsi="Arial"/>
          <w:sz w:val="17"/>
          <w:szCs w:val="17"/>
          <w:color w:val="231F20"/>
        </w:rPr>
        <w:t>Modifications to products that are approved through a PMA application generally require FDA approval. Similarly, certain modifications made to products cleared through a 510(k) may require a new 510(k) clearance. Both the PMA approval and the 510(k) clearance process can be expensive, lengthy and uncertain. The FDA’s 510(k) clearance process usually takes from three to 12 months, but can last longer. The process of obtaining a PMA is much more costly and uncertain than the 510(k) clearance process and generally takes from one to three years, or even longer,</w:t>
      </w:r>
    </w:p>
    <w:p>
      <w:pPr>
        <w:spacing w:after="0" w:line="200" w:lineRule="exact"/>
        <w:rPr>
          <w:sz w:val="20"/>
          <w:szCs w:val="20"/>
          <w:color w:val="auto"/>
        </w:rPr>
      </w:pPr>
    </w:p>
    <w:p>
      <w:pPr>
        <w:spacing w:after="0" w:line="21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449" w:right="259" w:bottom="1440" w:gutter="0" w:footer="0" w:header="0"/>
        </w:sectPr>
      </w:pPr>
    </w:p>
    <w:bookmarkStart w:id="45" w:name="page46"/>
    <w:bookmarkEnd w:id="45"/>
    <w:p>
      <w:pPr>
        <w:ind w:right="240"/>
        <w:spacing w:after="0" w:line="264" w:lineRule="auto"/>
        <w:rPr>
          <w:sz w:val="20"/>
          <w:szCs w:val="20"/>
          <w:color w:val="auto"/>
        </w:rPr>
      </w:pPr>
      <w:r>
        <w:rPr>
          <w:rFonts w:ascii="Arial" w:cs="Arial" w:eastAsia="Arial" w:hAnsi="Arial"/>
          <w:sz w:val="18"/>
          <w:szCs w:val="18"/>
          <w:color w:val="231F20"/>
        </w:rPr>
        <w:t>from the time the application is filed with the FDA. In addition, a PMA generally requires, and the 510(k) clearance process sometimes requires, the performance of one or more clinical trials. Despite the time, effort and cost, we cannot assure you that any particular device will be approved or cleared by the FDA. Any delay or failure to obtain necessary regulatory approvals could harm our business.</w:t>
      </w:r>
    </w:p>
    <w:p>
      <w:pPr>
        <w:spacing w:after="0" w:line="73" w:lineRule="exact"/>
        <w:rPr>
          <w:sz w:val="20"/>
          <w:szCs w:val="20"/>
          <w:color w:val="auto"/>
        </w:rPr>
      </w:pPr>
    </w:p>
    <w:p>
      <w:pPr>
        <w:ind w:right="60"/>
        <w:spacing w:after="0" w:line="255" w:lineRule="auto"/>
        <w:rPr>
          <w:sz w:val="20"/>
          <w:szCs w:val="20"/>
          <w:color w:val="auto"/>
        </w:rPr>
      </w:pPr>
      <w:r>
        <w:rPr>
          <w:rFonts w:ascii="Arial" w:cs="Arial" w:eastAsia="Arial" w:hAnsi="Arial"/>
          <w:sz w:val="18"/>
          <w:szCs w:val="18"/>
          <w:color w:val="231F20"/>
        </w:rPr>
        <w:t>In the U.S., we have obtained 510(k) premarket clearance from the FDA to market the ARTAS System for harvesting hair follicles from the scalp in men diagnosed with AGA who have black or brown straight hair. An element of our strategy is to continue to add new functionalities and enhance existing functionalities to the ARTAS System. We expect that certain modifications we may make to the ARTAS System may require new 510(k) clearance; however, future modifications may be subject to the substantially more costly, time-consuming and uncertain PMA process. If the FDA requires us to go through a lengthier, more rigorous examination for future products or modifications to existing products than we had expected, product introductions or modifications could be delayed or canceled, which could cause our sales to decline.</w:t>
      </w:r>
    </w:p>
    <w:p>
      <w:pPr>
        <w:spacing w:after="0" w:line="85" w:lineRule="exact"/>
        <w:rPr>
          <w:sz w:val="20"/>
          <w:szCs w:val="20"/>
          <w:color w:val="auto"/>
        </w:rPr>
      </w:pPr>
    </w:p>
    <w:p>
      <w:pPr>
        <w:spacing w:after="0"/>
        <w:rPr>
          <w:sz w:val="20"/>
          <w:szCs w:val="20"/>
          <w:color w:val="auto"/>
        </w:rPr>
      </w:pPr>
      <w:r>
        <w:rPr>
          <w:rFonts w:ascii="Arial" w:cs="Arial" w:eastAsia="Arial" w:hAnsi="Arial"/>
          <w:sz w:val="18"/>
          <w:szCs w:val="18"/>
          <w:color w:val="231F20"/>
        </w:rPr>
        <w:t>The FDA can delay, limit or deny clearance or approval of a device for many reasons, including:</w:t>
      </w:r>
    </w:p>
    <w:p>
      <w:pPr>
        <w:spacing w:after="0" w:line="117" w:lineRule="exact"/>
        <w:rPr>
          <w:sz w:val="20"/>
          <w:szCs w:val="20"/>
          <w:color w:val="auto"/>
        </w:rPr>
      </w:pPr>
    </w:p>
    <w:p>
      <w:pPr>
        <w:ind w:left="1100" w:right="560" w:hanging="363"/>
        <w:spacing w:after="0" w:line="277" w:lineRule="auto"/>
        <w:tabs>
          <w:tab w:leader="none" w:pos="1100" w:val="left"/>
        </w:tabs>
        <w:numPr>
          <w:ilvl w:val="0"/>
          <w:numId w:val="36"/>
        </w:numPr>
        <w:rPr>
          <w:rFonts w:ascii="Arial" w:cs="Arial" w:eastAsia="Arial" w:hAnsi="Arial"/>
          <w:sz w:val="16"/>
          <w:szCs w:val="16"/>
          <w:color w:val="231F20"/>
        </w:rPr>
      </w:pPr>
      <w:r>
        <w:rPr>
          <w:rFonts w:ascii="Arial" w:cs="Arial" w:eastAsia="Arial" w:hAnsi="Arial"/>
          <w:sz w:val="18"/>
          <w:szCs w:val="18"/>
          <w:color w:val="231F20"/>
        </w:rPr>
        <w:t>we may not be able to demonstrate to the FDA’s satisfaction that the product or modification is substantially equivalent to the proposed predicate device or safe and effective for its intended use;</w:t>
      </w:r>
    </w:p>
    <w:p>
      <w:pPr>
        <w:spacing w:after="0" w:line="62" w:lineRule="exact"/>
        <w:rPr>
          <w:rFonts w:ascii="Arial" w:cs="Arial" w:eastAsia="Arial" w:hAnsi="Arial"/>
          <w:sz w:val="16"/>
          <w:szCs w:val="16"/>
          <w:color w:val="231F20"/>
        </w:rPr>
      </w:pPr>
    </w:p>
    <w:p>
      <w:pPr>
        <w:ind w:left="1100" w:hanging="363"/>
        <w:spacing w:after="0"/>
        <w:tabs>
          <w:tab w:leader="none" w:pos="1100" w:val="left"/>
        </w:tabs>
        <w:numPr>
          <w:ilvl w:val="0"/>
          <w:numId w:val="36"/>
        </w:numPr>
        <w:rPr>
          <w:rFonts w:ascii="Arial" w:cs="Arial" w:eastAsia="Arial" w:hAnsi="Arial"/>
          <w:sz w:val="16"/>
          <w:szCs w:val="16"/>
          <w:color w:val="231F20"/>
        </w:rPr>
      </w:pPr>
      <w:r>
        <w:rPr>
          <w:rFonts w:ascii="Arial" w:cs="Arial" w:eastAsia="Arial" w:hAnsi="Arial"/>
          <w:sz w:val="18"/>
          <w:szCs w:val="18"/>
          <w:color w:val="231F20"/>
        </w:rPr>
        <w:t>the data from our pre-clinical studies and clinical trials may be insufficient to support clearance or approval, where required; and</w:t>
      </w:r>
    </w:p>
    <w:p>
      <w:pPr>
        <w:spacing w:after="0" w:line="117" w:lineRule="exact"/>
        <w:rPr>
          <w:rFonts w:ascii="Arial" w:cs="Arial" w:eastAsia="Arial" w:hAnsi="Arial"/>
          <w:sz w:val="16"/>
          <w:szCs w:val="16"/>
          <w:color w:val="231F20"/>
        </w:rPr>
      </w:pPr>
    </w:p>
    <w:p>
      <w:pPr>
        <w:ind w:left="1100" w:hanging="363"/>
        <w:spacing w:after="0"/>
        <w:tabs>
          <w:tab w:leader="none" w:pos="1100" w:val="left"/>
        </w:tabs>
        <w:numPr>
          <w:ilvl w:val="0"/>
          <w:numId w:val="36"/>
        </w:numPr>
        <w:rPr>
          <w:rFonts w:ascii="Arial" w:cs="Arial" w:eastAsia="Arial" w:hAnsi="Arial"/>
          <w:sz w:val="16"/>
          <w:szCs w:val="16"/>
          <w:color w:val="231F20"/>
        </w:rPr>
      </w:pPr>
      <w:r>
        <w:rPr>
          <w:rFonts w:ascii="Arial" w:cs="Arial" w:eastAsia="Arial" w:hAnsi="Arial"/>
          <w:sz w:val="18"/>
          <w:szCs w:val="18"/>
          <w:color w:val="231F20"/>
        </w:rPr>
        <w:t>the manufacturing process or facilities we use may not meet applicable requirements.</w:t>
      </w:r>
    </w:p>
    <w:p>
      <w:pPr>
        <w:spacing w:after="0" w:line="117" w:lineRule="exact"/>
        <w:rPr>
          <w:sz w:val="20"/>
          <w:szCs w:val="20"/>
          <w:color w:val="auto"/>
        </w:rPr>
      </w:pPr>
    </w:p>
    <w:p>
      <w:pPr>
        <w:ind w:right="120"/>
        <w:spacing w:after="0" w:line="255" w:lineRule="auto"/>
        <w:rPr>
          <w:sz w:val="20"/>
          <w:szCs w:val="20"/>
          <w:color w:val="auto"/>
        </w:rPr>
      </w:pPr>
      <w:r>
        <w:rPr>
          <w:rFonts w:ascii="Arial" w:cs="Arial" w:eastAsia="Arial" w:hAnsi="Arial"/>
          <w:sz w:val="18"/>
          <w:szCs w:val="18"/>
          <w:color w:val="231F20"/>
        </w:rPr>
        <w:t>The FDA’s and other regulatory authorities’ policies may change and additional government regulations may be enacted that could prevent, limit or delay regulatory approval of our products. For example, in December 2016, the 21st Century Cures Act, or Cures Act, was signed into law. The Cures Act, among other things, is intended to modernize the regulation of medical devices and spur innovation, but its ultimate implementation remains unclear. If we are slow or unable to adapt to changes in existing requirements or the adoption of new requirements or policies, or if we are not able to maintain regulatory compliance, we may fail to obtain any marketing clearances or approvals, lose any marketing clearance or approval that we may have obtained and we may not achieve or sustain profitability.</w:t>
      </w:r>
    </w:p>
    <w:p>
      <w:pPr>
        <w:spacing w:after="0" w:line="85" w:lineRule="exact"/>
        <w:rPr>
          <w:sz w:val="20"/>
          <w:szCs w:val="20"/>
          <w:color w:val="auto"/>
        </w:rPr>
      </w:pPr>
    </w:p>
    <w:p>
      <w:pPr>
        <w:spacing w:after="0" w:line="272" w:lineRule="auto"/>
        <w:rPr>
          <w:sz w:val="20"/>
          <w:szCs w:val="20"/>
          <w:color w:val="auto"/>
        </w:rPr>
      </w:pPr>
      <w:r>
        <w:rPr>
          <w:rFonts w:ascii="Arial" w:cs="Arial" w:eastAsia="Arial" w:hAnsi="Arial"/>
          <w:sz w:val="17"/>
          <w:szCs w:val="17"/>
          <w:color w:val="231F20"/>
        </w:rPr>
        <w:t>We also cannot predict the likelihood, nature or extent of government regulation that may arise from future legislation or administrative action, either in the U.S. or abroad. For example, certain policies of the Trump administration may impact our business and industry. Namely, the Trump administration has taken several executive actions, including the issuance of a number of Executive Orders, that could impose significant burdens on, or otherwise materially delay, the FDA’s ability to engage in routine regulatory and oversight activities such as implementing statutes through rulemaking, issuance of guidance, and review and approval of marketing applications. It is difficult to predict how these Executive Orders will be implemented, and the extent to which they will impact the FDA’s ability to exercise its regulatory authority. If these executive actions impose constraints on FDA’s ability to engage in oversight and implementation activities in the normal course, our business may be negatively impacted.</w:t>
      </w:r>
    </w:p>
    <w:p>
      <w:pPr>
        <w:spacing w:after="0" w:line="70" w:lineRule="exact"/>
        <w:rPr>
          <w:sz w:val="20"/>
          <w:szCs w:val="20"/>
          <w:color w:val="auto"/>
        </w:rPr>
      </w:pPr>
    </w:p>
    <w:p>
      <w:pPr>
        <w:ind w:right="200"/>
        <w:spacing w:after="0" w:line="342" w:lineRule="auto"/>
        <w:rPr>
          <w:sz w:val="20"/>
          <w:szCs w:val="20"/>
          <w:color w:val="auto"/>
        </w:rPr>
      </w:pPr>
      <w:r>
        <w:rPr>
          <w:rFonts w:ascii="Arial" w:cs="Arial" w:eastAsia="Arial" w:hAnsi="Arial"/>
          <w:sz w:val="16"/>
          <w:szCs w:val="16"/>
          <w:color w:val="231F20"/>
        </w:rPr>
        <w:t>Even after we have obtained the proper regulatory clearance or approval to market a product, we have ongoing responsibilities under FDA regulations. The failure to comply with applicable regulations could jeopardize our ability to sell the ARTAS System and result in enforcement actions such as:</w:t>
      </w:r>
    </w:p>
    <w:p>
      <w:pPr>
        <w:spacing w:after="0" w:line="16" w:lineRule="exact"/>
        <w:rPr>
          <w:sz w:val="20"/>
          <w:szCs w:val="20"/>
          <w:color w:val="auto"/>
        </w:rPr>
      </w:pPr>
    </w:p>
    <w:p>
      <w:pPr>
        <w:ind w:left="1100" w:hanging="363"/>
        <w:spacing w:after="0"/>
        <w:tabs>
          <w:tab w:leader="none" w:pos="1100" w:val="left"/>
        </w:tabs>
        <w:numPr>
          <w:ilvl w:val="0"/>
          <w:numId w:val="37"/>
        </w:numPr>
        <w:rPr>
          <w:rFonts w:ascii="Arial" w:cs="Arial" w:eastAsia="Arial" w:hAnsi="Arial"/>
          <w:sz w:val="16"/>
          <w:szCs w:val="16"/>
          <w:color w:val="231F20"/>
        </w:rPr>
      </w:pPr>
      <w:r>
        <w:rPr>
          <w:rFonts w:ascii="Arial" w:cs="Arial" w:eastAsia="Arial" w:hAnsi="Arial"/>
          <w:sz w:val="18"/>
          <w:szCs w:val="18"/>
          <w:color w:val="231F20"/>
        </w:rPr>
        <w:t>warning letters;</w:t>
      </w:r>
    </w:p>
    <w:p>
      <w:pPr>
        <w:spacing w:after="0" w:line="117" w:lineRule="exact"/>
        <w:rPr>
          <w:rFonts w:ascii="Arial" w:cs="Arial" w:eastAsia="Arial" w:hAnsi="Arial"/>
          <w:sz w:val="16"/>
          <w:szCs w:val="16"/>
          <w:color w:val="231F20"/>
        </w:rPr>
      </w:pPr>
    </w:p>
    <w:p>
      <w:pPr>
        <w:ind w:left="1100" w:hanging="363"/>
        <w:spacing w:after="0"/>
        <w:tabs>
          <w:tab w:leader="none" w:pos="1100" w:val="left"/>
        </w:tabs>
        <w:numPr>
          <w:ilvl w:val="0"/>
          <w:numId w:val="37"/>
        </w:numPr>
        <w:rPr>
          <w:rFonts w:ascii="Arial" w:cs="Arial" w:eastAsia="Arial" w:hAnsi="Arial"/>
          <w:sz w:val="16"/>
          <w:szCs w:val="16"/>
          <w:color w:val="231F20"/>
        </w:rPr>
      </w:pPr>
      <w:r>
        <w:rPr>
          <w:rFonts w:ascii="Arial" w:cs="Arial" w:eastAsia="Arial" w:hAnsi="Arial"/>
          <w:sz w:val="18"/>
          <w:szCs w:val="18"/>
          <w:color w:val="231F20"/>
        </w:rPr>
        <w:t>fines;</w:t>
      </w:r>
    </w:p>
    <w:p>
      <w:pPr>
        <w:spacing w:after="0" w:line="117" w:lineRule="exact"/>
        <w:rPr>
          <w:rFonts w:ascii="Arial" w:cs="Arial" w:eastAsia="Arial" w:hAnsi="Arial"/>
          <w:sz w:val="16"/>
          <w:szCs w:val="16"/>
          <w:color w:val="231F20"/>
        </w:rPr>
      </w:pPr>
    </w:p>
    <w:p>
      <w:pPr>
        <w:ind w:left="1100" w:hanging="363"/>
        <w:spacing w:after="0"/>
        <w:tabs>
          <w:tab w:leader="none" w:pos="1100" w:val="left"/>
        </w:tabs>
        <w:numPr>
          <w:ilvl w:val="0"/>
          <w:numId w:val="37"/>
        </w:numPr>
        <w:rPr>
          <w:rFonts w:ascii="Arial" w:cs="Arial" w:eastAsia="Arial" w:hAnsi="Arial"/>
          <w:sz w:val="16"/>
          <w:szCs w:val="16"/>
          <w:color w:val="231F20"/>
        </w:rPr>
      </w:pPr>
      <w:r>
        <w:rPr>
          <w:rFonts w:ascii="Arial" w:cs="Arial" w:eastAsia="Arial" w:hAnsi="Arial"/>
          <w:sz w:val="18"/>
          <w:szCs w:val="18"/>
          <w:color w:val="231F20"/>
        </w:rPr>
        <w:t>injunctions;</w:t>
      </w:r>
    </w:p>
    <w:p>
      <w:pPr>
        <w:spacing w:after="0" w:line="117" w:lineRule="exact"/>
        <w:rPr>
          <w:rFonts w:ascii="Arial" w:cs="Arial" w:eastAsia="Arial" w:hAnsi="Arial"/>
          <w:sz w:val="16"/>
          <w:szCs w:val="16"/>
          <w:color w:val="231F20"/>
        </w:rPr>
      </w:pPr>
    </w:p>
    <w:p>
      <w:pPr>
        <w:ind w:left="1100" w:hanging="363"/>
        <w:spacing w:after="0"/>
        <w:tabs>
          <w:tab w:leader="none" w:pos="1100" w:val="left"/>
        </w:tabs>
        <w:numPr>
          <w:ilvl w:val="0"/>
          <w:numId w:val="37"/>
        </w:numPr>
        <w:rPr>
          <w:rFonts w:ascii="Arial" w:cs="Arial" w:eastAsia="Arial" w:hAnsi="Arial"/>
          <w:sz w:val="16"/>
          <w:szCs w:val="16"/>
          <w:color w:val="231F20"/>
        </w:rPr>
      </w:pPr>
      <w:r>
        <w:rPr>
          <w:rFonts w:ascii="Arial" w:cs="Arial" w:eastAsia="Arial" w:hAnsi="Arial"/>
          <w:sz w:val="18"/>
          <w:szCs w:val="18"/>
          <w:color w:val="231F20"/>
        </w:rPr>
        <w:t>civil penalties;</w:t>
      </w:r>
    </w:p>
    <w:p>
      <w:pPr>
        <w:spacing w:after="0" w:line="117" w:lineRule="exact"/>
        <w:rPr>
          <w:rFonts w:ascii="Arial" w:cs="Arial" w:eastAsia="Arial" w:hAnsi="Arial"/>
          <w:sz w:val="16"/>
          <w:szCs w:val="16"/>
          <w:color w:val="231F20"/>
        </w:rPr>
      </w:pPr>
    </w:p>
    <w:p>
      <w:pPr>
        <w:ind w:left="1100" w:hanging="363"/>
        <w:spacing w:after="0"/>
        <w:tabs>
          <w:tab w:leader="none" w:pos="1100" w:val="left"/>
        </w:tabs>
        <w:numPr>
          <w:ilvl w:val="0"/>
          <w:numId w:val="37"/>
        </w:numPr>
        <w:rPr>
          <w:rFonts w:ascii="Arial" w:cs="Arial" w:eastAsia="Arial" w:hAnsi="Arial"/>
          <w:sz w:val="16"/>
          <w:szCs w:val="16"/>
          <w:color w:val="231F20"/>
        </w:rPr>
      </w:pPr>
      <w:r>
        <w:rPr>
          <w:rFonts w:ascii="Arial" w:cs="Arial" w:eastAsia="Arial" w:hAnsi="Arial"/>
          <w:sz w:val="18"/>
          <w:szCs w:val="18"/>
          <w:color w:val="231F20"/>
        </w:rPr>
        <w:t>termination of distribution;</w:t>
      </w:r>
    </w:p>
    <w:p>
      <w:pPr>
        <w:spacing w:after="0" w:line="117" w:lineRule="exact"/>
        <w:rPr>
          <w:rFonts w:ascii="Arial" w:cs="Arial" w:eastAsia="Arial" w:hAnsi="Arial"/>
          <w:sz w:val="16"/>
          <w:szCs w:val="16"/>
          <w:color w:val="231F20"/>
        </w:rPr>
      </w:pPr>
    </w:p>
    <w:p>
      <w:pPr>
        <w:ind w:left="1100" w:hanging="363"/>
        <w:spacing w:after="0"/>
        <w:tabs>
          <w:tab w:leader="none" w:pos="1100" w:val="left"/>
        </w:tabs>
        <w:numPr>
          <w:ilvl w:val="0"/>
          <w:numId w:val="37"/>
        </w:numPr>
        <w:rPr>
          <w:rFonts w:ascii="Arial" w:cs="Arial" w:eastAsia="Arial" w:hAnsi="Arial"/>
          <w:sz w:val="16"/>
          <w:szCs w:val="16"/>
          <w:color w:val="231F20"/>
        </w:rPr>
      </w:pPr>
      <w:r>
        <w:rPr>
          <w:rFonts w:ascii="Arial" w:cs="Arial" w:eastAsia="Arial" w:hAnsi="Arial"/>
          <w:sz w:val="18"/>
          <w:szCs w:val="18"/>
          <w:color w:val="231F20"/>
        </w:rPr>
        <w:t>recalls or seizures of products;</w:t>
      </w:r>
    </w:p>
    <w:p>
      <w:pPr>
        <w:spacing w:after="0" w:line="117" w:lineRule="exact"/>
        <w:rPr>
          <w:rFonts w:ascii="Arial" w:cs="Arial" w:eastAsia="Arial" w:hAnsi="Arial"/>
          <w:sz w:val="16"/>
          <w:szCs w:val="16"/>
          <w:color w:val="231F20"/>
        </w:rPr>
      </w:pPr>
    </w:p>
    <w:p>
      <w:pPr>
        <w:ind w:left="1100" w:hanging="363"/>
        <w:spacing w:after="0"/>
        <w:tabs>
          <w:tab w:leader="none" w:pos="1100" w:val="left"/>
        </w:tabs>
        <w:numPr>
          <w:ilvl w:val="0"/>
          <w:numId w:val="37"/>
        </w:numPr>
        <w:rPr>
          <w:rFonts w:ascii="Arial" w:cs="Arial" w:eastAsia="Arial" w:hAnsi="Arial"/>
          <w:sz w:val="16"/>
          <w:szCs w:val="16"/>
          <w:color w:val="231F20"/>
        </w:rPr>
      </w:pPr>
      <w:r>
        <w:rPr>
          <w:rFonts w:ascii="Arial" w:cs="Arial" w:eastAsia="Arial" w:hAnsi="Arial"/>
          <w:sz w:val="18"/>
          <w:szCs w:val="18"/>
          <w:color w:val="231F20"/>
        </w:rPr>
        <w:t>delays in the introduction of products into the market;</w:t>
      </w:r>
    </w:p>
    <w:p>
      <w:pPr>
        <w:spacing w:after="0" w:line="117" w:lineRule="exact"/>
        <w:rPr>
          <w:rFonts w:ascii="Arial" w:cs="Arial" w:eastAsia="Arial" w:hAnsi="Arial"/>
          <w:sz w:val="16"/>
          <w:szCs w:val="16"/>
          <w:color w:val="231F20"/>
        </w:rPr>
      </w:pPr>
    </w:p>
    <w:p>
      <w:pPr>
        <w:ind w:left="1100" w:hanging="363"/>
        <w:spacing w:after="0"/>
        <w:tabs>
          <w:tab w:leader="none" w:pos="1100" w:val="left"/>
        </w:tabs>
        <w:numPr>
          <w:ilvl w:val="0"/>
          <w:numId w:val="37"/>
        </w:numPr>
        <w:rPr>
          <w:rFonts w:ascii="Arial" w:cs="Arial" w:eastAsia="Arial" w:hAnsi="Arial"/>
          <w:sz w:val="16"/>
          <w:szCs w:val="16"/>
          <w:color w:val="231F20"/>
        </w:rPr>
      </w:pPr>
      <w:r>
        <w:rPr>
          <w:rFonts w:ascii="Arial" w:cs="Arial" w:eastAsia="Arial" w:hAnsi="Arial"/>
          <w:sz w:val="18"/>
          <w:szCs w:val="18"/>
          <w:color w:val="231F20"/>
        </w:rPr>
        <w:t>total or partial suspension of production;</w:t>
      </w:r>
    </w:p>
    <w:p>
      <w:pPr>
        <w:spacing w:after="0" w:line="117" w:lineRule="exact"/>
        <w:rPr>
          <w:rFonts w:ascii="Arial" w:cs="Arial" w:eastAsia="Arial" w:hAnsi="Arial"/>
          <w:sz w:val="16"/>
          <w:szCs w:val="16"/>
          <w:color w:val="231F20"/>
        </w:rPr>
      </w:pPr>
    </w:p>
    <w:p>
      <w:pPr>
        <w:ind w:left="1100" w:hanging="363"/>
        <w:spacing w:after="0"/>
        <w:tabs>
          <w:tab w:leader="none" w:pos="1100" w:val="left"/>
        </w:tabs>
        <w:numPr>
          <w:ilvl w:val="0"/>
          <w:numId w:val="37"/>
        </w:numPr>
        <w:rPr>
          <w:rFonts w:ascii="Arial" w:cs="Arial" w:eastAsia="Arial" w:hAnsi="Arial"/>
          <w:sz w:val="16"/>
          <w:szCs w:val="16"/>
          <w:color w:val="231F20"/>
        </w:rPr>
      </w:pPr>
      <w:r>
        <w:rPr>
          <w:rFonts w:ascii="Arial" w:cs="Arial" w:eastAsia="Arial" w:hAnsi="Arial"/>
          <w:sz w:val="18"/>
          <w:szCs w:val="18"/>
          <w:color w:val="231F20"/>
        </w:rPr>
        <w:t>refusal to grant future clearances or approvals;</w:t>
      </w:r>
    </w:p>
    <w:p>
      <w:pPr>
        <w:spacing w:after="0" w:line="200" w:lineRule="exact"/>
        <w:rPr>
          <w:sz w:val="20"/>
          <w:szCs w:val="20"/>
          <w:color w:val="auto"/>
        </w:rPr>
      </w:pPr>
    </w:p>
    <w:p>
      <w:pPr>
        <w:spacing w:after="0" w:line="26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449" w:right="259" w:bottom="1440" w:gutter="0" w:footer="0" w:header="0"/>
        </w:sectPr>
      </w:pPr>
    </w:p>
    <w:bookmarkStart w:id="46" w:name="page47"/>
    <w:bookmarkEnd w:id="46"/>
    <w:p>
      <w:pPr>
        <w:ind w:left="1100" w:hanging="363"/>
        <w:spacing w:after="0"/>
        <w:tabs>
          <w:tab w:leader="none" w:pos="1100" w:val="left"/>
        </w:tabs>
        <w:numPr>
          <w:ilvl w:val="0"/>
          <w:numId w:val="38"/>
        </w:numPr>
        <w:rPr>
          <w:rFonts w:ascii="Arial" w:cs="Arial" w:eastAsia="Arial" w:hAnsi="Arial"/>
          <w:sz w:val="16"/>
          <w:szCs w:val="16"/>
          <w:color w:val="231F20"/>
        </w:rPr>
      </w:pPr>
      <w:r>
        <w:rPr>
          <w:rFonts w:ascii="Arial" w:cs="Arial" w:eastAsia="Arial" w:hAnsi="Arial"/>
          <w:sz w:val="18"/>
          <w:szCs w:val="18"/>
          <w:color w:val="231F20"/>
        </w:rPr>
        <w:t>withdrawals or suspensions of current clearances or approvals, resulting in prohibitions on sales of our product or products; and</w:t>
      </w:r>
    </w:p>
    <w:p>
      <w:pPr>
        <w:spacing w:after="0" w:line="117" w:lineRule="exact"/>
        <w:rPr>
          <w:rFonts w:ascii="Arial" w:cs="Arial" w:eastAsia="Arial" w:hAnsi="Arial"/>
          <w:sz w:val="16"/>
          <w:szCs w:val="16"/>
          <w:color w:val="231F20"/>
        </w:rPr>
      </w:pPr>
    </w:p>
    <w:p>
      <w:pPr>
        <w:ind w:left="1100" w:hanging="363"/>
        <w:spacing w:after="0"/>
        <w:tabs>
          <w:tab w:leader="none" w:pos="1100" w:val="left"/>
        </w:tabs>
        <w:numPr>
          <w:ilvl w:val="0"/>
          <w:numId w:val="38"/>
        </w:numPr>
        <w:rPr>
          <w:rFonts w:ascii="Arial" w:cs="Arial" w:eastAsia="Arial" w:hAnsi="Arial"/>
          <w:sz w:val="16"/>
          <w:szCs w:val="16"/>
          <w:color w:val="231F20"/>
        </w:rPr>
      </w:pPr>
      <w:r>
        <w:rPr>
          <w:rFonts w:ascii="Arial" w:cs="Arial" w:eastAsia="Arial" w:hAnsi="Arial"/>
          <w:sz w:val="18"/>
          <w:szCs w:val="18"/>
          <w:color w:val="231F20"/>
        </w:rPr>
        <w:t>in the most serious cases, criminal penalties.</w:t>
      </w:r>
    </w:p>
    <w:p>
      <w:pPr>
        <w:spacing w:after="0" w:line="117"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color w:val="231F20"/>
        </w:rPr>
        <w:t>Any of these sanctions could result in higher than anticipated costs or lower than anticipated sales and harm our reputation, business, financial condition and results of operations.</w:t>
      </w:r>
    </w:p>
    <w:p>
      <w:pPr>
        <w:spacing w:after="0" w:line="103" w:lineRule="exact"/>
        <w:rPr>
          <w:sz w:val="20"/>
          <w:szCs w:val="20"/>
          <w:color w:val="auto"/>
        </w:rPr>
      </w:pPr>
    </w:p>
    <w:p>
      <w:pPr>
        <w:ind w:right="360"/>
        <w:spacing w:after="0" w:line="277" w:lineRule="auto"/>
        <w:rPr>
          <w:sz w:val="20"/>
          <w:szCs w:val="20"/>
          <w:color w:val="auto"/>
        </w:rPr>
      </w:pPr>
      <w:r>
        <w:rPr>
          <w:rFonts w:ascii="Arial" w:cs="Arial" w:eastAsia="Arial" w:hAnsi="Arial"/>
          <w:sz w:val="18"/>
          <w:szCs w:val="18"/>
          <w:b w:val="1"/>
          <w:bCs w:val="1"/>
          <w:i w:val="1"/>
          <w:iCs w:val="1"/>
          <w:color w:val="231F20"/>
        </w:rPr>
        <w:t>We are subject to extensive governmental regulation in foreign jurisdictions, such as Europe, and our failure to comply with applicable requirements could cause our business to suffer.</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color w:val="231F20"/>
        </w:rPr>
        <w:t>We must maintain regulatory approval in foreign jurisdictions in which we plan to market and sell the ARTAS System.</w:t>
      </w:r>
    </w:p>
    <w:p>
      <w:pPr>
        <w:spacing w:after="0" w:line="117"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color w:val="231F20"/>
        </w:rPr>
        <w:t>In the European Economic Area or EEA, manufacturers of medical devices need to comply with the Essential Requirements laid down in Annex II to the EU Medical Devices Directive (Council Directive 93/42/EEC).</w:t>
      </w:r>
    </w:p>
    <w:p>
      <w:pPr>
        <w:spacing w:after="0" w:line="62" w:lineRule="exact"/>
        <w:rPr>
          <w:sz w:val="20"/>
          <w:szCs w:val="20"/>
          <w:color w:val="auto"/>
        </w:rPr>
      </w:pPr>
    </w:p>
    <w:p>
      <w:pPr>
        <w:spacing w:after="0" w:line="273" w:lineRule="auto"/>
        <w:rPr>
          <w:sz w:val="20"/>
          <w:szCs w:val="20"/>
          <w:color w:val="auto"/>
        </w:rPr>
      </w:pPr>
      <w:r>
        <w:rPr>
          <w:rFonts w:ascii="Arial" w:cs="Arial" w:eastAsia="Arial" w:hAnsi="Arial"/>
          <w:sz w:val="17"/>
          <w:szCs w:val="17"/>
          <w:color w:val="231F20"/>
        </w:rPr>
        <w:t>Compliance with these requirements is a prerequisite to be able to affix the CE mark to medical devices, without which they cannot be marketed or sold in the EEA. To demonstrate compliance with the Essential Requirements and obtain the right to affix the CE Mark, manufacturers of medical devices must undergo a conformity assessment procedure, which varies according to the type of medical device and its classification. Except for low risk medical devices (Class I with no measuring function and which are not sterile), where the manufacturer can issue an EC Declaration of Conformity based on a self-assessment of the conformity of its products with the Essential Requirements, a conformity assessment procedure requires the intervention of a Notified Body, which is an organization designated by a competent authority of an EEA country to conduct conformity assessments.</w:t>
      </w:r>
    </w:p>
    <w:p>
      <w:pPr>
        <w:spacing w:after="0" w:line="70" w:lineRule="exact"/>
        <w:rPr>
          <w:sz w:val="20"/>
          <w:szCs w:val="20"/>
          <w:color w:val="auto"/>
        </w:rPr>
      </w:pPr>
    </w:p>
    <w:p>
      <w:pPr>
        <w:spacing w:after="0" w:line="302" w:lineRule="auto"/>
        <w:rPr>
          <w:sz w:val="20"/>
          <w:szCs w:val="20"/>
          <w:color w:val="auto"/>
        </w:rPr>
      </w:pPr>
      <w:r>
        <w:rPr>
          <w:rFonts w:ascii="Arial" w:cs="Arial" w:eastAsia="Arial" w:hAnsi="Arial"/>
          <w:sz w:val="16"/>
          <w:szCs w:val="16"/>
          <w:color w:val="231F20"/>
        </w:rPr>
        <w:t>Depending on the relevant conformity assessment procedure, the Notified Body would audit and examine the Technical File and the quality system for the manufacture, design and final inspection of our devices. The Notified Body issues a CE Certificate of Conformity following successful completion of a conformity assessment procedure conducted in relation to the medical device and its manufacturer and their conformity with the Essential Requirements. This Certificate entitles the manufacturer to affix the CE mark to its medical devices after having prepared and signed a related EC Declaration of Conformity.</w:t>
      </w:r>
    </w:p>
    <w:p>
      <w:pPr>
        <w:spacing w:after="0" w:line="46" w:lineRule="exact"/>
        <w:rPr>
          <w:sz w:val="20"/>
          <w:szCs w:val="20"/>
          <w:color w:val="auto"/>
        </w:rPr>
      </w:pPr>
    </w:p>
    <w:p>
      <w:pPr>
        <w:ind w:right="80"/>
        <w:spacing w:after="0" w:line="269" w:lineRule="auto"/>
        <w:rPr>
          <w:sz w:val="20"/>
          <w:szCs w:val="20"/>
          <w:color w:val="auto"/>
        </w:rPr>
      </w:pPr>
      <w:r>
        <w:rPr>
          <w:rFonts w:ascii="Arial" w:cs="Arial" w:eastAsia="Arial" w:hAnsi="Arial"/>
          <w:sz w:val="17"/>
          <w:szCs w:val="17"/>
          <w:color w:val="231F20"/>
        </w:rPr>
        <w:t>As a general rule, demonstration of conformity of medical devices and their manufacturers with the Essential Requirements must be based, among other things, on the evaluation of clinical data supporting the safety and performance of the products during normal conditions of use. Specifically, a manufacturer must demonstrate that the device achieves its intended performance during normal conditions of use and that the known and foreseeable risks, and any adverse events, are minimized and acceptable when weighed against the benefits of its intended performance, and that any claims made about the performance and safety of the device (e.g., product labeling and instructions for use) are supported by suitable evidence. This assessment must be based on clinical data, which can be obtained from (1) clinical studies conducted on the devices being assessed, (2) scientific literature from similar devices whose equivalence with the assessed device can be demonstrated or (3) both clinical studies and scientific literature. With respect to active implantable medical devices or Class III devices, the manufacturer must conduct clinical studies to obtain the required clinical data, unless reliance on existing clinical data from equivalent devices can be justified. The conduct of clinical studies in the EEA is governed by detailed regulatory obligations. These may include the requirement of prior authorization by the competent authorities of the country in which the study takes place and the requirement to obtain a positive opinion from a competent Ethics Committee. This process can be expensive and time-consuming.</w:t>
      </w:r>
    </w:p>
    <w:p>
      <w:pPr>
        <w:spacing w:after="0" w:line="75" w:lineRule="exact"/>
        <w:rPr>
          <w:sz w:val="20"/>
          <w:szCs w:val="20"/>
          <w:color w:val="auto"/>
        </w:rPr>
      </w:pPr>
    </w:p>
    <w:p>
      <w:pPr>
        <w:ind w:right="140"/>
        <w:spacing w:after="0" w:line="255" w:lineRule="auto"/>
        <w:rPr>
          <w:sz w:val="20"/>
          <w:szCs w:val="20"/>
          <w:color w:val="auto"/>
        </w:rPr>
      </w:pPr>
      <w:r>
        <w:rPr>
          <w:rFonts w:ascii="Arial" w:cs="Arial" w:eastAsia="Arial" w:hAnsi="Arial"/>
          <w:sz w:val="18"/>
          <w:szCs w:val="18"/>
          <w:color w:val="231F20"/>
        </w:rPr>
        <w:t>On April 5, 2017, the European Parliament passed the Medical Devices Regulation, which repeals and replaces the EU Medical Devices Directive. Unlike directives, which must be implemented into the national laws of the EEA member States, the regulations would be directly applicable, i.e., without the need for adoption of EEA member State laws implementing them, in all EEA member States and are intended to eliminate current differences in the regulation of medical devices among EEA member States. The Medical Devices Regulation, among other things, is intended to establish a uniform, transparent, predictable and sustainable regulatory framework across the EEA for medical devices and in vitro diagnostic devices and ensure a high level of safety and health while supporting innovation.</w:t>
      </w:r>
    </w:p>
    <w:p>
      <w:pPr>
        <w:spacing w:after="0" w:line="200" w:lineRule="exact"/>
        <w:rPr>
          <w:sz w:val="20"/>
          <w:szCs w:val="20"/>
          <w:color w:val="auto"/>
        </w:rPr>
      </w:pPr>
    </w:p>
    <w:p>
      <w:pPr>
        <w:spacing w:after="0" w:line="23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449" w:right="259" w:bottom="1440" w:gutter="0" w:footer="0" w:header="0"/>
        </w:sectPr>
      </w:pPr>
    </w:p>
    <w:bookmarkStart w:id="47" w:name="page48"/>
    <w:bookmarkEnd w:id="47"/>
    <w:p>
      <w:pPr>
        <w:ind w:right="180"/>
        <w:spacing w:after="0" w:line="277" w:lineRule="auto"/>
        <w:rPr>
          <w:sz w:val="20"/>
          <w:szCs w:val="20"/>
          <w:color w:val="auto"/>
        </w:rPr>
      </w:pPr>
      <w:r>
        <w:rPr>
          <w:rFonts w:ascii="Arial" w:cs="Arial" w:eastAsia="Arial" w:hAnsi="Arial"/>
          <w:sz w:val="18"/>
          <w:szCs w:val="18"/>
          <w:color w:val="231F20"/>
        </w:rPr>
        <w:t>The Medical Devices Regulation will however only become applicable three years after publication. Once applicable, the new regulations will among other things:</w:t>
      </w:r>
    </w:p>
    <w:p>
      <w:pPr>
        <w:spacing w:after="0" w:line="62" w:lineRule="exact"/>
        <w:rPr>
          <w:sz w:val="20"/>
          <w:szCs w:val="20"/>
          <w:color w:val="auto"/>
        </w:rPr>
      </w:pPr>
    </w:p>
    <w:p>
      <w:pPr>
        <w:ind w:left="1100" w:hanging="363"/>
        <w:spacing w:after="0"/>
        <w:tabs>
          <w:tab w:leader="none" w:pos="1100" w:val="left"/>
        </w:tabs>
        <w:numPr>
          <w:ilvl w:val="0"/>
          <w:numId w:val="39"/>
        </w:numPr>
        <w:rPr>
          <w:rFonts w:ascii="Arial" w:cs="Arial" w:eastAsia="Arial" w:hAnsi="Arial"/>
          <w:sz w:val="16"/>
          <w:szCs w:val="16"/>
          <w:color w:val="231F20"/>
        </w:rPr>
      </w:pPr>
      <w:r>
        <w:rPr>
          <w:rFonts w:ascii="Arial" w:cs="Arial" w:eastAsia="Arial" w:hAnsi="Arial"/>
          <w:sz w:val="18"/>
          <w:szCs w:val="18"/>
          <w:color w:val="231F20"/>
        </w:rPr>
        <w:t>strengthen the rules on placing devices on the market and reinforce surveillance once they are available;</w:t>
      </w:r>
    </w:p>
    <w:p>
      <w:pPr>
        <w:spacing w:after="0" w:line="117" w:lineRule="exact"/>
        <w:rPr>
          <w:rFonts w:ascii="Arial" w:cs="Arial" w:eastAsia="Arial" w:hAnsi="Arial"/>
          <w:sz w:val="16"/>
          <w:szCs w:val="16"/>
          <w:color w:val="231F20"/>
        </w:rPr>
      </w:pPr>
    </w:p>
    <w:p>
      <w:pPr>
        <w:ind w:left="1100" w:right="220" w:hanging="363"/>
        <w:spacing w:after="0" w:line="277" w:lineRule="auto"/>
        <w:tabs>
          <w:tab w:leader="none" w:pos="1100" w:val="left"/>
        </w:tabs>
        <w:numPr>
          <w:ilvl w:val="0"/>
          <w:numId w:val="39"/>
        </w:numPr>
        <w:rPr>
          <w:rFonts w:ascii="Arial" w:cs="Arial" w:eastAsia="Arial" w:hAnsi="Arial"/>
          <w:sz w:val="16"/>
          <w:szCs w:val="16"/>
          <w:color w:val="231F20"/>
        </w:rPr>
      </w:pPr>
      <w:r>
        <w:rPr>
          <w:rFonts w:ascii="Arial" w:cs="Arial" w:eastAsia="Arial" w:hAnsi="Arial"/>
          <w:sz w:val="18"/>
          <w:szCs w:val="18"/>
          <w:color w:val="231F20"/>
        </w:rPr>
        <w:t>establish explicit provisions on manufacturers’ responsibilities for the follow-up of the quality, performance and safety of devices placed on the market;</w:t>
      </w:r>
    </w:p>
    <w:p>
      <w:pPr>
        <w:spacing w:after="0" w:line="62" w:lineRule="exact"/>
        <w:rPr>
          <w:rFonts w:ascii="Arial" w:cs="Arial" w:eastAsia="Arial" w:hAnsi="Arial"/>
          <w:sz w:val="16"/>
          <w:szCs w:val="16"/>
          <w:color w:val="231F20"/>
        </w:rPr>
      </w:pPr>
    </w:p>
    <w:p>
      <w:pPr>
        <w:ind w:left="1100" w:hanging="363"/>
        <w:spacing w:after="0"/>
        <w:tabs>
          <w:tab w:leader="none" w:pos="1100" w:val="left"/>
        </w:tabs>
        <w:numPr>
          <w:ilvl w:val="0"/>
          <w:numId w:val="39"/>
        </w:numPr>
        <w:rPr>
          <w:rFonts w:ascii="Arial" w:cs="Arial" w:eastAsia="Arial" w:hAnsi="Arial"/>
          <w:sz w:val="15"/>
          <w:szCs w:val="15"/>
          <w:color w:val="231F20"/>
        </w:rPr>
      </w:pPr>
      <w:r>
        <w:rPr>
          <w:rFonts w:ascii="Arial" w:cs="Arial" w:eastAsia="Arial" w:hAnsi="Arial"/>
          <w:sz w:val="17"/>
          <w:szCs w:val="17"/>
          <w:color w:val="231F20"/>
        </w:rPr>
        <w:t>improve the traceability of medical devices throughout the supply chain to the end-user or patient through a unique identification number;</w:t>
      </w:r>
    </w:p>
    <w:p>
      <w:pPr>
        <w:spacing w:after="0" w:line="128" w:lineRule="exact"/>
        <w:rPr>
          <w:rFonts w:ascii="Arial" w:cs="Arial" w:eastAsia="Arial" w:hAnsi="Arial"/>
          <w:sz w:val="15"/>
          <w:szCs w:val="15"/>
          <w:color w:val="231F20"/>
        </w:rPr>
      </w:pPr>
    </w:p>
    <w:p>
      <w:pPr>
        <w:ind w:left="1100" w:right="100" w:hanging="363"/>
        <w:spacing w:after="0" w:line="277" w:lineRule="auto"/>
        <w:tabs>
          <w:tab w:leader="none" w:pos="1100" w:val="left"/>
        </w:tabs>
        <w:numPr>
          <w:ilvl w:val="0"/>
          <w:numId w:val="39"/>
        </w:numPr>
        <w:rPr>
          <w:rFonts w:ascii="Arial" w:cs="Arial" w:eastAsia="Arial" w:hAnsi="Arial"/>
          <w:sz w:val="16"/>
          <w:szCs w:val="16"/>
          <w:color w:val="231F20"/>
        </w:rPr>
      </w:pPr>
      <w:r>
        <w:rPr>
          <w:rFonts w:ascii="Arial" w:cs="Arial" w:eastAsia="Arial" w:hAnsi="Arial"/>
          <w:sz w:val="18"/>
          <w:szCs w:val="18"/>
          <w:color w:val="231F20"/>
        </w:rPr>
        <w:t>set up a central database to provide patients, healthcare professionals and the public with comprehensive information on products available in the EU; and</w:t>
      </w:r>
    </w:p>
    <w:p>
      <w:pPr>
        <w:spacing w:after="0" w:line="62" w:lineRule="exact"/>
        <w:rPr>
          <w:rFonts w:ascii="Arial" w:cs="Arial" w:eastAsia="Arial" w:hAnsi="Arial"/>
          <w:sz w:val="16"/>
          <w:szCs w:val="16"/>
          <w:color w:val="231F20"/>
        </w:rPr>
      </w:pPr>
    </w:p>
    <w:p>
      <w:pPr>
        <w:ind w:left="1100" w:right="180" w:hanging="363"/>
        <w:spacing w:after="0" w:line="277" w:lineRule="auto"/>
        <w:tabs>
          <w:tab w:leader="none" w:pos="1100" w:val="left"/>
        </w:tabs>
        <w:numPr>
          <w:ilvl w:val="0"/>
          <w:numId w:val="39"/>
        </w:numPr>
        <w:rPr>
          <w:rFonts w:ascii="Arial" w:cs="Arial" w:eastAsia="Arial" w:hAnsi="Arial"/>
          <w:sz w:val="16"/>
          <w:szCs w:val="16"/>
          <w:color w:val="231F20"/>
        </w:rPr>
      </w:pPr>
      <w:r>
        <w:rPr>
          <w:rFonts w:ascii="Arial" w:cs="Arial" w:eastAsia="Arial" w:hAnsi="Arial"/>
          <w:sz w:val="18"/>
          <w:szCs w:val="18"/>
          <w:color w:val="231F20"/>
        </w:rPr>
        <w:t>strengthen rules for the assessment of certain high-risk devices, such as implants, which may have to undergo an additional check by experts before they are placed on the market.</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color w:val="231F20"/>
        </w:rPr>
        <w:t>These modifications may have an impact on the way we conduct our business in the EEA.</w:t>
      </w:r>
    </w:p>
    <w:p>
      <w:pPr>
        <w:spacing w:after="0" w:line="158" w:lineRule="exact"/>
        <w:rPr>
          <w:sz w:val="20"/>
          <w:szCs w:val="20"/>
          <w:color w:val="auto"/>
        </w:rPr>
      </w:pPr>
    </w:p>
    <w:p>
      <w:pPr>
        <w:ind w:right="140"/>
        <w:spacing w:after="0" w:line="264" w:lineRule="auto"/>
        <w:rPr>
          <w:sz w:val="20"/>
          <w:szCs w:val="20"/>
          <w:color w:val="auto"/>
        </w:rPr>
      </w:pPr>
      <w:r>
        <w:rPr>
          <w:rFonts w:ascii="Arial" w:cs="Arial" w:eastAsia="Arial" w:hAnsi="Arial"/>
          <w:sz w:val="18"/>
          <w:szCs w:val="18"/>
          <w:b w:val="1"/>
          <w:bCs w:val="1"/>
          <w:i w:val="1"/>
          <w:iCs w:val="1"/>
          <w:color w:val="231F20"/>
        </w:rPr>
        <w:t>Modifications to the ARTAS System and any future products that receive 510(k) clearance may require new 510(k) clearances or PMA approvals, and if we make such modifications without seeking new clearances or approvals, the FDA may require us to cease marketing or recall the modified products until clearances or approvals are obtained.</w:t>
      </w:r>
    </w:p>
    <w:p>
      <w:pPr>
        <w:spacing w:after="0" w:line="73" w:lineRule="exact"/>
        <w:rPr>
          <w:sz w:val="20"/>
          <w:szCs w:val="20"/>
          <w:color w:val="auto"/>
        </w:rPr>
      </w:pPr>
    </w:p>
    <w:p>
      <w:pPr>
        <w:spacing w:after="0" w:line="286" w:lineRule="auto"/>
        <w:rPr>
          <w:sz w:val="20"/>
          <w:szCs w:val="20"/>
          <w:color w:val="auto"/>
        </w:rPr>
      </w:pPr>
      <w:r>
        <w:rPr>
          <w:rFonts w:ascii="Arial" w:cs="Arial" w:eastAsia="Arial" w:hAnsi="Arial"/>
          <w:sz w:val="16"/>
          <w:szCs w:val="16"/>
          <w:color w:val="231F20"/>
        </w:rPr>
        <w:t>The ARTAS System has received 510(k) clearance from the FDA. Any modification to a 510(k)-cleared device that could significantly affect its safety or effectiveness, or that would constitute a major change in its intended use, design or manufacture, requires a new 510(k) clearance or, possibly, approval of a PMA. The FDA requires every manufacturer to make this determination the first instance, but the FDA may review any manufacturer’s decision. The FDA may not agree with our decisions regarding whether new clearances or approvals are necessary. The FDA has issued guidance intended to assist manufacturers in determining whether modifications to cleared devices require the submissions of a new 510(k). We have made modifications to the ARTAS System in the past and have determined based on our review of the applicable FDA regulations and guidance that in certain instances new 510(k) clearances or PMA approvals were not required. We may make similar modifications or add additional functionalities in the future that we believe do not require a new 510(k) clearance or approval of a PMA. If the FDA disagrees with our determination and requires us to submit new 510(k) notifications or PMA applications for modifications to our previously cleared products for which we have concluded that new clearances or approvals are unnecessary, we may be required to cease marketing or to recall the modified product until we obtain clearance or approval, which could require us to redesign our products, conduct clinical trials to support any modifications, and pay significant regulatory fines or penalties. In addition, the FDA may not approve or clear our products for the indications that are necessary or desirable for successful commercialization or could require clinical trials to support any modifications. Any delay or failure in obtaining required clearances or approvals would adversely affect our ability to introduce new or enhanced products in a timely manner, which in turn would harm our future growth. Any of these actions would harm our operating results.</w:t>
      </w:r>
    </w:p>
    <w:p>
      <w:pPr>
        <w:spacing w:after="0" w:line="91" w:lineRule="exact"/>
        <w:rPr>
          <w:sz w:val="20"/>
          <w:szCs w:val="20"/>
          <w:color w:val="auto"/>
        </w:rPr>
      </w:pPr>
    </w:p>
    <w:p>
      <w:pPr>
        <w:ind w:right="160"/>
        <w:spacing w:after="0" w:line="277" w:lineRule="auto"/>
        <w:rPr>
          <w:sz w:val="20"/>
          <w:szCs w:val="20"/>
          <w:color w:val="auto"/>
        </w:rPr>
      </w:pPr>
      <w:r>
        <w:rPr>
          <w:rFonts w:ascii="Arial" w:cs="Arial" w:eastAsia="Arial" w:hAnsi="Arial"/>
          <w:sz w:val="18"/>
          <w:szCs w:val="18"/>
          <w:b w:val="1"/>
          <w:bCs w:val="1"/>
          <w:i w:val="1"/>
          <w:iCs w:val="1"/>
          <w:color w:val="231F20"/>
        </w:rPr>
        <w:t>We are subject to restrictions on the indications for which we are permitted to market our products, and any violation of those restrictions, or marketing of the ARTAS System for off-label uses, could subject us to regulatory enforcement action.</w:t>
      </w:r>
    </w:p>
    <w:p>
      <w:pPr>
        <w:spacing w:after="0" w:line="62" w:lineRule="exact"/>
        <w:rPr>
          <w:sz w:val="20"/>
          <w:szCs w:val="20"/>
          <w:color w:val="auto"/>
        </w:rPr>
      </w:pPr>
    </w:p>
    <w:p>
      <w:pPr>
        <w:ind w:right="140"/>
        <w:spacing w:after="0" w:line="264" w:lineRule="auto"/>
        <w:rPr>
          <w:sz w:val="20"/>
          <w:szCs w:val="20"/>
          <w:color w:val="auto"/>
        </w:rPr>
      </w:pPr>
      <w:r>
        <w:rPr>
          <w:rFonts w:ascii="Arial" w:cs="Arial" w:eastAsia="Arial" w:hAnsi="Arial"/>
          <w:sz w:val="18"/>
          <w:szCs w:val="18"/>
          <w:color w:val="231F20"/>
        </w:rPr>
        <w:t>The FDA’s 510(k) clearance for the ARTAS System specifies the cleared indication for use of the product is dissecting hair follicles from the scalp in men diagnosed with AGA who have black or brown straight hair. The ARTAS System is intended to assist physicians in identifying and extracting hair follicular units from the scalp during hair transplantation.</w:t>
      </w:r>
    </w:p>
    <w:p>
      <w:pPr>
        <w:spacing w:after="0" w:line="73" w:lineRule="exact"/>
        <w:rPr>
          <w:sz w:val="20"/>
          <w:szCs w:val="20"/>
          <w:color w:val="auto"/>
        </w:rPr>
      </w:pPr>
    </w:p>
    <w:p>
      <w:pPr>
        <w:spacing w:after="0" w:line="276" w:lineRule="auto"/>
        <w:rPr>
          <w:sz w:val="20"/>
          <w:szCs w:val="20"/>
          <w:color w:val="auto"/>
        </w:rPr>
      </w:pPr>
      <w:r>
        <w:rPr>
          <w:rFonts w:ascii="Arial" w:cs="Arial" w:eastAsia="Arial" w:hAnsi="Arial"/>
          <w:sz w:val="17"/>
          <w:szCs w:val="17"/>
          <w:color w:val="231F20"/>
        </w:rPr>
        <w:t>We train our marketing and direct sales force to not promote the ARTAS System for uses outside of the FDA- cleared indications for use, known as “off-label uses.” We cannot, however, prevent a physician from using the ARTAS System off-label when, in the physician’s independent professional medical judgment, he or she deems it appropriate. There may be increased risk of injury to patients if physicians attempt to use the ARTAS System off-label. Furthermore, the use of the ARTAS System for indications other than those cleared by the FDA or approved by any foreign regulatory body may not effectively treat such conditions, which could harm our reputation in the marketplace among physicians and patients.</w:t>
      </w:r>
    </w:p>
    <w:p>
      <w:pPr>
        <w:spacing w:after="0" w:line="200" w:lineRule="exact"/>
        <w:rPr>
          <w:sz w:val="20"/>
          <w:szCs w:val="20"/>
          <w:color w:val="auto"/>
        </w:rPr>
      </w:pPr>
    </w:p>
    <w:p>
      <w:pPr>
        <w:spacing w:after="0" w:line="21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449" w:right="259" w:bottom="1440" w:gutter="0" w:footer="0" w:header="0"/>
        </w:sectPr>
      </w:pPr>
    </w:p>
    <w:bookmarkStart w:id="48" w:name="page49"/>
    <w:bookmarkEnd w:id="48"/>
    <w:p>
      <w:pPr>
        <w:ind w:right="60"/>
        <w:spacing w:after="0" w:line="272" w:lineRule="auto"/>
        <w:rPr>
          <w:sz w:val="20"/>
          <w:szCs w:val="20"/>
          <w:color w:val="auto"/>
        </w:rPr>
      </w:pPr>
      <w:r>
        <w:rPr>
          <w:rFonts w:ascii="Arial" w:cs="Arial" w:eastAsia="Arial" w:hAnsi="Arial"/>
          <w:sz w:val="17"/>
          <w:szCs w:val="17"/>
          <w:color w:val="231F20"/>
        </w:rPr>
        <w:t>If the FDA or any foreign regulatory body determines that our promotional materials or training constitute promotion of an off-label use, it could request that we modify our training or promotional materials or subject us to regulatory or enforcement actions, including, among other things, the issuance or imposition of an untitled letter, a warning letter, injunction, seizure, refusal to issue new 510(k)s or PMAs, withdrawal of existing 510(k)s or PMAs, refusal to grant export approvals, and civil fines or criminal penalties. It is also possible that other federal, state or foreign enforcement authorities might take action under other regulatory authority, such as false claims laws, if they consider our business activities to constitute promotion of an off-label use, which could result in significant penalties, including, but not limited to, criminal, civil and administrative penalties, damages, fines, disgorgement, exclusion from participation in government healthcare programs and the curtailment of our operations.</w:t>
      </w:r>
    </w:p>
    <w:p>
      <w:pPr>
        <w:spacing w:after="0" w:line="110"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b w:val="1"/>
          <w:bCs w:val="1"/>
          <w:i w:val="1"/>
          <w:iCs w:val="1"/>
          <w:color w:val="231F20"/>
        </w:rPr>
        <w:t>The ARTAS System may cause or contribute to adverse medical events that we are required to report to the FDA, and if we fail to do so, we would be subject to sanctions that could harm our reputation, business, financial condition and results of operations. The discovery of serious safety issues with the ARTAS System, or a recall of the ARTAS System either voluntarily or at the direction of the FDA or another governmental authority, could have a negative impact on us.</w:t>
      </w:r>
    </w:p>
    <w:p>
      <w:pPr>
        <w:spacing w:after="0" w:line="79" w:lineRule="exact"/>
        <w:rPr>
          <w:sz w:val="20"/>
          <w:szCs w:val="20"/>
          <w:color w:val="auto"/>
        </w:rPr>
      </w:pPr>
    </w:p>
    <w:p>
      <w:pPr>
        <w:spacing w:after="0" w:line="290" w:lineRule="auto"/>
        <w:rPr>
          <w:sz w:val="20"/>
          <w:szCs w:val="20"/>
          <w:color w:val="auto"/>
        </w:rPr>
      </w:pPr>
      <w:r>
        <w:rPr>
          <w:rFonts w:ascii="Arial" w:cs="Arial" w:eastAsia="Arial" w:hAnsi="Arial"/>
          <w:sz w:val="16"/>
          <w:szCs w:val="16"/>
          <w:color w:val="231F20"/>
        </w:rPr>
        <w:t>We are subject to the FDA’s medical device reporting regulations and similar foreign regulations. The FDA’s medical device reporting regulations require us to report to the FDA when we receive or become aware of information that reasonably suggests that the ARTAS System may have caused or contributed to a death or serious injury or malfunctioned in a way that, if the malfunction were to recur, it could cause or contribute to a death or serious injury. The timing of our obligation to report is triggered by the date we become aware of the adverse event as well as the nature of the event. We may fail to report adverse events of which we become aware within the prescribed timeframe. We may also fail to recognize that we have become aware of a reportable adverse event, especially if it is not reported to us as an adverse event or if it is an adverse event that is unexpected or removed in time from the use of the ARTAS System. If we fail to comply with our reporting obligations, the FDA could take action, including warning letters, untitled letters, administrative actions, criminal prosecution, imposition of civil monetary penalties, revocation of our device clearance, seizure of our products or delay in clearance of future products.</w:t>
      </w:r>
    </w:p>
    <w:p>
      <w:pPr>
        <w:spacing w:after="0" w:line="58" w:lineRule="exact"/>
        <w:rPr>
          <w:sz w:val="20"/>
          <w:szCs w:val="20"/>
          <w:color w:val="auto"/>
        </w:rPr>
      </w:pPr>
    </w:p>
    <w:p>
      <w:pPr>
        <w:ind w:right="100"/>
        <w:spacing w:after="0" w:line="291" w:lineRule="auto"/>
        <w:rPr>
          <w:sz w:val="20"/>
          <w:szCs w:val="20"/>
          <w:color w:val="auto"/>
        </w:rPr>
      </w:pPr>
      <w:r>
        <w:rPr>
          <w:rFonts w:ascii="Arial" w:cs="Arial" w:eastAsia="Arial" w:hAnsi="Arial"/>
          <w:sz w:val="16"/>
          <w:szCs w:val="16"/>
          <w:color w:val="231F20"/>
        </w:rPr>
        <w:t>The FDA and foreign regulatory bodies have the authority to require the recall of commercialized products in the event of material deficiencies or defects in design or manufacture of a product or in the event that a product poses an unacceptable risk to health. The FDA’s authority to require a recall must be based on a finding that there is reasonable probability that the device could cause serious injury or death. We may also choose to voluntarily recall a product if any material deficiency is found. A government-mandated or voluntary recall by us could occur as a result of an unacceptable risk to health, component failures, malfunctions, manufacturing defects, labeling or design deficiencies, packaging defects or other deficiencies or failures to comply with applicable regulations. We cannot assure you that product defects or other errors will not occur in the future. Recalls involving the ARTAS System could be particularly harmful to our business, financial condition and results of operations because it is our only product.</w:t>
      </w:r>
    </w:p>
    <w:p>
      <w:pPr>
        <w:spacing w:after="0" w:line="59" w:lineRule="exact"/>
        <w:rPr>
          <w:sz w:val="20"/>
          <w:szCs w:val="20"/>
          <w:color w:val="auto"/>
        </w:rPr>
      </w:pPr>
    </w:p>
    <w:p>
      <w:pPr>
        <w:ind w:right="140"/>
        <w:spacing w:after="0" w:line="279" w:lineRule="auto"/>
        <w:rPr>
          <w:sz w:val="20"/>
          <w:szCs w:val="20"/>
          <w:color w:val="auto"/>
        </w:rPr>
      </w:pPr>
      <w:r>
        <w:rPr>
          <w:rFonts w:ascii="Arial" w:cs="Arial" w:eastAsia="Arial" w:hAnsi="Arial"/>
          <w:sz w:val="17"/>
          <w:szCs w:val="17"/>
          <w:color w:val="231F20"/>
        </w:rPr>
        <w:t>Companies are required to maintain certain records of recalls and corrections, even if they are not reportable to the FDA. We may initiate voluntary withdrawals or corrections for the ARTAS System in the future that we determine do not require notification of the FDA. If the FDA disagrees with our determinations, it could require us to report those actions as recalls and we may be subject to enforcement action. A future recall announcement could harm our reputation with customers, potentially lead to product liability claims against us and negatively affect our sales.</w:t>
      </w:r>
    </w:p>
    <w:p>
      <w:pPr>
        <w:spacing w:after="0" w:line="90"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b w:val="1"/>
          <w:bCs w:val="1"/>
          <w:i w:val="1"/>
          <w:iCs w:val="1"/>
          <w:color w:val="231F20"/>
        </w:rPr>
        <w:t>If we or our distributors do not obtain and maintain international regulatory registrations or approvals for the ARTAS System, our ability to market and sell the ARTAS System outside of the U.S. will be diminished.</w:t>
      </w:r>
    </w:p>
    <w:p>
      <w:pPr>
        <w:spacing w:after="0" w:line="62" w:lineRule="exact"/>
        <w:rPr>
          <w:sz w:val="20"/>
          <w:szCs w:val="20"/>
          <w:color w:val="auto"/>
        </w:rPr>
      </w:pPr>
    </w:p>
    <w:p>
      <w:pPr>
        <w:ind w:right="360"/>
        <w:spacing w:after="0" w:line="291" w:lineRule="auto"/>
        <w:rPr>
          <w:sz w:val="20"/>
          <w:szCs w:val="20"/>
          <w:color w:val="auto"/>
        </w:rPr>
      </w:pPr>
      <w:r>
        <w:rPr>
          <w:rFonts w:ascii="Arial" w:cs="Arial" w:eastAsia="Arial" w:hAnsi="Arial"/>
          <w:sz w:val="16"/>
          <w:szCs w:val="16"/>
          <w:color w:val="231F20"/>
        </w:rPr>
        <w:t>Sale of the ARTAS System outside the U.S. are subject to foreign regulatory requirements that vary widely from country to country. In addition, the FDA regulates exports of medical devices from the U.S. While the regulations of some countries may not impose barriers to marketing and selling the ARTAS System or only require notification, others require that we or our distributors obtain the approval of a specified regulatory body. Complying with foreign regulatory requirements, including obtaining registrations or approvals, can be expensive and time-consuming, and we cannot be certain that we or our distributors will receive regulatory approvals in each country in which we plan to market the ARTAS System or that we will be able to do so on a timely basis. The time required to obtain registrations or approvals, if required by other countries, may be longer than that required for FDA clearance, and requirements for such registrations, clearances, or approvals may significantly differ from FDA requirements. If we</w:t>
      </w:r>
    </w:p>
    <w:p>
      <w:pPr>
        <w:spacing w:after="0" w:line="200" w:lineRule="exact"/>
        <w:rPr>
          <w:sz w:val="20"/>
          <w:szCs w:val="20"/>
          <w:color w:val="auto"/>
        </w:rPr>
      </w:pPr>
    </w:p>
    <w:p>
      <w:pPr>
        <w:spacing w:after="0" w:line="21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449" w:right="239" w:bottom="1440" w:gutter="0" w:footer="0" w:header="0"/>
        </w:sectPr>
      </w:pPr>
    </w:p>
    <w:bookmarkStart w:id="49" w:name="page50"/>
    <w:bookmarkEnd w:id="49"/>
    <w:p>
      <w:pPr>
        <w:ind w:right="240"/>
        <w:spacing w:after="0" w:line="259" w:lineRule="auto"/>
        <w:rPr>
          <w:sz w:val="20"/>
          <w:szCs w:val="20"/>
          <w:color w:val="auto"/>
        </w:rPr>
      </w:pPr>
      <w:r>
        <w:rPr>
          <w:rFonts w:ascii="Arial" w:cs="Arial" w:eastAsia="Arial" w:hAnsi="Arial"/>
          <w:sz w:val="18"/>
          <w:szCs w:val="18"/>
          <w:color w:val="231F20"/>
        </w:rPr>
        <w:t>modify the ARTAS System, we or our distributors may need to apply for additional regulatory approvals or other authorizations before we are permitted to sell the modified product. In addition, we may not continue to meet the quality and safety standards required to maintain the authorizations that we or our distributors have received. If we or our distributors are unable to maintain our authorizations in a particular country, we will no longer be able to sell the applicable product in that country, which could harm our business.</w:t>
      </w:r>
    </w:p>
    <w:p>
      <w:pPr>
        <w:spacing w:after="0" w:line="79" w:lineRule="exact"/>
        <w:rPr>
          <w:sz w:val="20"/>
          <w:szCs w:val="20"/>
          <w:color w:val="auto"/>
        </w:rPr>
      </w:pPr>
    </w:p>
    <w:p>
      <w:pPr>
        <w:jc w:val="both"/>
        <w:ind w:right="40"/>
        <w:spacing w:after="0" w:line="312" w:lineRule="auto"/>
        <w:rPr>
          <w:sz w:val="20"/>
          <w:szCs w:val="20"/>
          <w:color w:val="auto"/>
        </w:rPr>
      </w:pPr>
      <w:r>
        <w:rPr>
          <w:rFonts w:ascii="Arial" w:cs="Arial" w:eastAsia="Arial" w:hAnsi="Arial"/>
          <w:sz w:val="16"/>
          <w:szCs w:val="16"/>
          <w:color w:val="231F20"/>
        </w:rPr>
        <w:t>Regulatory clearance or approval by the FDA does not ensure clearance or approval by regulatory authorities in other countries, and clearance or approval by one or more foreign regulatory authorities does not ensure clearance or approval by regulatory authorities in other foreign countries or by the FDA. However, a failure or delay in obtaining regulatory clearance or approval in one country may have a negative effect on the regulatory process in others.</w:t>
      </w:r>
    </w:p>
    <w:p>
      <w:pPr>
        <w:spacing w:after="0" w:line="79" w:lineRule="exact"/>
        <w:rPr>
          <w:sz w:val="20"/>
          <w:szCs w:val="20"/>
          <w:color w:val="auto"/>
        </w:rPr>
      </w:pPr>
    </w:p>
    <w:p>
      <w:pPr>
        <w:ind w:right="160"/>
        <w:spacing w:after="0" w:line="277" w:lineRule="auto"/>
        <w:rPr>
          <w:sz w:val="20"/>
          <w:szCs w:val="20"/>
          <w:color w:val="auto"/>
        </w:rPr>
      </w:pPr>
      <w:r>
        <w:rPr>
          <w:rFonts w:ascii="Arial" w:cs="Arial" w:eastAsia="Arial" w:hAnsi="Arial"/>
          <w:sz w:val="18"/>
          <w:szCs w:val="18"/>
          <w:b w:val="1"/>
          <w:bCs w:val="1"/>
          <w:i w:val="1"/>
          <w:iCs w:val="1"/>
          <w:color w:val="231F20"/>
        </w:rPr>
        <w:t>We must manufacture our products in accordance with federal and state regulations, and we could be forced to recall our installed systems or terminate production if we fail to comply with these regulations.</w:t>
      </w:r>
    </w:p>
    <w:p>
      <w:pPr>
        <w:spacing w:after="0" w:line="62" w:lineRule="exact"/>
        <w:rPr>
          <w:sz w:val="20"/>
          <w:szCs w:val="20"/>
          <w:color w:val="auto"/>
        </w:rPr>
      </w:pPr>
    </w:p>
    <w:p>
      <w:pPr>
        <w:ind w:right="40"/>
        <w:spacing w:after="0" w:line="286" w:lineRule="auto"/>
        <w:rPr>
          <w:sz w:val="20"/>
          <w:szCs w:val="20"/>
          <w:color w:val="auto"/>
        </w:rPr>
      </w:pPr>
      <w:r>
        <w:rPr>
          <w:rFonts w:ascii="Arial" w:cs="Arial" w:eastAsia="Arial" w:hAnsi="Arial"/>
          <w:sz w:val="17"/>
          <w:szCs w:val="17"/>
          <w:color w:val="231F20"/>
        </w:rPr>
        <w:t>The methods used in, and the facilities used for, the manufacture of the ARTAS System and related products must comply with the FDA’s Quality System Regulation, or QSR, which is a complex regulatory scheme that covers the procedures and documentation of the design, testing, production, process controls, quality assurance, labeling, packaging, handling, storage, distribution, installation, servicing and shipping of medical devices.</w:t>
      </w:r>
    </w:p>
    <w:p>
      <w:pPr>
        <w:spacing w:after="0" w:line="57"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231F20"/>
        </w:rPr>
        <w:t>Furthermore, we are required to verify that our suppliers maintain facilities, procedures and operations that comply with our quality and applicable regulatory requirements. The FDA enforces the QSR through periodic announced or unannounced inspections of medical device manufacturing facilities, which may include the facilities of subcontractors. The ARTAS System is also subject to similar state regulations and various laws and regulations of foreign countries governing manufacturing.</w:t>
      </w:r>
    </w:p>
    <w:p>
      <w:pPr>
        <w:spacing w:after="0" w:line="79" w:lineRule="exact"/>
        <w:rPr>
          <w:sz w:val="20"/>
          <w:szCs w:val="20"/>
          <w:color w:val="auto"/>
        </w:rPr>
      </w:pPr>
    </w:p>
    <w:p>
      <w:pPr>
        <w:ind w:right="40"/>
        <w:spacing w:after="0" w:line="264" w:lineRule="auto"/>
        <w:rPr>
          <w:sz w:val="20"/>
          <w:szCs w:val="20"/>
          <w:color w:val="auto"/>
        </w:rPr>
      </w:pPr>
      <w:r>
        <w:rPr>
          <w:rFonts w:ascii="Arial" w:cs="Arial" w:eastAsia="Arial" w:hAnsi="Arial"/>
          <w:sz w:val="18"/>
          <w:szCs w:val="18"/>
          <w:color w:val="231F20"/>
        </w:rPr>
        <w:t>We cannot guarantee that we or any subcontractors will take the necessary steps to comply with applicable regulations, which could cause delays in the delivery of the ARTAS System. In addition, failure to comply with applicable FDA requirements or later discovery of previously unknown problems with the ARTAS System or manufacturing processes could result in, among other things:</w:t>
      </w:r>
    </w:p>
    <w:p>
      <w:pPr>
        <w:spacing w:after="0" w:line="73" w:lineRule="exact"/>
        <w:rPr>
          <w:sz w:val="20"/>
          <w:szCs w:val="20"/>
          <w:color w:val="auto"/>
        </w:rPr>
      </w:pPr>
    </w:p>
    <w:p>
      <w:pPr>
        <w:ind w:left="1100" w:hanging="363"/>
        <w:spacing w:after="0"/>
        <w:tabs>
          <w:tab w:leader="none" w:pos="1100" w:val="left"/>
        </w:tabs>
        <w:numPr>
          <w:ilvl w:val="0"/>
          <w:numId w:val="40"/>
        </w:numPr>
        <w:rPr>
          <w:rFonts w:ascii="Arial" w:cs="Arial" w:eastAsia="Arial" w:hAnsi="Arial"/>
          <w:sz w:val="16"/>
          <w:szCs w:val="16"/>
          <w:color w:val="231F20"/>
        </w:rPr>
      </w:pPr>
      <w:r>
        <w:rPr>
          <w:rFonts w:ascii="Arial" w:cs="Arial" w:eastAsia="Arial" w:hAnsi="Arial"/>
          <w:sz w:val="18"/>
          <w:szCs w:val="18"/>
          <w:color w:val="231F20"/>
        </w:rPr>
        <w:t>warning letters or untitled letters;</w:t>
      </w:r>
    </w:p>
    <w:p>
      <w:pPr>
        <w:spacing w:after="0" w:line="117" w:lineRule="exact"/>
        <w:rPr>
          <w:rFonts w:ascii="Arial" w:cs="Arial" w:eastAsia="Arial" w:hAnsi="Arial"/>
          <w:sz w:val="16"/>
          <w:szCs w:val="16"/>
          <w:color w:val="231F20"/>
        </w:rPr>
      </w:pPr>
    </w:p>
    <w:p>
      <w:pPr>
        <w:ind w:left="1100" w:hanging="363"/>
        <w:spacing w:after="0"/>
        <w:tabs>
          <w:tab w:leader="none" w:pos="1100" w:val="left"/>
        </w:tabs>
        <w:numPr>
          <w:ilvl w:val="0"/>
          <w:numId w:val="40"/>
        </w:numPr>
        <w:rPr>
          <w:rFonts w:ascii="Arial" w:cs="Arial" w:eastAsia="Arial" w:hAnsi="Arial"/>
          <w:sz w:val="16"/>
          <w:szCs w:val="16"/>
          <w:color w:val="231F20"/>
        </w:rPr>
      </w:pPr>
      <w:r>
        <w:rPr>
          <w:rFonts w:ascii="Arial" w:cs="Arial" w:eastAsia="Arial" w:hAnsi="Arial"/>
          <w:sz w:val="18"/>
          <w:szCs w:val="18"/>
          <w:color w:val="231F20"/>
        </w:rPr>
        <w:t>fines, injunctions or civil penalties;</w:t>
      </w:r>
    </w:p>
    <w:p>
      <w:pPr>
        <w:spacing w:after="0" w:line="117" w:lineRule="exact"/>
        <w:rPr>
          <w:rFonts w:ascii="Arial" w:cs="Arial" w:eastAsia="Arial" w:hAnsi="Arial"/>
          <w:sz w:val="16"/>
          <w:szCs w:val="16"/>
          <w:color w:val="231F20"/>
        </w:rPr>
      </w:pPr>
    </w:p>
    <w:p>
      <w:pPr>
        <w:ind w:left="1100" w:hanging="363"/>
        <w:spacing w:after="0"/>
        <w:tabs>
          <w:tab w:leader="none" w:pos="1100" w:val="left"/>
        </w:tabs>
        <w:numPr>
          <w:ilvl w:val="0"/>
          <w:numId w:val="40"/>
        </w:numPr>
        <w:rPr>
          <w:rFonts w:ascii="Arial" w:cs="Arial" w:eastAsia="Arial" w:hAnsi="Arial"/>
          <w:sz w:val="16"/>
          <w:szCs w:val="16"/>
          <w:color w:val="231F20"/>
        </w:rPr>
      </w:pPr>
      <w:r>
        <w:rPr>
          <w:rFonts w:ascii="Arial" w:cs="Arial" w:eastAsia="Arial" w:hAnsi="Arial"/>
          <w:sz w:val="18"/>
          <w:szCs w:val="18"/>
          <w:color w:val="231F20"/>
        </w:rPr>
        <w:t>suspension or withdrawal of approvals or clearances;</w:t>
      </w:r>
    </w:p>
    <w:p>
      <w:pPr>
        <w:spacing w:after="0" w:line="117" w:lineRule="exact"/>
        <w:rPr>
          <w:rFonts w:ascii="Arial" w:cs="Arial" w:eastAsia="Arial" w:hAnsi="Arial"/>
          <w:sz w:val="16"/>
          <w:szCs w:val="16"/>
          <w:color w:val="231F20"/>
        </w:rPr>
      </w:pPr>
    </w:p>
    <w:p>
      <w:pPr>
        <w:ind w:left="1100" w:hanging="363"/>
        <w:spacing w:after="0"/>
        <w:tabs>
          <w:tab w:leader="none" w:pos="1100" w:val="left"/>
        </w:tabs>
        <w:numPr>
          <w:ilvl w:val="0"/>
          <w:numId w:val="40"/>
        </w:numPr>
        <w:rPr>
          <w:rFonts w:ascii="Arial" w:cs="Arial" w:eastAsia="Arial" w:hAnsi="Arial"/>
          <w:sz w:val="16"/>
          <w:szCs w:val="16"/>
          <w:color w:val="231F20"/>
        </w:rPr>
      </w:pPr>
      <w:r>
        <w:rPr>
          <w:rFonts w:ascii="Arial" w:cs="Arial" w:eastAsia="Arial" w:hAnsi="Arial"/>
          <w:sz w:val="18"/>
          <w:szCs w:val="18"/>
          <w:color w:val="231F20"/>
        </w:rPr>
        <w:t>seizures or recalls of our products;</w:t>
      </w:r>
    </w:p>
    <w:p>
      <w:pPr>
        <w:spacing w:after="0" w:line="117" w:lineRule="exact"/>
        <w:rPr>
          <w:rFonts w:ascii="Arial" w:cs="Arial" w:eastAsia="Arial" w:hAnsi="Arial"/>
          <w:sz w:val="16"/>
          <w:szCs w:val="16"/>
          <w:color w:val="231F20"/>
        </w:rPr>
      </w:pPr>
    </w:p>
    <w:p>
      <w:pPr>
        <w:ind w:left="1100" w:hanging="363"/>
        <w:spacing w:after="0"/>
        <w:tabs>
          <w:tab w:leader="none" w:pos="1100" w:val="left"/>
        </w:tabs>
        <w:numPr>
          <w:ilvl w:val="0"/>
          <w:numId w:val="40"/>
        </w:numPr>
        <w:rPr>
          <w:rFonts w:ascii="Arial" w:cs="Arial" w:eastAsia="Arial" w:hAnsi="Arial"/>
          <w:sz w:val="16"/>
          <w:szCs w:val="16"/>
          <w:color w:val="231F20"/>
        </w:rPr>
      </w:pPr>
      <w:r>
        <w:rPr>
          <w:rFonts w:ascii="Arial" w:cs="Arial" w:eastAsia="Arial" w:hAnsi="Arial"/>
          <w:sz w:val="18"/>
          <w:szCs w:val="18"/>
          <w:color w:val="231F20"/>
        </w:rPr>
        <w:t>total or partial suspension of production or distribution;</w:t>
      </w:r>
    </w:p>
    <w:p>
      <w:pPr>
        <w:spacing w:after="0" w:line="117" w:lineRule="exact"/>
        <w:rPr>
          <w:rFonts w:ascii="Arial" w:cs="Arial" w:eastAsia="Arial" w:hAnsi="Arial"/>
          <w:sz w:val="16"/>
          <w:szCs w:val="16"/>
          <w:color w:val="231F20"/>
        </w:rPr>
      </w:pPr>
    </w:p>
    <w:p>
      <w:pPr>
        <w:ind w:left="1100" w:hanging="363"/>
        <w:spacing w:after="0"/>
        <w:tabs>
          <w:tab w:leader="none" w:pos="1100" w:val="left"/>
        </w:tabs>
        <w:numPr>
          <w:ilvl w:val="0"/>
          <w:numId w:val="40"/>
        </w:numPr>
        <w:rPr>
          <w:rFonts w:ascii="Arial" w:cs="Arial" w:eastAsia="Arial" w:hAnsi="Arial"/>
          <w:sz w:val="16"/>
          <w:szCs w:val="16"/>
          <w:color w:val="231F20"/>
        </w:rPr>
      </w:pPr>
      <w:r>
        <w:rPr>
          <w:rFonts w:ascii="Arial" w:cs="Arial" w:eastAsia="Arial" w:hAnsi="Arial"/>
          <w:sz w:val="18"/>
          <w:szCs w:val="18"/>
          <w:color w:val="231F20"/>
        </w:rPr>
        <w:t>administrative or judicially imposed sanctions;</w:t>
      </w:r>
    </w:p>
    <w:p>
      <w:pPr>
        <w:spacing w:after="0" w:line="117" w:lineRule="exact"/>
        <w:rPr>
          <w:rFonts w:ascii="Arial" w:cs="Arial" w:eastAsia="Arial" w:hAnsi="Arial"/>
          <w:sz w:val="16"/>
          <w:szCs w:val="16"/>
          <w:color w:val="231F20"/>
        </w:rPr>
      </w:pPr>
    </w:p>
    <w:p>
      <w:pPr>
        <w:ind w:left="1100" w:hanging="363"/>
        <w:spacing w:after="0"/>
        <w:tabs>
          <w:tab w:leader="none" w:pos="1100" w:val="left"/>
        </w:tabs>
        <w:numPr>
          <w:ilvl w:val="0"/>
          <w:numId w:val="40"/>
        </w:numPr>
        <w:rPr>
          <w:rFonts w:ascii="Arial" w:cs="Arial" w:eastAsia="Arial" w:hAnsi="Arial"/>
          <w:sz w:val="16"/>
          <w:szCs w:val="16"/>
          <w:color w:val="231F20"/>
        </w:rPr>
      </w:pPr>
      <w:r>
        <w:rPr>
          <w:rFonts w:ascii="Arial" w:cs="Arial" w:eastAsia="Arial" w:hAnsi="Arial"/>
          <w:sz w:val="18"/>
          <w:szCs w:val="18"/>
          <w:color w:val="231F20"/>
        </w:rPr>
        <w:t>the FDA’s refusal to grant pending or future clearances or approvals for our products;</w:t>
      </w:r>
    </w:p>
    <w:p>
      <w:pPr>
        <w:spacing w:after="0" w:line="117" w:lineRule="exact"/>
        <w:rPr>
          <w:rFonts w:ascii="Arial" w:cs="Arial" w:eastAsia="Arial" w:hAnsi="Arial"/>
          <w:sz w:val="16"/>
          <w:szCs w:val="16"/>
          <w:color w:val="231F20"/>
        </w:rPr>
      </w:pPr>
    </w:p>
    <w:p>
      <w:pPr>
        <w:ind w:left="1100" w:hanging="363"/>
        <w:spacing w:after="0"/>
        <w:tabs>
          <w:tab w:leader="none" w:pos="1100" w:val="left"/>
        </w:tabs>
        <w:numPr>
          <w:ilvl w:val="0"/>
          <w:numId w:val="40"/>
        </w:numPr>
        <w:rPr>
          <w:rFonts w:ascii="Arial" w:cs="Arial" w:eastAsia="Arial" w:hAnsi="Arial"/>
          <w:sz w:val="16"/>
          <w:szCs w:val="16"/>
          <w:color w:val="231F20"/>
        </w:rPr>
      </w:pPr>
      <w:r>
        <w:rPr>
          <w:rFonts w:ascii="Arial" w:cs="Arial" w:eastAsia="Arial" w:hAnsi="Arial"/>
          <w:sz w:val="18"/>
          <w:szCs w:val="18"/>
          <w:color w:val="231F20"/>
        </w:rPr>
        <w:t>clinical holds;</w:t>
      </w:r>
    </w:p>
    <w:p>
      <w:pPr>
        <w:spacing w:after="0" w:line="117" w:lineRule="exact"/>
        <w:rPr>
          <w:rFonts w:ascii="Arial" w:cs="Arial" w:eastAsia="Arial" w:hAnsi="Arial"/>
          <w:sz w:val="16"/>
          <w:szCs w:val="16"/>
          <w:color w:val="231F20"/>
        </w:rPr>
      </w:pPr>
    </w:p>
    <w:p>
      <w:pPr>
        <w:ind w:left="1100" w:hanging="363"/>
        <w:spacing w:after="0"/>
        <w:tabs>
          <w:tab w:leader="none" w:pos="1100" w:val="left"/>
        </w:tabs>
        <w:numPr>
          <w:ilvl w:val="0"/>
          <w:numId w:val="40"/>
        </w:numPr>
        <w:rPr>
          <w:rFonts w:ascii="Arial" w:cs="Arial" w:eastAsia="Arial" w:hAnsi="Arial"/>
          <w:sz w:val="16"/>
          <w:szCs w:val="16"/>
          <w:color w:val="231F20"/>
        </w:rPr>
      </w:pPr>
      <w:r>
        <w:rPr>
          <w:rFonts w:ascii="Arial" w:cs="Arial" w:eastAsia="Arial" w:hAnsi="Arial"/>
          <w:sz w:val="18"/>
          <w:szCs w:val="18"/>
          <w:color w:val="231F20"/>
        </w:rPr>
        <w:t>refusal to permit the import or export of our products; and</w:t>
      </w:r>
    </w:p>
    <w:p>
      <w:pPr>
        <w:spacing w:after="0" w:line="117" w:lineRule="exact"/>
        <w:rPr>
          <w:rFonts w:ascii="Arial" w:cs="Arial" w:eastAsia="Arial" w:hAnsi="Arial"/>
          <w:sz w:val="16"/>
          <w:szCs w:val="16"/>
          <w:color w:val="231F20"/>
        </w:rPr>
      </w:pPr>
    </w:p>
    <w:p>
      <w:pPr>
        <w:ind w:left="1100" w:hanging="363"/>
        <w:spacing w:after="0"/>
        <w:tabs>
          <w:tab w:leader="none" w:pos="1100" w:val="left"/>
        </w:tabs>
        <w:numPr>
          <w:ilvl w:val="0"/>
          <w:numId w:val="40"/>
        </w:numPr>
        <w:rPr>
          <w:rFonts w:ascii="Arial" w:cs="Arial" w:eastAsia="Arial" w:hAnsi="Arial"/>
          <w:sz w:val="16"/>
          <w:szCs w:val="16"/>
          <w:color w:val="231F20"/>
        </w:rPr>
      </w:pPr>
      <w:r>
        <w:rPr>
          <w:rFonts w:ascii="Arial" w:cs="Arial" w:eastAsia="Arial" w:hAnsi="Arial"/>
          <w:sz w:val="18"/>
          <w:szCs w:val="18"/>
          <w:color w:val="231F20"/>
        </w:rPr>
        <w:t>criminal prosecution to us or our employees.</w:t>
      </w:r>
    </w:p>
    <w:p>
      <w:pPr>
        <w:spacing w:after="0" w:line="117" w:lineRule="exact"/>
        <w:rPr>
          <w:sz w:val="20"/>
          <w:szCs w:val="20"/>
          <w:color w:val="auto"/>
        </w:rPr>
      </w:pPr>
    </w:p>
    <w:p>
      <w:pPr>
        <w:ind w:right="420"/>
        <w:spacing w:after="0" w:line="277" w:lineRule="auto"/>
        <w:rPr>
          <w:sz w:val="20"/>
          <w:szCs w:val="20"/>
          <w:color w:val="auto"/>
        </w:rPr>
      </w:pPr>
      <w:r>
        <w:rPr>
          <w:rFonts w:ascii="Arial" w:cs="Arial" w:eastAsia="Arial" w:hAnsi="Arial"/>
          <w:sz w:val="18"/>
          <w:szCs w:val="18"/>
          <w:color w:val="231F20"/>
        </w:rPr>
        <w:t>Any of these actions could significantly and negatively impact supply of our products. If any of these events occurs, our reputation could be harmed, we could be exposed to product liability claims and we could lose customers and suffer reduced revenue and increased costs.</w:t>
      </w:r>
    </w:p>
    <w:p>
      <w:pPr>
        <w:spacing w:after="0" w:line="89"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b w:val="1"/>
          <w:bCs w:val="1"/>
          <w:i w:val="1"/>
          <w:iCs w:val="1"/>
          <w:color w:val="231F20"/>
        </w:rPr>
        <w:t>We may be subject to various federal and state laws pertaining to healthcare fraud and abuse, and any violations by us of such laws could result in fines or other penalties.</w:t>
      </w:r>
    </w:p>
    <w:p>
      <w:pPr>
        <w:spacing w:after="0" w:line="62" w:lineRule="exact"/>
        <w:rPr>
          <w:sz w:val="20"/>
          <w:szCs w:val="20"/>
          <w:color w:val="auto"/>
        </w:rPr>
      </w:pPr>
    </w:p>
    <w:p>
      <w:pPr>
        <w:jc w:val="both"/>
        <w:spacing w:after="0" w:line="297" w:lineRule="auto"/>
        <w:rPr>
          <w:sz w:val="20"/>
          <w:szCs w:val="20"/>
          <w:color w:val="auto"/>
        </w:rPr>
      </w:pPr>
      <w:r>
        <w:rPr>
          <w:rFonts w:ascii="Arial" w:cs="Arial" w:eastAsia="Arial" w:hAnsi="Arial"/>
          <w:sz w:val="16"/>
          <w:szCs w:val="16"/>
          <w:color w:val="231F20"/>
        </w:rPr>
        <w:t>While procedures utilizing the ARTAS System are not currently covered or reimbursed by any third-party payor, our commercial, research and other financial relationships with healthcare providers and others may be subject to various federal and state laws intended to prevent healthcare fraud and abuse. Such laws include the U.S. federal Anti-Kickback Statute and similar laws that apply to state healthcare programs, private payors and self-pay patients; the U.S. federal civil and criminal false claims laws, such as the civil False Claims Act, and civil monetary penalties laws; state and federal data privacy and security laws and regulations; state and federal physician payment transparency laws; and state and federal consumer protection and unfair competition laws.</w:t>
      </w:r>
    </w:p>
    <w:p>
      <w:pPr>
        <w:spacing w:after="0" w:line="200" w:lineRule="exact"/>
        <w:rPr>
          <w:sz w:val="20"/>
          <w:szCs w:val="20"/>
          <w:color w:val="auto"/>
        </w:rPr>
      </w:pPr>
    </w:p>
    <w:p>
      <w:pPr>
        <w:spacing w:after="0" w:line="20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449" w:right="259" w:bottom="1440" w:gutter="0" w:footer="0" w:header="0"/>
        </w:sectPr>
      </w:pPr>
    </w:p>
    <w:bookmarkStart w:id="50" w:name="page51"/>
    <w:bookmarkEnd w:id="50"/>
    <w:p>
      <w:pPr>
        <w:jc w:val="both"/>
        <w:ind w:right="320"/>
        <w:spacing w:after="0" w:line="264" w:lineRule="auto"/>
        <w:rPr>
          <w:sz w:val="20"/>
          <w:szCs w:val="20"/>
          <w:color w:val="auto"/>
        </w:rPr>
      </w:pPr>
      <w:r>
        <w:rPr>
          <w:rFonts w:ascii="Arial" w:cs="Arial" w:eastAsia="Arial" w:hAnsi="Arial"/>
          <w:sz w:val="18"/>
          <w:szCs w:val="18"/>
          <w:color w:val="231F20"/>
        </w:rPr>
        <w:t>Further, these laws may impact any sales, marketing and education programs we currently have or may develop in the future and the manner in which we implement any of those programs. Penalties for violations of these laws can include exclusion from federal healthcare programs and substantial civil and criminal penalties.</w:t>
      </w:r>
    </w:p>
    <w:p>
      <w:pPr>
        <w:spacing w:after="0" w:line="11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231F20"/>
        </w:rPr>
        <w:t>Recently enacted and future legislation may increase the difficulty and cost for us to sell our products.</w:t>
      </w:r>
    </w:p>
    <w:p>
      <w:pPr>
        <w:spacing w:after="0" w:line="117" w:lineRule="exact"/>
        <w:rPr>
          <w:sz w:val="20"/>
          <w:szCs w:val="20"/>
          <w:color w:val="auto"/>
        </w:rPr>
      </w:pPr>
    </w:p>
    <w:p>
      <w:pPr>
        <w:spacing w:after="0" w:line="270" w:lineRule="auto"/>
        <w:rPr>
          <w:sz w:val="20"/>
          <w:szCs w:val="20"/>
          <w:color w:val="auto"/>
        </w:rPr>
      </w:pPr>
      <w:r>
        <w:rPr>
          <w:rFonts w:ascii="Arial" w:cs="Arial" w:eastAsia="Arial" w:hAnsi="Arial"/>
          <w:sz w:val="17"/>
          <w:szCs w:val="17"/>
          <w:color w:val="231F20"/>
        </w:rPr>
        <w:t>In the U.S. and some non-U.S. jurisdictions, there have been, and we expect there will continue to be, a number of legislative and regulatory changes and proposed changes regarding the healthcare system that could, among other things, restrict or regulate post-approval activities and affect our ability to profitably sell our products. For example, in March 2010, the Patient Protection and Affordable Care Act, as amended by the Health Care and Education Reconciliation Act, collectively the Affordable Care Act, was enacted. The Affordable Care Act, imposed, among other things, an annual excise tax of 2.3% on any entity that manufactures or imports medical devices offered for sale in the U.S., which, due to subsequent legislative amendments, has been suspended from January 1, 2016 to December 31, 2019, and, absent further legislative action, will be reinstated starting January 1, 2020. It is uncertain the extent to which any challenges, amendments and attempts to repeal and replace the Affordable Care Act in the future may impact our business or financial condition. We expect that the Affordable Care Act, as well as other healthcare reform measures that may be adopted in the future, may potentially increase our costs to sell our product and decrease our profitability.</w:t>
      </w:r>
    </w:p>
    <w:p>
      <w:pPr>
        <w:spacing w:after="0" w:line="101"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b w:val="1"/>
          <w:bCs w:val="1"/>
          <w:i w:val="1"/>
          <w:iCs w:val="1"/>
          <w:color w:val="231F20"/>
        </w:rPr>
        <w:t>Recent U.S. tax legislation and future changes to applicable U.S. or foreign tax laws and regulations may have a material adverse effect on our business, financial condition and results of operations.</w:t>
      </w:r>
    </w:p>
    <w:p>
      <w:pPr>
        <w:spacing w:after="0" w:line="62" w:lineRule="exact"/>
        <w:rPr>
          <w:sz w:val="20"/>
          <w:szCs w:val="20"/>
          <w:color w:val="auto"/>
        </w:rPr>
      </w:pPr>
    </w:p>
    <w:p>
      <w:pPr>
        <w:ind w:right="20"/>
        <w:spacing w:after="0" w:line="270" w:lineRule="auto"/>
        <w:rPr>
          <w:sz w:val="20"/>
          <w:szCs w:val="20"/>
          <w:color w:val="auto"/>
        </w:rPr>
      </w:pPr>
      <w:r>
        <w:rPr>
          <w:rFonts w:ascii="Arial" w:cs="Arial" w:eastAsia="Arial" w:hAnsi="Arial"/>
          <w:sz w:val="17"/>
          <w:szCs w:val="17"/>
          <w:color w:val="231F20"/>
        </w:rPr>
        <w:t>We are subject to income and other taxes in the U.S. and foreign jurisdictions. Changes in laws and policy relating to taxes or trade may have an adverse effect on our business, financial condition and results of operations. For example, the U.S. government recently enacted significant tax reform, and certain provisions of the new law may adversely affect us. Changes include, but are not limited to, a federal corporate tax rate decrease from 35% to 21% for tax years beginning after December 31, 2017, the transition of U.S. international taxation from a worldwide tax system to a more generally territorial system, and a one-time transition tax on the mandatory deemed repatriation of foreign earnings. The legislation is unclear in many respects and could be subject to potential amendments and technical corrections, and will be subject to interpretations and implementing regulations by the Treasury and Internal Revenue Service, any of which could mitigate or increase certain adverse effects of the legislation. In addition, it is unclear how these U.S. federal income tax changes will affect state and local taxation. Generally, future changes in applicable U.S. or foreign tax laws and regulations, or their interpretation and application could have an adverse effect on our business, financial conditions and results of operations.</w:t>
      </w:r>
    </w:p>
    <w:p>
      <w:pPr>
        <w:spacing w:after="0" w:line="110" w:lineRule="exact"/>
        <w:rPr>
          <w:sz w:val="20"/>
          <w:szCs w:val="20"/>
          <w:color w:val="auto"/>
        </w:rPr>
      </w:pPr>
    </w:p>
    <w:p>
      <w:pPr>
        <w:spacing w:after="0"/>
        <w:rPr>
          <w:sz w:val="20"/>
          <w:szCs w:val="20"/>
          <w:color w:val="auto"/>
        </w:rPr>
      </w:pPr>
      <w:r>
        <w:rPr>
          <w:rFonts w:ascii="Arial" w:cs="Arial" w:eastAsia="Arial" w:hAnsi="Arial"/>
          <w:sz w:val="18"/>
          <w:szCs w:val="18"/>
          <w:b w:val="1"/>
          <w:bCs w:val="1"/>
          <w:color w:val="231F20"/>
        </w:rPr>
        <w:t>Risks Related to Our Common Stock</w:t>
      </w:r>
    </w:p>
    <w:p>
      <w:pPr>
        <w:spacing w:after="0" w:line="121"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231F20"/>
        </w:rPr>
        <w:t>Our stock price has been and may continue to be volatile, and you may not be able to resell shares of our common stock at or above the price you paid.</w:t>
      </w:r>
    </w:p>
    <w:p>
      <w:pPr>
        <w:spacing w:after="0" w:line="152" w:lineRule="exact"/>
        <w:rPr>
          <w:sz w:val="20"/>
          <w:szCs w:val="20"/>
          <w:color w:val="auto"/>
        </w:rPr>
      </w:pPr>
    </w:p>
    <w:p>
      <w:pPr>
        <w:ind w:right="240"/>
        <w:spacing w:after="0" w:line="277" w:lineRule="auto"/>
        <w:rPr>
          <w:sz w:val="20"/>
          <w:szCs w:val="20"/>
          <w:color w:val="auto"/>
        </w:rPr>
      </w:pPr>
      <w:r>
        <w:rPr>
          <w:rFonts w:ascii="Arial" w:cs="Arial" w:eastAsia="Arial" w:hAnsi="Arial"/>
          <w:sz w:val="18"/>
          <w:szCs w:val="18"/>
          <w:color w:val="231F20"/>
        </w:rPr>
        <w:t>The market price of our common stock could be highly volatile and could be subject to wide fluctuations in response to various factors, some of which are beyond our control. These factors include those discussed in this “Risk Factors” section and others such as:</w:t>
      </w:r>
    </w:p>
    <w:p>
      <w:pPr>
        <w:spacing w:after="0" w:line="62" w:lineRule="exact"/>
        <w:rPr>
          <w:sz w:val="20"/>
          <w:szCs w:val="20"/>
          <w:color w:val="auto"/>
        </w:rPr>
      </w:pPr>
    </w:p>
    <w:p>
      <w:pPr>
        <w:ind w:left="1100" w:hanging="363"/>
        <w:spacing w:after="0"/>
        <w:tabs>
          <w:tab w:leader="none" w:pos="1100" w:val="left"/>
        </w:tabs>
        <w:numPr>
          <w:ilvl w:val="0"/>
          <w:numId w:val="41"/>
        </w:numPr>
        <w:rPr>
          <w:rFonts w:ascii="Arial" w:cs="Arial" w:eastAsia="Arial" w:hAnsi="Arial"/>
          <w:sz w:val="16"/>
          <w:szCs w:val="16"/>
          <w:color w:val="231F20"/>
        </w:rPr>
      </w:pPr>
      <w:r>
        <w:rPr>
          <w:rFonts w:ascii="Arial" w:cs="Arial" w:eastAsia="Arial" w:hAnsi="Arial"/>
          <w:sz w:val="18"/>
          <w:szCs w:val="18"/>
          <w:color w:val="231F20"/>
        </w:rPr>
        <w:t>the continued growth in demand for the ARTAS System and ARTAS procedures;</w:t>
      </w:r>
    </w:p>
    <w:p>
      <w:pPr>
        <w:spacing w:after="0" w:line="117" w:lineRule="exact"/>
        <w:rPr>
          <w:rFonts w:ascii="Arial" w:cs="Arial" w:eastAsia="Arial" w:hAnsi="Arial"/>
          <w:sz w:val="16"/>
          <w:szCs w:val="16"/>
          <w:color w:val="231F20"/>
        </w:rPr>
      </w:pPr>
    </w:p>
    <w:p>
      <w:pPr>
        <w:ind w:left="1100" w:hanging="363"/>
        <w:spacing w:after="0"/>
        <w:tabs>
          <w:tab w:leader="none" w:pos="1100" w:val="left"/>
        </w:tabs>
        <w:numPr>
          <w:ilvl w:val="0"/>
          <w:numId w:val="41"/>
        </w:numPr>
        <w:rPr>
          <w:rFonts w:ascii="Arial" w:cs="Arial" w:eastAsia="Arial" w:hAnsi="Arial"/>
          <w:sz w:val="16"/>
          <w:szCs w:val="16"/>
          <w:color w:val="231F20"/>
        </w:rPr>
      </w:pPr>
      <w:r>
        <w:rPr>
          <w:rFonts w:ascii="Arial" w:cs="Arial" w:eastAsia="Arial" w:hAnsi="Arial"/>
          <w:sz w:val="18"/>
          <w:szCs w:val="18"/>
          <w:color w:val="231F20"/>
        </w:rPr>
        <w:t>our commercialization, marketing and manufacturing prospects;</w:t>
      </w:r>
    </w:p>
    <w:p>
      <w:pPr>
        <w:spacing w:after="0" w:line="117" w:lineRule="exact"/>
        <w:rPr>
          <w:rFonts w:ascii="Arial" w:cs="Arial" w:eastAsia="Arial" w:hAnsi="Arial"/>
          <w:sz w:val="16"/>
          <w:szCs w:val="16"/>
          <w:color w:val="231F20"/>
        </w:rPr>
      </w:pPr>
    </w:p>
    <w:p>
      <w:pPr>
        <w:ind w:left="1100" w:hanging="363"/>
        <w:spacing w:after="0"/>
        <w:tabs>
          <w:tab w:leader="none" w:pos="1100" w:val="left"/>
        </w:tabs>
        <w:numPr>
          <w:ilvl w:val="0"/>
          <w:numId w:val="41"/>
        </w:numPr>
        <w:rPr>
          <w:rFonts w:ascii="Arial" w:cs="Arial" w:eastAsia="Arial" w:hAnsi="Arial"/>
          <w:sz w:val="16"/>
          <w:szCs w:val="16"/>
          <w:color w:val="231F20"/>
        </w:rPr>
      </w:pPr>
      <w:r>
        <w:rPr>
          <w:rFonts w:ascii="Arial" w:cs="Arial" w:eastAsia="Arial" w:hAnsi="Arial"/>
          <w:sz w:val="18"/>
          <w:szCs w:val="18"/>
          <w:color w:val="231F20"/>
        </w:rPr>
        <w:t>the continuing productivity and effectiveness of our commercial infrastructure and salesforce;</w:t>
      </w:r>
    </w:p>
    <w:p>
      <w:pPr>
        <w:spacing w:after="0" w:line="117" w:lineRule="exact"/>
        <w:rPr>
          <w:rFonts w:ascii="Arial" w:cs="Arial" w:eastAsia="Arial" w:hAnsi="Arial"/>
          <w:sz w:val="16"/>
          <w:szCs w:val="16"/>
          <w:color w:val="231F20"/>
        </w:rPr>
      </w:pPr>
    </w:p>
    <w:p>
      <w:pPr>
        <w:ind w:left="1100" w:hanging="363"/>
        <w:spacing w:after="0"/>
        <w:tabs>
          <w:tab w:leader="none" w:pos="1100" w:val="left"/>
        </w:tabs>
        <w:numPr>
          <w:ilvl w:val="0"/>
          <w:numId w:val="41"/>
        </w:numPr>
        <w:rPr>
          <w:rFonts w:ascii="Arial" w:cs="Arial" w:eastAsia="Arial" w:hAnsi="Arial"/>
          <w:sz w:val="16"/>
          <w:szCs w:val="16"/>
          <w:color w:val="231F20"/>
        </w:rPr>
      </w:pPr>
      <w:r>
        <w:rPr>
          <w:rFonts w:ascii="Arial" w:cs="Arial" w:eastAsia="Arial" w:hAnsi="Arial"/>
          <w:sz w:val="18"/>
          <w:szCs w:val="18"/>
          <w:color w:val="231F20"/>
        </w:rPr>
        <w:t>our financial performance;</w:t>
      </w:r>
    </w:p>
    <w:p>
      <w:pPr>
        <w:spacing w:after="0" w:line="117" w:lineRule="exact"/>
        <w:rPr>
          <w:rFonts w:ascii="Arial" w:cs="Arial" w:eastAsia="Arial" w:hAnsi="Arial"/>
          <w:sz w:val="16"/>
          <w:szCs w:val="16"/>
          <w:color w:val="231F20"/>
        </w:rPr>
      </w:pPr>
    </w:p>
    <w:p>
      <w:pPr>
        <w:ind w:left="1100" w:hanging="363"/>
        <w:spacing w:after="0"/>
        <w:tabs>
          <w:tab w:leader="none" w:pos="1100" w:val="left"/>
        </w:tabs>
        <w:numPr>
          <w:ilvl w:val="0"/>
          <w:numId w:val="41"/>
        </w:numPr>
        <w:rPr>
          <w:rFonts w:ascii="Arial" w:cs="Arial" w:eastAsia="Arial" w:hAnsi="Arial"/>
          <w:sz w:val="16"/>
          <w:szCs w:val="16"/>
          <w:color w:val="231F20"/>
        </w:rPr>
      </w:pPr>
      <w:r>
        <w:rPr>
          <w:rFonts w:ascii="Arial" w:cs="Arial" w:eastAsia="Arial" w:hAnsi="Arial"/>
          <w:sz w:val="18"/>
          <w:szCs w:val="18"/>
          <w:color w:val="231F20"/>
        </w:rPr>
        <w:t>our intentions and our ability to establish collaborations and/or partnerships;</w:t>
      </w:r>
    </w:p>
    <w:p>
      <w:pPr>
        <w:spacing w:after="0" w:line="117" w:lineRule="exact"/>
        <w:rPr>
          <w:rFonts w:ascii="Arial" w:cs="Arial" w:eastAsia="Arial" w:hAnsi="Arial"/>
          <w:sz w:val="16"/>
          <w:szCs w:val="16"/>
          <w:color w:val="231F20"/>
        </w:rPr>
      </w:pPr>
    </w:p>
    <w:p>
      <w:pPr>
        <w:ind w:left="1100" w:hanging="363"/>
        <w:spacing w:after="0"/>
        <w:tabs>
          <w:tab w:leader="none" w:pos="1100" w:val="left"/>
        </w:tabs>
        <w:numPr>
          <w:ilvl w:val="0"/>
          <w:numId w:val="41"/>
        </w:numPr>
        <w:rPr>
          <w:rFonts w:ascii="Arial" w:cs="Arial" w:eastAsia="Arial" w:hAnsi="Arial"/>
          <w:sz w:val="16"/>
          <w:szCs w:val="16"/>
          <w:color w:val="231F20"/>
        </w:rPr>
      </w:pPr>
      <w:r>
        <w:rPr>
          <w:rFonts w:ascii="Arial" w:cs="Arial" w:eastAsia="Arial" w:hAnsi="Arial"/>
          <w:sz w:val="18"/>
          <w:szCs w:val="18"/>
          <w:color w:val="231F20"/>
        </w:rPr>
        <w:t>the timing or likelihood of regulatory filings and approvals for the ARTAS System for expanded indications and functionality;</w:t>
      </w:r>
    </w:p>
    <w:p>
      <w:pPr>
        <w:spacing w:after="0" w:line="117" w:lineRule="exact"/>
        <w:rPr>
          <w:rFonts w:ascii="Arial" w:cs="Arial" w:eastAsia="Arial" w:hAnsi="Arial"/>
          <w:sz w:val="16"/>
          <w:szCs w:val="16"/>
          <w:color w:val="231F20"/>
        </w:rPr>
      </w:pPr>
    </w:p>
    <w:p>
      <w:pPr>
        <w:ind w:left="1100" w:hanging="363"/>
        <w:spacing w:after="0"/>
        <w:tabs>
          <w:tab w:leader="none" w:pos="1100" w:val="left"/>
        </w:tabs>
        <w:numPr>
          <w:ilvl w:val="0"/>
          <w:numId w:val="41"/>
        </w:numPr>
        <w:rPr>
          <w:rFonts w:ascii="Arial" w:cs="Arial" w:eastAsia="Arial" w:hAnsi="Arial"/>
          <w:sz w:val="16"/>
          <w:szCs w:val="16"/>
          <w:color w:val="231F20"/>
        </w:rPr>
      </w:pPr>
      <w:r>
        <w:rPr>
          <w:rFonts w:ascii="Arial" w:cs="Arial" w:eastAsia="Arial" w:hAnsi="Arial"/>
          <w:sz w:val="18"/>
          <w:szCs w:val="18"/>
          <w:color w:val="231F20"/>
        </w:rPr>
        <w:t>our commercialization, marketing and manufacturing capabilities;</w:t>
      </w:r>
    </w:p>
    <w:p>
      <w:pPr>
        <w:spacing w:after="0" w:line="117" w:lineRule="exact"/>
        <w:rPr>
          <w:rFonts w:ascii="Arial" w:cs="Arial" w:eastAsia="Arial" w:hAnsi="Arial"/>
          <w:sz w:val="16"/>
          <w:szCs w:val="16"/>
          <w:color w:val="231F20"/>
        </w:rPr>
      </w:pPr>
    </w:p>
    <w:p>
      <w:pPr>
        <w:ind w:left="1100" w:hanging="363"/>
        <w:spacing w:after="0"/>
        <w:tabs>
          <w:tab w:leader="none" w:pos="1100" w:val="left"/>
        </w:tabs>
        <w:numPr>
          <w:ilvl w:val="0"/>
          <w:numId w:val="41"/>
        </w:numPr>
        <w:rPr>
          <w:rFonts w:ascii="Arial" w:cs="Arial" w:eastAsia="Arial" w:hAnsi="Arial"/>
          <w:sz w:val="16"/>
          <w:szCs w:val="16"/>
          <w:color w:val="231F20"/>
        </w:rPr>
      </w:pPr>
      <w:r>
        <w:rPr>
          <w:rFonts w:ascii="Arial" w:cs="Arial" w:eastAsia="Arial" w:hAnsi="Arial"/>
          <w:sz w:val="18"/>
          <w:szCs w:val="18"/>
          <w:color w:val="231F20"/>
        </w:rPr>
        <w:t>our expectations regarding the potential market size and the size of the patient populations for the ARTAS System;</w:t>
      </w:r>
    </w:p>
    <w:p>
      <w:pPr>
        <w:spacing w:after="0" w:line="117" w:lineRule="exact"/>
        <w:rPr>
          <w:rFonts w:ascii="Arial" w:cs="Arial" w:eastAsia="Arial" w:hAnsi="Arial"/>
          <w:sz w:val="16"/>
          <w:szCs w:val="16"/>
          <w:color w:val="231F20"/>
        </w:rPr>
      </w:pPr>
    </w:p>
    <w:p>
      <w:pPr>
        <w:ind w:left="1100" w:hanging="363"/>
        <w:spacing w:after="0"/>
        <w:tabs>
          <w:tab w:leader="none" w:pos="1100" w:val="left"/>
        </w:tabs>
        <w:numPr>
          <w:ilvl w:val="0"/>
          <w:numId w:val="41"/>
        </w:numPr>
        <w:rPr>
          <w:rFonts w:ascii="Arial" w:cs="Arial" w:eastAsia="Arial" w:hAnsi="Arial"/>
          <w:sz w:val="16"/>
          <w:szCs w:val="16"/>
          <w:color w:val="231F20"/>
        </w:rPr>
      </w:pPr>
      <w:r>
        <w:rPr>
          <w:rFonts w:ascii="Arial" w:cs="Arial" w:eastAsia="Arial" w:hAnsi="Arial"/>
          <w:sz w:val="18"/>
          <w:szCs w:val="18"/>
          <w:color w:val="231F20"/>
        </w:rPr>
        <w:t>the effective pricing of the ARTAS System, services and procedures;</w:t>
      </w:r>
    </w:p>
    <w:p>
      <w:pPr>
        <w:spacing w:after="0" w:line="200" w:lineRule="exact"/>
        <w:rPr>
          <w:sz w:val="20"/>
          <w:szCs w:val="20"/>
          <w:color w:val="auto"/>
        </w:rPr>
      </w:pPr>
    </w:p>
    <w:p>
      <w:pPr>
        <w:spacing w:after="0" w:line="26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380"/>
          </w:cols>
          <w:pgMar w:left="240" w:top="449" w:right="279" w:bottom="1440" w:gutter="0" w:footer="0" w:header="0"/>
        </w:sectPr>
      </w:pPr>
    </w:p>
    <w:bookmarkStart w:id="51" w:name="page52"/>
    <w:bookmarkEnd w:id="51"/>
    <w:p>
      <w:pPr>
        <w:ind w:left="1100" w:hanging="363"/>
        <w:spacing w:after="0"/>
        <w:tabs>
          <w:tab w:leader="none" w:pos="1100" w:val="left"/>
        </w:tabs>
        <w:numPr>
          <w:ilvl w:val="0"/>
          <w:numId w:val="42"/>
        </w:numPr>
        <w:rPr>
          <w:rFonts w:ascii="Arial" w:cs="Arial" w:eastAsia="Arial" w:hAnsi="Arial"/>
          <w:sz w:val="16"/>
          <w:szCs w:val="16"/>
          <w:color w:val="231F20"/>
        </w:rPr>
      </w:pPr>
      <w:r>
        <w:rPr>
          <w:rFonts w:ascii="Arial" w:cs="Arial" w:eastAsia="Arial" w:hAnsi="Arial"/>
          <w:sz w:val="18"/>
          <w:szCs w:val="18"/>
          <w:color w:val="231F20"/>
        </w:rPr>
        <w:t>the implementation of our business model and strategic plans for our business and technology;</w:t>
      </w:r>
    </w:p>
    <w:p>
      <w:pPr>
        <w:spacing w:after="0" w:line="117" w:lineRule="exact"/>
        <w:rPr>
          <w:rFonts w:ascii="Arial" w:cs="Arial" w:eastAsia="Arial" w:hAnsi="Arial"/>
          <w:sz w:val="16"/>
          <w:szCs w:val="16"/>
          <w:color w:val="231F20"/>
        </w:rPr>
      </w:pPr>
    </w:p>
    <w:p>
      <w:pPr>
        <w:ind w:left="1100" w:right="420" w:hanging="363"/>
        <w:spacing w:after="0" w:line="277" w:lineRule="auto"/>
        <w:tabs>
          <w:tab w:leader="none" w:pos="1100" w:val="left"/>
        </w:tabs>
        <w:numPr>
          <w:ilvl w:val="0"/>
          <w:numId w:val="42"/>
        </w:numPr>
        <w:rPr>
          <w:rFonts w:ascii="Arial" w:cs="Arial" w:eastAsia="Arial" w:hAnsi="Arial"/>
          <w:sz w:val="16"/>
          <w:szCs w:val="16"/>
          <w:color w:val="231F20"/>
        </w:rPr>
      </w:pPr>
      <w:r>
        <w:rPr>
          <w:rFonts w:ascii="Arial" w:cs="Arial" w:eastAsia="Arial" w:hAnsi="Arial"/>
          <w:sz w:val="18"/>
          <w:szCs w:val="18"/>
          <w:color w:val="231F20"/>
        </w:rPr>
        <w:t>the scope of protection we are able to establish and maintain for intellectual property rights covering the ARTAS System, along with any product enhancements;</w:t>
      </w:r>
    </w:p>
    <w:p>
      <w:pPr>
        <w:spacing w:after="0" w:line="62" w:lineRule="exact"/>
        <w:rPr>
          <w:rFonts w:ascii="Arial" w:cs="Arial" w:eastAsia="Arial" w:hAnsi="Arial"/>
          <w:sz w:val="16"/>
          <w:szCs w:val="16"/>
          <w:color w:val="231F20"/>
        </w:rPr>
      </w:pPr>
    </w:p>
    <w:p>
      <w:pPr>
        <w:ind w:left="1100" w:hanging="363"/>
        <w:spacing w:after="0"/>
        <w:tabs>
          <w:tab w:leader="none" w:pos="1100" w:val="left"/>
        </w:tabs>
        <w:numPr>
          <w:ilvl w:val="0"/>
          <w:numId w:val="42"/>
        </w:numPr>
        <w:rPr>
          <w:rFonts w:ascii="Arial" w:cs="Arial" w:eastAsia="Arial" w:hAnsi="Arial"/>
          <w:sz w:val="14"/>
          <w:szCs w:val="14"/>
          <w:color w:val="231F20"/>
        </w:rPr>
      </w:pPr>
      <w:r>
        <w:rPr>
          <w:rFonts w:ascii="Arial" w:cs="Arial" w:eastAsia="Arial" w:hAnsi="Arial"/>
          <w:sz w:val="16"/>
          <w:szCs w:val="16"/>
          <w:color w:val="231F20"/>
        </w:rPr>
        <w:t>estimates of our expenses, future revenue, capital requirements, our needs for additional financing and our ability to obtain additional capital;</w:t>
      </w:r>
    </w:p>
    <w:p>
      <w:pPr>
        <w:spacing w:after="0" w:line="140" w:lineRule="exact"/>
        <w:rPr>
          <w:rFonts w:ascii="Arial" w:cs="Arial" w:eastAsia="Arial" w:hAnsi="Arial"/>
          <w:sz w:val="14"/>
          <w:szCs w:val="14"/>
          <w:color w:val="231F20"/>
        </w:rPr>
      </w:pPr>
    </w:p>
    <w:p>
      <w:pPr>
        <w:ind w:left="1100" w:hanging="363"/>
        <w:spacing w:after="0"/>
        <w:tabs>
          <w:tab w:leader="none" w:pos="1100" w:val="left"/>
        </w:tabs>
        <w:numPr>
          <w:ilvl w:val="0"/>
          <w:numId w:val="42"/>
        </w:numPr>
        <w:rPr>
          <w:rFonts w:ascii="Arial" w:cs="Arial" w:eastAsia="Arial" w:hAnsi="Arial"/>
          <w:sz w:val="16"/>
          <w:szCs w:val="16"/>
          <w:color w:val="231F20"/>
        </w:rPr>
      </w:pPr>
      <w:r>
        <w:rPr>
          <w:rFonts w:ascii="Arial" w:cs="Arial" w:eastAsia="Arial" w:hAnsi="Arial"/>
          <w:sz w:val="18"/>
          <w:szCs w:val="18"/>
          <w:color w:val="auto"/>
        </w:rPr>
        <w:t>our financial performance; and</w:t>
      </w:r>
    </w:p>
    <w:p>
      <w:pPr>
        <w:spacing w:after="0" w:line="117" w:lineRule="exact"/>
        <w:rPr>
          <w:rFonts w:ascii="Arial" w:cs="Arial" w:eastAsia="Arial" w:hAnsi="Arial"/>
          <w:sz w:val="16"/>
          <w:szCs w:val="16"/>
          <w:color w:val="231F20"/>
        </w:rPr>
      </w:pPr>
    </w:p>
    <w:p>
      <w:pPr>
        <w:ind w:left="1100" w:hanging="363"/>
        <w:spacing w:after="0"/>
        <w:tabs>
          <w:tab w:leader="none" w:pos="1100" w:val="left"/>
        </w:tabs>
        <w:numPr>
          <w:ilvl w:val="0"/>
          <w:numId w:val="42"/>
        </w:numPr>
        <w:rPr>
          <w:rFonts w:ascii="Arial" w:cs="Arial" w:eastAsia="Arial" w:hAnsi="Arial"/>
          <w:sz w:val="16"/>
          <w:szCs w:val="16"/>
          <w:color w:val="231F20"/>
        </w:rPr>
      </w:pPr>
      <w:r>
        <w:rPr>
          <w:rFonts w:ascii="Arial" w:cs="Arial" w:eastAsia="Arial" w:hAnsi="Arial"/>
          <w:sz w:val="18"/>
          <w:szCs w:val="18"/>
          <w:color w:val="231F20"/>
        </w:rPr>
        <w:t>developments and projections relating to our competitors and our industry, including competing therapies and procedures.</w:t>
      </w:r>
    </w:p>
    <w:p>
      <w:pPr>
        <w:spacing w:after="0" w:line="117" w:lineRule="exact"/>
        <w:rPr>
          <w:sz w:val="20"/>
          <w:szCs w:val="20"/>
          <w:color w:val="auto"/>
        </w:rPr>
      </w:pPr>
    </w:p>
    <w:p>
      <w:pPr>
        <w:ind w:right="20"/>
        <w:spacing w:after="0" w:line="257" w:lineRule="auto"/>
        <w:rPr>
          <w:sz w:val="20"/>
          <w:szCs w:val="20"/>
          <w:color w:val="auto"/>
        </w:rPr>
      </w:pPr>
      <w:r>
        <w:rPr>
          <w:rFonts w:ascii="Arial" w:cs="Arial" w:eastAsia="Arial" w:hAnsi="Arial"/>
          <w:sz w:val="18"/>
          <w:szCs w:val="18"/>
          <w:color w:val="231F20"/>
        </w:rPr>
        <w:t>In addition, the stock markets in general, and the markets for medical device and aesthetic stocks in particular, have experienced extreme volatility that may have been unrelated to the operating performance of the issuer. These broad market fluctuations may adversely affect the market price or liquidity of our common stock. In the past, when the market price of a stock has been volatile, holders of that stock have sometimes instituted securities class action litigation against the issuer. If any of our stockholders were to bring such a lawsuit against us, we could incur substantial costs defending the lawsuit and the attention of our management would be diverted from the operation of our business.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231F20"/>
        </w:rPr>
        <w:t>An active market for our common stock may not be maintained.</w:t>
      </w:r>
    </w:p>
    <w:p>
      <w:pPr>
        <w:spacing w:after="0" w:line="117" w:lineRule="exact"/>
        <w:rPr>
          <w:sz w:val="20"/>
          <w:szCs w:val="20"/>
          <w:color w:val="auto"/>
        </w:rPr>
      </w:pPr>
    </w:p>
    <w:p>
      <w:pPr>
        <w:ind w:right="100"/>
        <w:spacing w:after="0" w:line="276" w:lineRule="auto"/>
        <w:rPr>
          <w:sz w:val="20"/>
          <w:szCs w:val="20"/>
          <w:color w:val="auto"/>
        </w:rPr>
      </w:pPr>
      <w:r>
        <w:rPr>
          <w:rFonts w:ascii="Arial" w:cs="Arial" w:eastAsia="Arial" w:hAnsi="Arial"/>
          <w:sz w:val="17"/>
          <w:szCs w:val="17"/>
          <w:color w:val="231F20"/>
        </w:rPr>
        <w:t>Prior to our initial public offering, there had been no public market for shares of our common stock. Our stock only recently began trading on The Nasdaq Global Market, but we can provide no assurance that we will be able to maintain an active trading market on The Nasdaq Global Market or any other exchange in the future. If an active market for our common stock does not develop or is not maintained, it may be difficult for our stockholders to sell shares without depressing the market price for the shares or at all. An inactive market may also impair our ability to raise capital by selling shares and may impair our ability to acquire other businesses, applications, or technologies using our shares as consideration.</w:t>
      </w:r>
    </w:p>
    <w:p>
      <w:pPr>
        <w:spacing w:after="0" w:line="91"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231F20"/>
        </w:rPr>
        <w:t>If securities or industry analysts issue an adverse or misleading opinion regarding our stock, our stock price and trading volume could decline.</w:t>
      </w:r>
    </w:p>
    <w:p>
      <w:pPr>
        <w:spacing w:after="0" w:line="140" w:lineRule="exact"/>
        <w:rPr>
          <w:sz w:val="20"/>
          <w:szCs w:val="20"/>
          <w:color w:val="auto"/>
        </w:rPr>
      </w:pPr>
    </w:p>
    <w:p>
      <w:pPr>
        <w:ind w:right="60"/>
        <w:spacing w:after="0" w:line="273" w:lineRule="auto"/>
        <w:rPr>
          <w:sz w:val="20"/>
          <w:szCs w:val="20"/>
          <w:color w:val="auto"/>
        </w:rPr>
      </w:pPr>
      <w:r>
        <w:rPr>
          <w:rFonts w:ascii="Arial" w:cs="Arial" w:eastAsia="Arial" w:hAnsi="Arial"/>
          <w:sz w:val="17"/>
          <w:szCs w:val="17"/>
          <w:color w:val="231F20"/>
        </w:rPr>
        <w:t>The trading market for our common stock is influenced by the research and reports that industry or securities analysts publish about us or our business. We currently have very limited research coverage by securities and industry analysts. If no additional securities or industry analysts commence coverage of us, the market price or trading volume of our stock could be negatively impacted. If any of the analysts who cover us issue an adverse or misleading opinion regarding us, our business model, our intellectual property or our stock performance, or if our operating results fail to meet the expectations of analysts, our stock price would likely decline. If one or more of these analysts cease coverage of us or fail to publish reports on us regularly, we could lose visibility in the financial markets, which in turn could cause our stock price or trading volume to decline.</w:t>
      </w:r>
    </w:p>
    <w:p>
      <w:pPr>
        <w:spacing w:after="0" w:line="111" w:lineRule="exact"/>
        <w:rPr>
          <w:sz w:val="20"/>
          <w:szCs w:val="20"/>
          <w:color w:val="auto"/>
        </w:rPr>
      </w:pPr>
    </w:p>
    <w:p>
      <w:pPr>
        <w:ind w:right="840"/>
        <w:spacing w:after="0" w:line="277" w:lineRule="auto"/>
        <w:rPr>
          <w:sz w:val="20"/>
          <w:szCs w:val="20"/>
          <w:color w:val="auto"/>
        </w:rPr>
      </w:pPr>
      <w:r>
        <w:rPr>
          <w:rFonts w:ascii="Arial" w:cs="Arial" w:eastAsia="Arial" w:hAnsi="Arial"/>
          <w:sz w:val="18"/>
          <w:szCs w:val="18"/>
          <w:b w:val="1"/>
          <w:bCs w:val="1"/>
          <w:i w:val="1"/>
          <w:iCs w:val="1"/>
          <w:color w:val="231F20"/>
        </w:rPr>
        <w:t>We are an “emerging growth company” and as a result of the reduced disclosure and governance requirements applicable to emerging growth companies, our common stock may be less attractive to investors.</w:t>
      </w:r>
    </w:p>
    <w:p>
      <w:pPr>
        <w:spacing w:after="0" w:line="62" w:lineRule="exact"/>
        <w:rPr>
          <w:sz w:val="20"/>
          <w:szCs w:val="20"/>
          <w:color w:val="auto"/>
        </w:rPr>
      </w:pPr>
    </w:p>
    <w:p>
      <w:pPr>
        <w:spacing w:after="0" w:line="269" w:lineRule="auto"/>
        <w:rPr>
          <w:sz w:val="20"/>
          <w:szCs w:val="20"/>
          <w:color w:val="auto"/>
        </w:rPr>
      </w:pPr>
      <w:r>
        <w:rPr>
          <w:rFonts w:ascii="Arial" w:cs="Arial" w:eastAsia="Arial" w:hAnsi="Arial"/>
          <w:sz w:val="17"/>
          <w:szCs w:val="17"/>
          <w:color w:val="231F20"/>
        </w:rPr>
        <w:t>We are an “emerging growth company,” as defined in the JOBS Act, and we intend to take advantage of certain exemptions from various reporting requirements that are applicable to other public companies that are not emerging growth companies including, but not limited to, not being required to comply with the auditor attestation requirements of Section 404, reduced disclosure obligations regarding executive compensation in our periodic reports and proxy statements, and exemptions from the requirements of holding a nonbinding advisory vote on executive compensation, stockholder approval of any golden parachute payments not previously approved and delayed adoption of new or revised accounting standards issued subsequent to the enactment of the JOBS Act until such time as those standards apply to private companies. We cannot predict if investors will find our common stock less attractive because we will rely on these exemptions. If some investors find our common stock less attractive as a result, there may be a less active trading market for our common stock and our stock price may be more volatile. We may take advantage of these reporting exemptions until we are no longer an emerging growth company. We will remain an emerging growth company until the earlier of (1) the last day of the fiscal year (a) following the fifth anniversary of the completion of our initial public offering, (b) in which we have total annual gross revenue of at least $1.07 billion, or (c) in which we are deemed to be a large accelerated filer, which means the market value of</w:t>
      </w:r>
    </w:p>
    <w:p>
      <w:pPr>
        <w:spacing w:after="0" w:line="200" w:lineRule="exact"/>
        <w:rPr>
          <w:sz w:val="20"/>
          <w:szCs w:val="20"/>
          <w:color w:val="auto"/>
        </w:rPr>
      </w:pPr>
    </w:p>
    <w:p>
      <w:pPr>
        <w:spacing w:after="0" w:line="22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380"/>
          </w:cols>
          <w:pgMar w:left="240" w:top="449" w:right="279" w:bottom="1440" w:gutter="0" w:footer="0" w:header="0"/>
        </w:sectPr>
      </w:pPr>
    </w:p>
    <w:bookmarkStart w:id="52" w:name="page53"/>
    <w:bookmarkEnd w:id="52"/>
    <w:p>
      <w:pPr>
        <w:ind w:right="300"/>
        <w:spacing w:after="0" w:line="277" w:lineRule="auto"/>
        <w:rPr>
          <w:sz w:val="20"/>
          <w:szCs w:val="20"/>
          <w:color w:val="auto"/>
        </w:rPr>
      </w:pPr>
      <w:r>
        <w:rPr>
          <w:rFonts w:ascii="Arial" w:cs="Arial" w:eastAsia="Arial" w:hAnsi="Arial"/>
          <w:sz w:val="18"/>
          <w:szCs w:val="18"/>
          <w:color w:val="231F20"/>
        </w:rPr>
        <w:t>our common stock that is held by non-affiliates exceeds $700.0 million as of the prior June 30th, and (2) the date on which we have issued more than $1.0 billion in non-convertible debt during the prior three-year period.</w:t>
      </w:r>
    </w:p>
    <w:p>
      <w:pPr>
        <w:spacing w:after="0" w:line="103"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231F20"/>
        </w:rPr>
        <w:t>If we sell shares of our common stock in future financings, stockholders may experience immediate dilution and, as a result, our stock price may decline.</w:t>
      </w:r>
    </w:p>
    <w:p>
      <w:pPr>
        <w:spacing w:after="0" w:line="152" w:lineRule="exact"/>
        <w:rPr>
          <w:sz w:val="20"/>
          <w:szCs w:val="20"/>
          <w:color w:val="auto"/>
        </w:rPr>
      </w:pPr>
    </w:p>
    <w:p>
      <w:pPr>
        <w:ind w:right="40"/>
        <w:spacing w:after="0" w:line="257" w:lineRule="auto"/>
        <w:rPr>
          <w:sz w:val="20"/>
          <w:szCs w:val="20"/>
          <w:color w:val="auto"/>
        </w:rPr>
      </w:pPr>
      <w:r>
        <w:rPr>
          <w:rFonts w:ascii="Arial" w:cs="Arial" w:eastAsia="Arial" w:hAnsi="Arial"/>
          <w:sz w:val="18"/>
          <w:szCs w:val="18"/>
          <w:color w:val="231F20"/>
        </w:rPr>
        <w:t>We may from time to time issue additional shares of common stock at a discount from the current market price of our common stock. As a result, our stockholders would experience immediate dilution upon the purchase of any shares of our common stock sold at such discount. In addition, as opportunities present themselves, we may enter into financing or similar arrangements in the future, including the issuance of debt securities, preferred stock or common stock. If we issue common stock or securities convertible into common stock, our common stockholders would experience additional dilution and, as a result, our stock price may decline.</w:t>
      </w:r>
    </w:p>
    <w:p>
      <w:pPr>
        <w:spacing w:after="0" w:line="107" w:lineRule="exact"/>
        <w:rPr>
          <w:sz w:val="20"/>
          <w:szCs w:val="20"/>
          <w:color w:val="auto"/>
        </w:rPr>
      </w:pPr>
    </w:p>
    <w:p>
      <w:pPr>
        <w:ind w:right="60"/>
        <w:spacing w:after="0" w:line="277" w:lineRule="auto"/>
        <w:rPr>
          <w:sz w:val="20"/>
          <w:szCs w:val="20"/>
          <w:color w:val="auto"/>
        </w:rPr>
      </w:pPr>
      <w:r>
        <w:rPr>
          <w:rFonts w:ascii="Arial" w:cs="Arial" w:eastAsia="Arial" w:hAnsi="Arial"/>
          <w:sz w:val="18"/>
          <w:szCs w:val="18"/>
          <w:b w:val="1"/>
          <w:bCs w:val="1"/>
          <w:i w:val="1"/>
          <w:iCs w:val="1"/>
          <w:color w:val="231F20"/>
        </w:rPr>
        <w:t>Our principal stockholders and management own a significant percentage of our stock and will be able to exert significant control over matters subject to stockholder approval.</w:t>
      </w:r>
    </w:p>
    <w:p>
      <w:pPr>
        <w:spacing w:after="0" w:line="62" w:lineRule="exact"/>
        <w:rPr>
          <w:sz w:val="20"/>
          <w:szCs w:val="20"/>
          <w:color w:val="auto"/>
        </w:rPr>
      </w:pPr>
    </w:p>
    <w:p>
      <w:pPr>
        <w:ind w:right="140"/>
        <w:spacing w:after="0" w:line="273" w:lineRule="auto"/>
        <w:rPr>
          <w:sz w:val="20"/>
          <w:szCs w:val="20"/>
          <w:color w:val="auto"/>
        </w:rPr>
      </w:pPr>
      <w:r>
        <w:rPr>
          <w:rFonts w:ascii="Arial" w:cs="Arial" w:eastAsia="Arial" w:hAnsi="Arial"/>
          <w:sz w:val="17"/>
          <w:szCs w:val="17"/>
          <w:color w:val="231F20"/>
        </w:rPr>
        <w:t>Based on the number of shares outstanding as of December 31, 2017, as adjusted for the consummation of our initial public offering in October 2017, our executive officers, directors, holders of 5% or more of our capital stock and their respective affiliates beneficially owned approximately 36.9% of our voting stock. These stockholders will have the ability to influence us through this ownership position. These stockholders may be able to determine all matters requiring stockholder approval. For example, these stockholders may be able to control elections of directors, amendments of our organizational documents, or approval of any merger, sale of assets, or other major corporate transaction. This may prevent or discourage unsolicited acquisition proposals or offers for our common stock that you may feel are in your best interest as one of our stockholders.</w:t>
      </w:r>
    </w:p>
    <w:p>
      <w:pPr>
        <w:spacing w:after="0" w:line="11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231F20"/>
        </w:rPr>
        <w:t>Sales of a substantial number of shares of our common stock in the public market could cause our stock price to decline.</w:t>
      </w:r>
    </w:p>
    <w:p>
      <w:pPr>
        <w:spacing w:after="0" w:line="117" w:lineRule="exact"/>
        <w:rPr>
          <w:sz w:val="20"/>
          <w:szCs w:val="20"/>
          <w:color w:val="auto"/>
        </w:rPr>
      </w:pPr>
    </w:p>
    <w:p>
      <w:pPr>
        <w:ind w:right="20"/>
        <w:spacing w:after="0" w:line="302" w:lineRule="auto"/>
        <w:rPr>
          <w:sz w:val="20"/>
          <w:szCs w:val="20"/>
          <w:color w:val="auto"/>
        </w:rPr>
      </w:pPr>
      <w:r>
        <w:rPr>
          <w:rFonts w:ascii="Arial" w:cs="Arial" w:eastAsia="Arial" w:hAnsi="Arial"/>
          <w:sz w:val="16"/>
          <w:szCs w:val="16"/>
          <w:color w:val="231F20"/>
        </w:rPr>
        <w:t>If our existing stockholders sell, or indicate an intention to sell, substantial amounts of our common stock in the public market after the lock-up and other legal restrictions lapse, the market price of our common stock could decline. Based upon the number of shares outstanding as of December 31, 2017, and after giving effect to the consummation of our initial public offering, we have outstanding a total of approximately 28.9 million shares. Of these shares, approximately 3.9 million shares of our common stock offered in the initial public offering are freely tradable, without restriction, in the public market.</w:t>
      </w:r>
    </w:p>
    <w:p>
      <w:pPr>
        <w:spacing w:after="0" w:line="46" w:lineRule="exact"/>
        <w:rPr>
          <w:sz w:val="20"/>
          <w:szCs w:val="20"/>
          <w:color w:val="auto"/>
        </w:rPr>
      </w:pPr>
    </w:p>
    <w:p>
      <w:pPr>
        <w:ind w:right="60"/>
        <w:spacing w:after="0" w:line="257" w:lineRule="auto"/>
        <w:rPr>
          <w:sz w:val="20"/>
          <w:szCs w:val="20"/>
          <w:color w:val="auto"/>
        </w:rPr>
      </w:pPr>
      <w:r>
        <w:rPr>
          <w:rFonts w:ascii="Arial" w:cs="Arial" w:eastAsia="Arial" w:hAnsi="Arial"/>
          <w:sz w:val="18"/>
          <w:szCs w:val="18"/>
          <w:color w:val="231F20"/>
        </w:rPr>
        <w:t>The lock-up agreements pertaining to the initial public offering will expire April 9, 2018, after which an additional approximately 25.0 million shares of common stock will be eligible for sale in the public market, of which approximately 15.2 million of which shares are held by directors, executive officers and other affiliates and will be subject to Rule 144 under the Securities Act. The underwriters from our initial public offering may, however, in their sole discretion, permit our officers, directors and other stockholders who are subject to these lock-up agreements to sell or otherwise transfer shares prior to the expiration of the lock-up agreements, subject to certain requirements.</w:t>
      </w:r>
    </w:p>
    <w:p>
      <w:pPr>
        <w:spacing w:after="0" w:line="80" w:lineRule="exact"/>
        <w:rPr>
          <w:sz w:val="20"/>
          <w:szCs w:val="20"/>
          <w:color w:val="auto"/>
        </w:rPr>
      </w:pPr>
    </w:p>
    <w:p>
      <w:pPr>
        <w:jc w:val="both"/>
        <w:ind w:right="40"/>
        <w:spacing w:after="0" w:line="259" w:lineRule="auto"/>
        <w:rPr>
          <w:sz w:val="20"/>
          <w:szCs w:val="20"/>
          <w:color w:val="auto"/>
        </w:rPr>
      </w:pPr>
      <w:r>
        <w:rPr>
          <w:rFonts w:ascii="Arial" w:cs="Arial" w:eastAsia="Arial" w:hAnsi="Arial"/>
          <w:sz w:val="18"/>
          <w:szCs w:val="18"/>
          <w:color w:val="231F20"/>
        </w:rPr>
        <w:t>In addition, as of December 31, 2017, approximately 6,840,145 shares of our common stock that are either subject to outstanding options, reserved for future issuance under our equity incentive plans or subject to outstanding warrants are eligible for sale in the public market to the extent permitted by the provisions of various vesting schedules and Rule 144 and Rule 701 under the Securities Act. If these additional shares of common stock are sold, or if it is perceived that they will be sold, in the public market, the market price of our common stock could decline.</w:t>
      </w:r>
    </w:p>
    <w:p>
      <w:pPr>
        <w:spacing w:after="0" w:line="79" w:lineRule="exact"/>
        <w:rPr>
          <w:sz w:val="20"/>
          <w:szCs w:val="20"/>
          <w:color w:val="auto"/>
        </w:rPr>
      </w:pPr>
    </w:p>
    <w:p>
      <w:pPr>
        <w:spacing w:after="0" w:line="276" w:lineRule="auto"/>
        <w:rPr>
          <w:sz w:val="20"/>
          <w:szCs w:val="20"/>
          <w:color w:val="auto"/>
        </w:rPr>
      </w:pPr>
      <w:r>
        <w:rPr>
          <w:rFonts w:ascii="Arial" w:cs="Arial" w:eastAsia="Arial" w:hAnsi="Arial"/>
          <w:sz w:val="17"/>
          <w:szCs w:val="17"/>
          <w:color w:val="231F20"/>
        </w:rPr>
        <w:t>The holders of approximately 25.0 million shares of our common stock, or approximately 86.5 % of our total outstanding common stock as of December 31, 2017, after giving effect to the issuance of shares in our initial public offering, will be entitled to rights with respect to the registration of their shares under the Securities Act, subject to vesting schedules and to the lock-up agreements described above. Registration of these shares under the Securities Act would result in the shares becoming freely tradable without restriction under the Securities Act, except for shares purchased by affiliates. Any sales of securities by these stockholders could have a material adverse effect on the market price of our common stock</w:t>
      </w:r>
    </w:p>
    <w:p>
      <w:pPr>
        <w:spacing w:after="0" w:line="200" w:lineRule="exact"/>
        <w:rPr>
          <w:sz w:val="20"/>
          <w:szCs w:val="20"/>
          <w:color w:val="auto"/>
        </w:rPr>
      </w:pPr>
    </w:p>
    <w:p>
      <w:pPr>
        <w:spacing w:after="0" w:line="2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449" w:right="239" w:bottom="1440" w:gutter="0" w:footer="0" w:header="0"/>
        </w:sectPr>
      </w:pPr>
    </w:p>
    <w:bookmarkStart w:id="53" w:name="page54"/>
    <w:bookmarkEnd w:id="53"/>
    <w:p>
      <w:pPr>
        <w:spacing w:after="0"/>
        <w:rPr>
          <w:sz w:val="20"/>
          <w:szCs w:val="20"/>
          <w:color w:val="auto"/>
        </w:rPr>
      </w:pPr>
      <w:r>
        <w:rPr>
          <w:rFonts w:ascii="Arial" w:cs="Arial" w:eastAsia="Arial" w:hAnsi="Arial"/>
          <w:sz w:val="18"/>
          <w:szCs w:val="18"/>
          <w:b w:val="1"/>
          <w:bCs w:val="1"/>
          <w:i w:val="1"/>
          <w:iCs w:val="1"/>
          <w:color w:val="231F20"/>
        </w:rPr>
        <w:t>Our ability to use our net operating loss carryforwards and certain other tax attributes may be limited.</w:t>
      </w:r>
    </w:p>
    <w:p>
      <w:pPr>
        <w:spacing w:after="0" w:line="117" w:lineRule="exact"/>
        <w:rPr>
          <w:sz w:val="20"/>
          <w:szCs w:val="20"/>
          <w:color w:val="auto"/>
        </w:rPr>
      </w:pPr>
    </w:p>
    <w:p>
      <w:pPr>
        <w:ind w:right="20"/>
        <w:spacing w:after="0" w:line="289" w:lineRule="auto"/>
        <w:rPr>
          <w:sz w:val="20"/>
          <w:szCs w:val="20"/>
          <w:color w:val="auto"/>
        </w:rPr>
      </w:pPr>
      <w:r>
        <w:rPr>
          <w:rFonts w:ascii="Arial" w:cs="Arial" w:eastAsia="Arial" w:hAnsi="Arial"/>
          <w:sz w:val="16"/>
          <w:szCs w:val="16"/>
          <w:color w:val="231F20"/>
        </w:rPr>
        <w:t>We have incurred substantial losses during our history and do not expect to become profitable in the near future, and we may never achieve profitability. To the extent that we continue to generate taxable losses, unused losses will carry forward to offset future taxable income, if any, until such unused losses expire. Under Sections 382 and 383 of the Internal Revenue Code of 1986, as amended, if a corporation undergoes an “ownership change,” generally defined as a greater than 50 percentage point change (by value) in its equity ownership by certain stockholders over a three-year period, the corporation’s ability to use its pre-change net operating loss carryforwards, or NOLs, and other pre-change tax attributes (such as research and development tax credits) to offset its post-change income or taxes may be limited. We may have experienced ownership changes in the past and may experience ownership changes in the future and/or subsequent shifts in our stock ownership (some of which shifts are outside our control). As a result, if we earn net taxable income, our ability to use our pre-change NOLs to offset such taxable income could be subject to limitations. Similar provisions of state tax law may also apply. As a result, even if we attain profitability, we may be unable to use a material portion of our NOLs and other tax attributes.</w:t>
      </w:r>
    </w:p>
    <w:p>
      <w:pPr>
        <w:spacing w:after="0" w:line="86" w:lineRule="exact"/>
        <w:rPr>
          <w:sz w:val="20"/>
          <w:szCs w:val="20"/>
          <w:color w:val="auto"/>
        </w:rPr>
      </w:pPr>
    </w:p>
    <w:p>
      <w:pPr>
        <w:ind w:right="380"/>
        <w:spacing w:after="0" w:line="277" w:lineRule="auto"/>
        <w:rPr>
          <w:sz w:val="20"/>
          <w:szCs w:val="20"/>
          <w:color w:val="auto"/>
        </w:rPr>
      </w:pPr>
      <w:r>
        <w:rPr>
          <w:rFonts w:ascii="Arial" w:cs="Arial" w:eastAsia="Arial" w:hAnsi="Arial"/>
          <w:sz w:val="18"/>
          <w:szCs w:val="18"/>
          <w:b w:val="1"/>
          <w:bCs w:val="1"/>
          <w:i w:val="1"/>
          <w:iCs w:val="1"/>
          <w:color w:val="231F20"/>
        </w:rPr>
        <w:t>Provisions in our charter documents and under Delaware law could discourage a takeover that stockholders may consider favorable and may lead to entrenchment of management.</w:t>
      </w:r>
    </w:p>
    <w:p>
      <w:pPr>
        <w:spacing w:after="0" w:line="62" w:lineRule="exact"/>
        <w:rPr>
          <w:sz w:val="20"/>
          <w:szCs w:val="20"/>
          <w:color w:val="auto"/>
        </w:rPr>
      </w:pPr>
    </w:p>
    <w:p>
      <w:pPr>
        <w:ind w:right="160"/>
        <w:spacing w:after="0" w:line="277" w:lineRule="auto"/>
        <w:rPr>
          <w:sz w:val="20"/>
          <w:szCs w:val="20"/>
          <w:color w:val="auto"/>
        </w:rPr>
      </w:pPr>
      <w:r>
        <w:rPr>
          <w:rFonts w:ascii="Arial" w:cs="Arial" w:eastAsia="Arial" w:hAnsi="Arial"/>
          <w:sz w:val="18"/>
          <w:szCs w:val="18"/>
          <w:color w:val="231F20"/>
        </w:rPr>
        <w:t>Our amended and restated certificate of incorporation and amended and restated bylaws contain provisions that could delay or prevent changes in control or changes in our management without the consent of our board of directors. These provisions will include the following:</w:t>
      </w:r>
    </w:p>
    <w:p>
      <w:pPr>
        <w:spacing w:after="0" w:line="62" w:lineRule="exact"/>
        <w:rPr>
          <w:sz w:val="20"/>
          <w:szCs w:val="20"/>
          <w:color w:val="auto"/>
        </w:rPr>
      </w:pPr>
    </w:p>
    <w:p>
      <w:pPr>
        <w:ind w:left="1100" w:right="340" w:hanging="363"/>
        <w:spacing w:after="0" w:line="277" w:lineRule="auto"/>
        <w:tabs>
          <w:tab w:leader="none" w:pos="1100" w:val="left"/>
        </w:tabs>
        <w:numPr>
          <w:ilvl w:val="0"/>
          <w:numId w:val="43"/>
        </w:numPr>
        <w:rPr>
          <w:rFonts w:ascii="Arial" w:cs="Arial" w:eastAsia="Arial" w:hAnsi="Arial"/>
          <w:sz w:val="18"/>
          <w:szCs w:val="18"/>
          <w:color w:val="auto"/>
        </w:rPr>
      </w:pPr>
      <w:r>
        <w:rPr>
          <w:rFonts w:ascii="Arial" w:cs="Arial" w:eastAsia="Arial" w:hAnsi="Arial"/>
          <w:sz w:val="18"/>
          <w:szCs w:val="18"/>
          <w:color w:val="231F20"/>
        </w:rPr>
        <w:t>a classified board of directors with three-year staggered terms, which may delay the ability of stockholders to change the membership of a majority of our board of directors;</w:t>
      </w:r>
    </w:p>
    <w:p>
      <w:pPr>
        <w:spacing w:after="0" w:line="62" w:lineRule="exact"/>
        <w:rPr>
          <w:rFonts w:ascii="Arial" w:cs="Arial" w:eastAsia="Arial" w:hAnsi="Arial"/>
          <w:sz w:val="18"/>
          <w:szCs w:val="18"/>
          <w:color w:val="auto"/>
        </w:rPr>
      </w:pPr>
    </w:p>
    <w:p>
      <w:pPr>
        <w:ind w:left="1100" w:hanging="363"/>
        <w:spacing w:after="0"/>
        <w:tabs>
          <w:tab w:leader="none" w:pos="1100" w:val="left"/>
        </w:tabs>
        <w:numPr>
          <w:ilvl w:val="0"/>
          <w:numId w:val="43"/>
        </w:numPr>
        <w:rPr>
          <w:rFonts w:ascii="Arial" w:cs="Arial" w:eastAsia="Arial" w:hAnsi="Arial"/>
          <w:sz w:val="18"/>
          <w:szCs w:val="18"/>
          <w:color w:val="auto"/>
        </w:rPr>
      </w:pPr>
      <w:r>
        <w:rPr>
          <w:rFonts w:ascii="Arial" w:cs="Arial" w:eastAsia="Arial" w:hAnsi="Arial"/>
          <w:sz w:val="18"/>
          <w:szCs w:val="18"/>
          <w:color w:val="231F20"/>
        </w:rPr>
        <w:t>no cumulative voting in the election of directors, which limits the ability of minority stockholders to elect director candidates;</w:t>
      </w:r>
    </w:p>
    <w:p>
      <w:pPr>
        <w:spacing w:after="0" w:line="117" w:lineRule="exact"/>
        <w:rPr>
          <w:rFonts w:ascii="Arial" w:cs="Arial" w:eastAsia="Arial" w:hAnsi="Arial"/>
          <w:sz w:val="18"/>
          <w:szCs w:val="18"/>
          <w:color w:val="auto"/>
        </w:rPr>
      </w:pPr>
    </w:p>
    <w:p>
      <w:pPr>
        <w:ind w:left="1100" w:right="580" w:hanging="363"/>
        <w:spacing w:after="0" w:line="342" w:lineRule="auto"/>
        <w:tabs>
          <w:tab w:leader="none" w:pos="1100" w:val="left"/>
        </w:tabs>
        <w:numPr>
          <w:ilvl w:val="0"/>
          <w:numId w:val="43"/>
        </w:numPr>
        <w:rPr>
          <w:rFonts w:ascii="Arial" w:cs="Arial" w:eastAsia="Arial" w:hAnsi="Arial"/>
          <w:sz w:val="16"/>
          <w:szCs w:val="16"/>
          <w:color w:val="auto"/>
        </w:rPr>
      </w:pPr>
      <w:r>
        <w:rPr>
          <w:rFonts w:ascii="Arial" w:cs="Arial" w:eastAsia="Arial" w:hAnsi="Arial"/>
          <w:sz w:val="16"/>
          <w:szCs w:val="16"/>
          <w:color w:val="231F20"/>
        </w:rPr>
        <w:t>the exclusive right of our board of directors to elect a director to fill a vacancy created by the expansion of the board of directors or the resignation, death or removal of a director, which prevents stockholders from being able to fill vacancies on our board of directors;</w:t>
      </w:r>
    </w:p>
    <w:p>
      <w:pPr>
        <w:spacing w:after="0" w:line="15" w:lineRule="exact"/>
        <w:rPr>
          <w:rFonts w:ascii="Arial" w:cs="Arial" w:eastAsia="Arial" w:hAnsi="Arial"/>
          <w:sz w:val="16"/>
          <w:szCs w:val="16"/>
          <w:color w:val="auto"/>
        </w:rPr>
      </w:pPr>
    </w:p>
    <w:p>
      <w:pPr>
        <w:jc w:val="both"/>
        <w:ind w:left="1100" w:right="200" w:hanging="363"/>
        <w:spacing w:after="0" w:line="264" w:lineRule="auto"/>
        <w:tabs>
          <w:tab w:leader="none" w:pos="1100" w:val="left"/>
        </w:tabs>
        <w:numPr>
          <w:ilvl w:val="0"/>
          <w:numId w:val="43"/>
        </w:numPr>
        <w:rPr>
          <w:rFonts w:ascii="Arial" w:cs="Arial" w:eastAsia="Arial" w:hAnsi="Arial"/>
          <w:sz w:val="18"/>
          <w:szCs w:val="18"/>
          <w:color w:val="auto"/>
        </w:rPr>
      </w:pPr>
      <w:r>
        <w:rPr>
          <w:rFonts w:ascii="Arial" w:cs="Arial" w:eastAsia="Arial" w:hAnsi="Arial"/>
          <w:sz w:val="18"/>
          <w:szCs w:val="18"/>
          <w:color w:val="231F20"/>
        </w:rPr>
        <w:t>the ability of our board of directors to authorize the issuance of shares of preferred stock and to determine the price and other terms of those shares, including preferences and voting rights, without stockholder approval, which could be used to significantly dilute the ownership of a hostile acquirer;</w:t>
      </w:r>
    </w:p>
    <w:p>
      <w:pPr>
        <w:spacing w:after="0" w:line="73" w:lineRule="exact"/>
        <w:rPr>
          <w:rFonts w:ascii="Arial" w:cs="Arial" w:eastAsia="Arial" w:hAnsi="Arial"/>
          <w:sz w:val="18"/>
          <w:szCs w:val="18"/>
          <w:color w:val="auto"/>
        </w:rPr>
      </w:pPr>
    </w:p>
    <w:p>
      <w:pPr>
        <w:ind w:left="1100" w:hanging="363"/>
        <w:spacing w:after="0"/>
        <w:tabs>
          <w:tab w:leader="none" w:pos="1100" w:val="left"/>
        </w:tabs>
        <w:numPr>
          <w:ilvl w:val="0"/>
          <w:numId w:val="43"/>
        </w:numPr>
        <w:rPr>
          <w:rFonts w:ascii="Arial" w:cs="Arial" w:eastAsia="Arial" w:hAnsi="Arial"/>
          <w:sz w:val="18"/>
          <w:szCs w:val="18"/>
          <w:color w:val="auto"/>
        </w:rPr>
      </w:pPr>
      <w:r>
        <w:rPr>
          <w:rFonts w:ascii="Arial" w:cs="Arial" w:eastAsia="Arial" w:hAnsi="Arial"/>
          <w:sz w:val="18"/>
          <w:szCs w:val="18"/>
          <w:color w:val="231F20"/>
        </w:rPr>
        <w:t>the ability of our board of directors to alter our bylaws without obtaining stockholder approval;</w:t>
      </w:r>
    </w:p>
    <w:p>
      <w:pPr>
        <w:spacing w:after="0" w:line="117" w:lineRule="exact"/>
        <w:rPr>
          <w:rFonts w:ascii="Arial" w:cs="Arial" w:eastAsia="Arial" w:hAnsi="Arial"/>
          <w:sz w:val="18"/>
          <w:szCs w:val="18"/>
          <w:color w:val="auto"/>
        </w:rPr>
      </w:pPr>
    </w:p>
    <w:p>
      <w:pPr>
        <w:ind w:left="1100" w:hanging="363"/>
        <w:spacing w:after="0" w:line="308" w:lineRule="auto"/>
        <w:tabs>
          <w:tab w:leader="none" w:pos="1100" w:val="left"/>
        </w:tabs>
        <w:numPr>
          <w:ilvl w:val="0"/>
          <w:numId w:val="43"/>
        </w:numPr>
        <w:rPr>
          <w:rFonts w:ascii="Arial" w:cs="Arial" w:eastAsia="Arial" w:hAnsi="Arial"/>
          <w:sz w:val="17"/>
          <w:szCs w:val="17"/>
          <w:color w:val="auto"/>
        </w:rPr>
      </w:pPr>
      <w:r>
        <w:rPr>
          <w:rFonts w:ascii="Arial" w:cs="Arial" w:eastAsia="Arial" w:hAnsi="Arial"/>
          <w:sz w:val="17"/>
          <w:szCs w:val="17"/>
          <w:color w:val="231F20"/>
        </w:rPr>
        <w:t>the required approval of at least 66 2/3% of the shares entitled to vote at an election of directors to adopt, amend or repeal our bylaws or repeal the provisions of our amended and restated certificate of incorporation regarding the election and removal of directors;</w:t>
      </w:r>
    </w:p>
    <w:p>
      <w:pPr>
        <w:spacing w:after="0" w:line="38" w:lineRule="exact"/>
        <w:rPr>
          <w:rFonts w:ascii="Arial" w:cs="Arial" w:eastAsia="Arial" w:hAnsi="Arial"/>
          <w:sz w:val="17"/>
          <w:szCs w:val="17"/>
          <w:color w:val="auto"/>
        </w:rPr>
      </w:pPr>
    </w:p>
    <w:p>
      <w:pPr>
        <w:ind w:left="1100" w:right="420" w:hanging="363"/>
        <w:spacing w:after="0" w:line="277" w:lineRule="auto"/>
        <w:tabs>
          <w:tab w:leader="none" w:pos="1100" w:val="left"/>
        </w:tabs>
        <w:numPr>
          <w:ilvl w:val="0"/>
          <w:numId w:val="43"/>
        </w:numPr>
        <w:rPr>
          <w:rFonts w:ascii="Arial" w:cs="Arial" w:eastAsia="Arial" w:hAnsi="Arial"/>
          <w:sz w:val="18"/>
          <w:szCs w:val="18"/>
          <w:color w:val="auto"/>
        </w:rPr>
      </w:pPr>
      <w:r>
        <w:rPr>
          <w:rFonts w:ascii="Arial" w:cs="Arial" w:eastAsia="Arial" w:hAnsi="Arial"/>
          <w:sz w:val="18"/>
          <w:szCs w:val="18"/>
          <w:color w:val="231F20"/>
        </w:rPr>
        <w:t>a prohibition on stockholder action by written consent, which forces stockholder action to be taken at an annual or special meeting of our stockholders;</w:t>
      </w:r>
    </w:p>
    <w:p>
      <w:pPr>
        <w:spacing w:after="0" w:line="62" w:lineRule="exact"/>
        <w:rPr>
          <w:rFonts w:ascii="Arial" w:cs="Arial" w:eastAsia="Arial" w:hAnsi="Arial"/>
          <w:sz w:val="18"/>
          <w:szCs w:val="18"/>
          <w:color w:val="auto"/>
        </w:rPr>
      </w:pPr>
    </w:p>
    <w:p>
      <w:pPr>
        <w:ind w:left="1100" w:right="160" w:hanging="363"/>
        <w:spacing w:after="0" w:line="264" w:lineRule="auto"/>
        <w:tabs>
          <w:tab w:leader="none" w:pos="1100" w:val="left"/>
        </w:tabs>
        <w:numPr>
          <w:ilvl w:val="0"/>
          <w:numId w:val="43"/>
        </w:numPr>
        <w:rPr>
          <w:rFonts w:ascii="Arial" w:cs="Arial" w:eastAsia="Arial" w:hAnsi="Arial"/>
          <w:sz w:val="18"/>
          <w:szCs w:val="18"/>
          <w:color w:val="auto"/>
        </w:rPr>
      </w:pPr>
      <w:r>
        <w:rPr>
          <w:rFonts w:ascii="Arial" w:cs="Arial" w:eastAsia="Arial" w:hAnsi="Arial"/>
          <w:sz w:val="18"/>
          <w:szCs w:val="18"/>
          <w:color w:val="231F20"/>
        </w:rPr>
        <w:t>the requirement that a special meeting of stockholders may be called only by the chairman of the board of directors, the chief executive officer, the president or the board of directors, which may delay the ability of our stockholders to force consideration of a proposal or to take action, including the removal of directors; and</w:t>
      </w:r>
    </w:p>
    <w:p>
      <w:pPr>
        <w:spacing w:after="0" w:line="73" w:lineRule="exact"/>
        <w:rPr>
          <w:rFonts w:ascii="Arial" w:cs="Arial" w:eastAsia="Arial" w:hAnsi="Arial"/>
          <w:sz w:val="18"/>
          <w:szCs w:val="18"/>
          <w:color w:val="auto"/>
        </w:rPr>
      </w:pPr>
    </w:p>
    <w:p>
      <w:pPr>
        <w:ind w:left="1100" w:right="220" w:hanging="363"/>
        <w:spacing w:after="0" w:line="264" w:lineRule="auto"/>
        <w:tabs>
          <w:tab w:leader="none" w:pos="1100" w:val="left"/>
        </w:tabs>
        <w:numPr>
          <w:ilvl w:val="0"/>
          <w:numId w:val="43"/>
        </w:numPr>
        <w:rPr>
          <w:rFonts w:ascii="Arial" w:cs="Arial" w:eastAsia="Arial" w:hAnsi="Arial"/>
          <w:sz w:val="18"/>
          <w:szCs w:val="18"/>
          <w:color w:val="auto"/>
        </w:rPr>
      </w:pPr>
      <w:r>
        <w:rPr>
          <w:rFonts w:ascii="Arial" w:cs="Arial" w:eastAsia="Arial" w:hAnsi="Arial"/>
          <w:sz w:val="18"/>
          <w:szCs w:val="18"/>
          <w:color w:val="231F20"/>
        </w:rPr>
        <w:t>advance notice procedures that stockholders must comply with in order to nominate candidates to our board of directors or to propose matters to be acted upon at a stockholders’ meeting, which may discourage or deter a potential acquirer from conducting a solicitation of proxies to elect the acquirer’s own slate of directors or otherwise attempting to obtain control of us.</w:t>
      </w:r>
    </w:p>
    <w:p>
      <w:pPr>
        <w:spacing w:after="0" w:line="73" w:lineRule="exact"/>
        <w:rPr>
          <w:sz w:val="20"/>
          <w:szCs w:val="20"/>
          <w:color w:val="auto"/>
        </w:rPr>
      </w:pPr>
    </w:p>
    <w:p>
      <w:pPr>
        <w:spacing w:after="0"/>
        <w:rPr>
          <w:sz w:val="20"/>
          <w:szCs w:val="20"/>
          <w:color w:val="auto"/>
        </w:rPr>
      </w:pPr>
      <w:r>
        <w:rPr>
          <w:rFonts w:ascii="Arial" w:cs="Arial" w:eastAsia="Arial" w:hAnsi="Arial"/>
          <w:sz w:val="18"/>
          <w:szCs w:val="18"/>
          <w:color w:val="231F20"/>
        </w:rPr>
        <w:t>In addition, these provisions would apply even if we were to receive an offer that some stockholders may consider beneficial.</w:t>
      </w:r>
    </w:p>
    <w:p>
      <w:pPr>
        <w:spacing w:after="0" w:line="117" w:lineRule="exact"/>
        <w:rPr>
          <w:sz w:val="20"/>
          <w:szCs w:val="20"/>
          <w:color w:val="auto"/>
        </w:rPr>
      </w:pPr>
    </w:p>
    <w:p>
      <w:pPr>
        <w:ind w:right="20"/>
        <w:spacing w:after="0" w:line="264" w:lineRule="auto"/>
        <w:rPr>
          <w:sz w:val="20"/>
          <w:szCs w:val="20"/>
          <w:color w:val="auto"/>
        </w:rPr>
      </w:pPr>
      <w:r>
        <w:rPr>
          <w:rFonts w:ascii="Arial" w:cs="Arial" w:eastAsia="Arial" w:hAnsi="Arial"/>
          <w:sz w:val="18"/>
          <w:szCs w:val="18"/>
          <w:color w:val="231F20"/>
        </w:rPr>
        <w:t>We are also subject to the anti-takeover provisions contained in Section 203 of the Delaware General Corporation Law. Under Section 203, a corporation may not, in general, engage in a business combination with any holder of 15% or more of its capital stock unless the holder has held the stock for three years or, among other exceptions, the board of directors has approved the transaction.</w:t>
      </w:r>
    </w:p>
    <w:p>
      <w:pPr>
        <w:spacing w:after="0" w:line="200" w:lineRule="exact"/>
        <w:rPr>
          <w:sz w:val="20"/>
          <w:szCs w:val="20"/>
          <w:color w:val="auto"/>
        </w:rPr>
      </w:pPr>
    </w:p>
    <w:p>
      <w:pPr>
        <w:spacing w:after="0" w:line="22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490" w:right="259" w:bottom="1440" w:gutter="0" w:footer="0" w:header="0"/>
        </w:sectPr>
      </w:pPr>
    </w:p>
    <w:bookmarkStart w:id="54" w:name="page55"/>
    <w:bookmarkEnd w:id="54"/>
    <w:p>
      <w:pPr>
        <w:ind w:right="520"/>
        <w:spacing w:after="0" w:line="277" w:lineRule="auto"/>
        <w:rPr>
          <w:sz w:val="20"/>
          <w:szCs w:val="20"/>
          <w:color w:val="auto"/>
        </w:rPr>
      </w:pPr>
      <w:r>
        <w:rPr>
          <w:rFonts w:ascii="Arial" w:cs="Arial" w:eastAsia="Arial" w:hAnsi="Arial"/>
          <w:sz w:val="18"/>
          <w:szCs w:val="18"/>
          <w:b w:val="1"/>
          <w:bCs w:val="1"/>
          <w:i w:val="1"/>
          <w:iCs w:val="1"/>
          <w:color w:val="231F20"/>
        </w:rPr>
        <w:t>Claims for indemnification by our directors and officers may reduce our available funds to satisfy successful third-party claims against us and may reduce the amount of money available to us.</w:t>
      </w:r>
    </w:p>
    <w:p>
      <w:pPr>
        <w:spacing w:after="0" w:line="62" w:lineRule="exact"/>
        <w:rPr>
          <w:sz w:val="20"/>
          <w:szCs w:val="20"/>
          <w:color w:val="auto"/>
        </w:rPr>
      </w:pPr>
    </w:p>
    <w:p>
      <w:pPr>
        <w:spacing w:after="0" w:line="277" w:lineRule="auto"/>
        <w:rPr>
          <w:sz w:val="20"/>
          <w:szCs w:val="20"/>
          <w:color w:val="auto"/>
        </w:rPr>
      </w:pPr>
      <w:r>
        <w:rPr>
          <w:rFonts w:ascii="Arial" w:cs="Arial" w:eastAsia="Arial" w:hAnsi="Arial"/>
          <w:sz w:val="18"/>
          <w:szCs w:val="18"/>
          <w:color w:val="231F20"/>
        </w:rPr>
        <w:t>Our amended and restated certificate of incorporation and amended and restated bylaws provide that we will indemnify our directors and officers, in each case to the fullest extent permitted by Delaware law.</w:t>
      </w:r>
    </w:p>
    <w:p>
      <w:pPr>
        <w:spacing w:after="0" w:line="62" w:lineRule="exact"/>
        <w:rPr>
          <w:sz w:val="20"/>
          <w:szCs w:val="20"/>
          <w:color w:val="auto"/>
        </w:rPr>
      </w:pPr>
    </w:p>
    <w:p>
      <w:pPr>
        <w:spacing w:after="0" w:line="277" w:lineRule="auto"/>
        <w:rPr>
          <w:sz w:val="20"/>
          <w:szCs w:val="20"/>
          <w:color w:val="auto"/>
        </w:rPr>
      </w:pPr>
      <w:r>
        <w:rPr>
          <w:rFonts w:ascii="Arial" w:cs="Arial" w:eastAsia="Arial" w:hAnsi="Arial"/>
          <w:sz w:val="18"/>
          <w:szCs w:val="18"/>
          <w:color w:val="231F20"/>
        </w:rPr>
        <w:t>In addition, as permitted by Section 145 of the Delaware General Corporation Law, our amended and restated bylaws and our indemnification agreements that we have entered into with our directors and officers provide that:</w:t>
      </w:r>
    </w:p>
    <w:p>
      <w:pPr>
        <w:spacing w:after="0" w:line="62" w:lineRule="exact"/>
        <w:rPr>
          <w:sz w:val="20"/>
          <w:szCs w:val="20"/>
          <w:color w:val="auto"/>
        </w:rPr>
      </w:pPr>
    </w:p>
    <w:p>
      <w:pPr>
        <w:ind w:left="1100" w:right="220" w:hanging="363"/>
        <w:spacing w:after="0" w:line="279" w:lineRule="auto"/>
        <w:tabs>
          <w:tab w:leader="none" w:pos="1100" w:val="left"/>
        </w:tabs>
        <w:numPr>
          <w:ilvl w:val="0"/>
          <w:numId w:val="44"/>
        </w:numPr>
        <w:rPr>
          <w:rFonts w:ascii="Arial" w:cs="Arial" w:eastAsia="Arial" w:hAnsi="Arial"/>
          <w:sz w:val="17"/>
          <w:szCs w:val="17"/>
          <w:color w:val="231F20"/>
        </w:rPr>
      </w:pPr>
      <w:r>
        <w:rPr>
          <w:rFonts w:ascii="Arial" w:cs="Arial" w:eastAsia="Arial" w:hAnsi="Arial"/>
          <w:sz w:val="17"/>
          <w:szCs w:val="17"/>
          <w:color w:val="231F20"/>
        </w:rPr>
        <w:t>we will indemnify our directors and officers for serving us in those capacities or for serving other business enterprises at our request, to the fullest extent permitted by Delaware law. Delaware law provides that a corporation may indemnify such person if such person acted in good faith and in a manner such person reasonably believed to be in or not opposed to the best interests of the registrant and, with respect to any criminal proceeding, had no reasonable cause to believe such person’s conduct was unlawful;</w:t>
      </w:r>
    </w:p>
    <w:p>
      <w:pPr>
        <w:spacing w:after="0" w:line="63" w:lineRule="exact"/>
        <w:rPr>
          <w:rFonts w:ascii="Arial" w:cs="Arial" w:eastAsia="Arial" w:hAnsi="Arial"/>
          <w:sz w:val="17"/>
          <w:szCs w:val="17"/>
          <w:color w:val="231F20"/>
        </w:rPr>
      </w:pPr>
    </w:p>
    <w:p>
      <w:pPr>
        <w:ind w:left="1100" w:hanging="363"/>
        <w:spacing w:after="0"/>
        <w:tabs>
          <w:tab w:leader="none" w:pos="1100" w:val="left"/>
        </w:tabs>
        <w:numPr>
          <w:ilvl w:val="0"/>
          <w:numId w:val="44"/>
        </w:numPr>
        <w:rPr>
          <w:rFonts w:ascii="Arial" w:cs="Arial" w:eastAsia="Arial" w:hAnsi="Arial"/>
          <w:sz w:val="17"/>
          <w:szCs w:val="17"/>
          <w:color w:val="231F20"/>
        </w:rPr>
      </w:pPr>
      <w:r>
        <w:rPr>
          <w:rFonts w:ascii="Arial" w:cs="Arial" w:eastAsia="Arial" w:hAnsi="Arial"/>
          <w:sz w:val="17"/>
          <w:szCs w:val="17"/>
          <w:color w:val="231F20"/>
        </w:rPr>
        <w:t>we may, in our discretion, indemnify employees and agents in those circumstances where indemnification is permitted by applicable law;</w:t>
      </w:r>
    </w:p>
    <w:p>
      <w:pPr>
        <w:spacing w:after="0" w:line="128" w:lineRule="exact"/>
        <w:rPr>
          <w:rFonts w:ascii="Arial" w:cs="Arial" w:eastAsia="Arial" w:hAnsi="Arial"/>
          <w:sz w:val="17"/>
          <w:szCs w:val="17"/>
          <w:color w:val="231F20"/>
        </w:rPr>
      </w:pPr>
    </w:p>
    <w:p>
      <w:pPr>
        <w:jc w:val="both"/>
        <w:ind w:left="1100" w:right="300" w:hanging="363"/>
        <w:spacing w:after="0" w:line="342" w:lineRule="auto"/>
        <w:tabs>
          <w:tab w:leader="none" w:pos="1100" w:val="left"/>
        </w:tabs>
        <w:numPr>
          <w:ilvl w:val="0"/>
          <w:numId w:val="44"/>
        </w:numPr>
        <w:rPr>
          <w:rFonts w:ascii="Arial" w:cs="Arial" w:eastAsia="Arial" w:hAnsi="Arial"/>
          <w:sz w:val="16"/>
          <w:szCs w:val="16"/>
          <w:color w:val="231F20"/>
        </w:rPr>
      </w:pPr>
      <w:r>
        <w:rPr>
          <w:rFonts w:ascii="Arial" w:cs="Arial" w:eastAsia="Arial" w:hAnsi="Arial"/>
          <w:sz w:val="16"/>
          <w:szCs w:val="16"/>
          <w:color w:val="231F20"/>
        </w:rPr>
        <w:t>we are required to advance expenses, as incurred, to our directors and officers in connection with defending a proceeding, except that such directors or officers shall undertake to repay such advances if it is ultimately determined that such person is not entitled to indemnification;</w:t>
      </w:r>
    </w:p>
    <w:p>
      <w:pPr>
        <w:spacing w:after="0" w:line="15" w:lineRule="exact"/>
        <w:rPr>
          <w:rFonts w:ascii="Arial" w:cs="Arial" w:eastAsia="Arial" w:hAnsi="Arial"/>
          <w:sz w:val="16"/>
          <w:szCs w:val="16"/>
          <w:color w:val="231F20"/>
        </w:rPr>
      </w:pPr>
    </w:p>
    <w:p>
      <w:pPr>
        <w:ind w:left="1100" w:right="360" w:hanging="363"/>
        <w:spacing w:after="0" w:line="264" w:lineRule="auto"/>
        <w:tabs>
          <w:tab w:leader="none" w:pos="1100" w:val="left"/>
        </w:tabs>
        <w:numPr>
          <w:ilvl w:val="0"/>
          <w:numId w:val="44"/>
        </w:numPr>
        <w:rPr>
          <w:rFonts w:ascii="Arial" w:cs="Arial" w:eastAsia="Arial" w:hAnsi="Arial"/>
          <w:sz w:val="18"/>
          <w:szCs w:val="18"/>
          <w:color w:val="231F20"/>
        </w:rPr>
      </w:pPr>
      <w:r>
        <w:rPr>
          <w:rFonts w:ascii="Arial" w:cs="Arial" w:eastAsia="Arial" w:hAnsi="Arial"/>
          <w:sz w:val="18"/>
          <w:szCs w:val="18"/>
          <w:color w:val="231F20"/>
        </w:rPr>
        <w:t>we will not be obligated pursuant to our amended and restated bylaws to indemnify a person with respect to proceedings initiated by that person against us or our other indemnitees, except with respect to proceedings authorized by our board of directors or brought to enforce a right to indemnification;</w:t>
      </w:r>
    </w:p>
    <w:p>
      <w:pPr>
        <w:spacing w:after="0" w:line="73" w:lineRule="exact"/>
        <w:rPr>
          <w:rFonts w:ascii="Arial" w:cs="Arial" w:eastAsia="Arial" w:hAnsi="Arial"/>
          <w:sz w:val="18"/>
          <w:szCs w:val="18"/>
          <w:color w:val="231F20"/>
        </w:rPr>
      </w:pPr>
    </w:p>
    <w:p>
      <w:pPr>
        <w:ind w:left="1100" w:right="20" w:hanging="363"/>
        <w:spacing w:after="0" w:line="277" w:lineRule="auto"/>
        <w:tabs>
          <w:tab w:leader="none" w:pos="1100" w:val="left"/>
        </w:tabs>
        <w:numPr>
          <w:ilvl w:val="0"/>
          <w:numId w:val="44"/>
        </w:numPr>
        <w:rPr>
          <w:rFonts w:ascii="Arial" w:cs="Arial" w:eastAsia="Arial" w:hAnsi="Arial"/>
          <w:sz w:val="18"/>
          <w:szCs w:val="18"/>
          <w:color w:val="231F20"/>
        </w:rPr>
      </w:pPr>
      <w:r>
        <w:rPr>
          <w:rFonts w:ascii="Arial" w:cs="Arial" w:eastAsia="Arial" w:hAnsi="Arial"/>
          <w:sz w:val="18"/>
          <w:szCs w:val="18"/>
          <w:color w:val="231F20"/>
        </w:rPr>
        <w:t>the rights conferred in our amended and restated bylaws are not exclusive, and we are authorized to enter into indemnification agreements with our directors, officers, employees and agents and to obtain insurance to indemnify such persons; and</w:t>
      </w:r>
    </w:p>
    <w:p>
      <w:pPr>
        <w:spacing w:after="0" w:line="62" w:lineRule="exact"/>
        <w:rPr>
          <w:rFonts w:ascii="Arial" w:cs="Arial" w:eastAsia="Arial" w:hAnsi="Arial"/>
          <w:sz w:val="18"/>
          <w:szCs w:val="18"/>
          <w:color w:val="231F20"/>
        </w:rPr>
      </w:pPr>
    </w:p>
    <w:p>
      <w:pPr>
        <w:ind w:left="1100" w:right="260" w:hanging="363"/>
        <w:spacing w:after="0" w:line="277" w:lineRule="auto"/>
        <w:tabs>
          <w:tab w:leader="none" w:pos="1100" w:val="left"/>
        </w:tabs>
        <w:numPr>
          <w:ilvl w:val="0"/>
          <w:numId w:val="44"/>
        </w:numPr>
        <w:rPr>
          <w:rFonts w:ascii="Arial" w:cs="Arial" w:eastAsia="Arial" w:hAnsi="Arial"/>
          <w:sz w:val="18"/>
          <w:szCs w:val="18"/>
          <w:color w:val="231F20"/>
        </w:rPr>
      </w:pPr>
      <w:r>
        <w:rPr>
          <w:rFonts w:ascii="Arial" w:cs="Arial" w:eastAsia="Arial" w:hAnsi="Arial"/>
          <w:sz w:val="18"/>
          <w:szCs w:val="18"/>
          <w:color w:val="231F20"/>
        </w:rPr>
        <w:t>we may not retroactively amend our amended and restated bylaw provisions to reduce our indemnification obligations to directors, officers, employees and agents.</w:t>
      </w:r>
    </w:p>
    <w:p>
      <w:pPr>
        <w:spacing w:after="0" w:line="89" w:lineRule="exact"/>
        <w:rPr>
          <w:sz w:val="20"/>
          <w:szCs w:val="20"/>
          <w:color w:val="auto"/>
        </w:rPr>
      </w:pPr>
    </w:p>
    <w:p>
      <w:pPr>
        <w:jc w:val="both"/>
        <w:ind w:right="340"/>
        <w:spacing w:after="0" w:line="264" w:lineRule="auto"/>
        <w:rPr>
          <w:sz w:val="20"/>
          <w:szCs w:val="20"/>
          <w:color w:val="auto"/>
        </w:rPr>
      </w:pPr>
      <w:r>
        <w:rPr>
          <w:rFonts w:ascii="Arial" w:cs="Arial" w:eastAsia="Arial" w:hAnsi="Arial"/>
          <w:sz w:val="18"/>
          <w:szCs w:val="18"/>
          <w:b w:val="1"/>
          <w:bCs w:val="1"/>
          <w:i w:val="1"/>
          <w:iCs w:val="1"/>
          <w:color w:val="231F20"/>
        </w:rPr>
        <w:t>Our certificate of incorporation provides that the Court of Chancery of the State of Delaware will be the exclusive forum for substantially all disputes between us and our stockholders, which could limit our stockholders’ ability to obtain a favorable judicial forum for disputes with us or our directors, officers or employees.</w:t>
      </w:r>
    </w:p>
    <w:p>
      <w:pPr>
        <w:spacing w:after="0" w:line="73" w:lineRule="exact"/>
        <w:rPr>
          <w:sz w:val="20"/>
          <w:szCs w:val="20"/>
          <w:color w:val="auto"/>
        </w:rPr>
      </w:pPr>
    </w:p>
    <w:p>
      <w:pPr>
        <w:ind w:right="80"/>
        <w:spacing w:after="0" w:line="271" w:lineRule="auto"/>
        <w:rPr>
          <w:sz w:val="20"/>
          <w:szCs w:val="20"/>
          <w:color w:val="auto"/>
        </w:rPr>
      </w:pPr>
      <w:r>
        <w:rPr>
          <w:rFonts w:ascii="Arial" w:cs="Arial" w:eastAsia="Arial" w:hAnsi="Arial"/>
          <w:sz w:val="17"/>
          <w:szCs w:val="17"/>
          <w:color w:val="231F20"/>
        </w:rPr>
        <w:t>Our amended and restated certificate of incorporation provides that the Court of Chancery of the State of Delaware is the exclusive forum for any derivative action or proceeding brought on our behalf, any action asserting a breach of fiduciary duty, any action asserting a claim against us arising pursuant to the Delaware General Corporation Law, our certificate of incorporation or our bylaws, any action to interpret, apply, enforce, or determine the validity of our certificate of incorporation or bylaws, or any action asserting a claim against us that is governed by the internal affairs doctrine. The choice of forum provision may limit a stockholder’s ability to bring a claim in a judicial forum that it finds favorable for disputes with us or our directors, officers or other employees, which may discourage such lawsuits against us and our directors, officers and other employees. Alternatively, if a court were to find the choice of forum provision contained in our certificate of incorporation to be inapplicable or unenforceable in an action, we may incur additional costs associated with resolving such action in other jurisdictions, which could adversely affect our business and financial condition.</w:t>
      </w:r>
    </w:p>
    <w:p>
      <w:pPr>
        <w:spacing w:after="0" w:line="111" w:lineRule="exact"/>
        <w:rPr>
          <w:sz w:val="20"/>
          <w:szCs w:val="20"/>
          <w:color w:val="auto"/>
        </w:rPr>
      </w:pPr>
    </w:p>
    <w:p>
      <w:pPr>
        <w:ind w:right="160"/>
        <w:spacing w:after="0" w:line="277" w:lineRule="auto"/>
        <w:rPr>
          <w:sz w:val="20"/>
          <w:szCs w:val="20"/>
          <w:color w:val="auto"/>
        </w:rPr>
      </w:pPr>
      <w:r>
        <w:rPr>
          <w:rFonts w:ascii="Arial" w:cs="Arial" w:eastAsia="Arial" w:hAnsi="Arial"/>
          <w:sz w:val="18"/>
          <w:szCs w:val="18"/>
          <w:b w:val="1"/>
          <w:bCs w:val="1"/>
          <w:i w:val="1"/>
          <w:iCs w:val="1"/>
          <w:color w:val="231F20"/>
        </w:rPr>
        <w:t>We do not intend to pay dividends on our common stock, and, consequently, our stockholders’ ability to achieve a return on their investment will depend on appreciation in the price of our common stock.</w:t>
      </w:r>
    </w:p>
    <w:p>
      <w:pPr>
        <w:spacing w:after="0" w:line="62" w:lineRule="exact"/>
        <w:rPr>
          <w:sz w:val="20"/>
          <w:szCs w:val="20"/>
          <w:color w:val="auto"/>
        </w:rPr>
      </w:pPr>
    </w:p>
    <w:p>
      <w:pPr>
        <w:spacing w:after="0"/>
        <w:rPr>
          <w:sz w:val="20"/>
          <w:szCs w:val="20"/>
          <w:color w:val="auto"/>
        </w:rPr>
      </w:pPr>
      <w:r>
        <w:rPr>
          <w:rFonts w:ascii="Arial" w:cs="Arial" w:eastAsia="Arial" w:hAnsi="Arial"/>
          <w:sz w:val="17"/>
          <w:szCs w:val="17"/>
          <w:color w:val="231F20"/>
        </w:rPr>
        <w:t>We do not intend to pay any cash dividends on our common stock for the foreseeable future. We intend to invest our future earnings, if any, to fund our</w:t>
      </w:r>
    </w:p>
    <w:p>
      <w:pPr>
        <w:spacing w:after="0" w:line="35" w:lineRule="exact"/>
        <w:rPr>
          <w:sz w:val="20"/>
          <w:szCs w:val="20"/>
          <w:color w:val="auto"/>
        </w:rPr>
      </w:pPr>
    </w:p>
    <w:p>
      <w:pPr>
        <w:spacing w:after="0"/>
        <w:rPr>
          <w:sz w:val="20"/>
          <w:szCs w:val="20"/>
          <w:color w:val="auto"/>
        </w:rPr>
      </w:pPr>
      <w:r>
        <w:rPr>
          <w:rFonts w:ascii="Arial" w:cs="Arial" w:eastAsia="Arial" w:hAnsi="Arial"/>
          <w:sz w:val="17"/>
          <w:szCs w:val="17"/>
          <w:color w:val="231F20"/>
        </w:rPr>
        <w:t>growth. Furthermore, pursuant to the loan and the security agreement between us and Oxford, we are not permitted to pay cash dividends in excess of</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231F20"/>
        </w:rPr>
        <w:t>$250,000 in aggregate per fiscal year without its prior written consent. Therefore, our stockholders are not likely to receive any dividends on their common</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231F20"/>
        </w:rPr>
        <w:t>stock for the foreseeable future. Since we do not intend to pay dividends, our stockholders’ ability to receive a return on their investment will depend on any</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231F20"/>
        </w:rPr>
        <w:t>future appreciation in the market value of our common stock. There is no guarantee that our common stock will appreciate or even maintain the price at</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color w:val="231F20"/>
        </w:rPr>
        <w:t>which our stockholders have purchased it.</w:t>
      </w:r>
    </w:p>
    <w:p>
      <w:pPr>
        <w:spacing w:after="0" w:line="200" w:lineRule="exact"/>
        <w:rPr>
          <w:sz w:val="20"/>
          <w:szCs w:val="20"/>
          <w:color w:val="auto"/>
        </w:rPr>
      </w:pPr>
    </w:p>
    <w:p>
      <w:pPr>
        <w:spacing w:after="0" w:line="25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490" w:right="239" w:bottom="1440" w:gutter="0" w:footer="0" w:header="0"/>
        </w:sectPr>
      </w:pPr>
    </w:p>
    <w:bookmarkStart w:id="55" w:name="page56"/>
    <w:bookmarkEnd w:id="55"/>
    <w:p>
      <w:pPr>
        <w:spacing w:after="0"/>
        <w:rPr>
          <w:sz w:val="20"/>
          <w:szCs w:val="20"/>
          <w:color w:val="auto"/>
        </w:rPr>
      </w:pPr>
      <w:r>
        <w:rPr>
          <w:rFonts w:ascii="Arial" w:cs="Arial" w:eastAsia="Arial" w:hAnsi="Arial"/>
          <w:sz w:val="18"/>
          <w:szCs w:val="18"/>
          <w:b w:val="1"/>
          <w:bCs w:val="1"/>
          <w:color w:val="231F20"/>
        </w:rPr>
        <w:t>Item 1B.Unresolved Staff Comments.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2.Property</w:t>
      </w:r>
    </w:p>
    <w:p>
      <w:pPr>
        <w:spacing w:after="0" w:line="121" w:lineRule="exact"/>
        <w:rPr>
          <w:sz w:val="20"/>
          <w:szCs w:val="20"/>
          <w:color w:val="auto"/>
        </w:rPr>
      </w:pPr>
    </w:p>
    <w:p>
      <w:pPr>
        <w:ind w:right="60"/>
        <w:spacing w:after="0" w:line="277" w:lineRule="auto"/>
        <w:rPr>
          <w:sz w:val="20"/>
          <w:szCs w:val="20"/>
          <w:color w:val="auto"/>
        </w:rPr>
      </w:pPr>
      <w:r>
        <w:rPr>
          <w:rFonts w:ascii="Arial" w:cs="Arial" w:eastAsia="Arial" w:hAnsi="Arial"/>
          <w:sz w:val="18"/>
          <w:szCs w:val="18"/>
          <w:color w:val="auto"/>
        </w:rPr>
        <w:t>Our corporate headquarters is located in San Jose, California, where we occupy approximately 23,000 square feet of office space under a lease that expires in April 2022. We believe that our facilities are sufficient to meet our current needs.</w:t>
      </w:r>
    </w:p>
    <w:p>
      <w:pPr>
        <w:spacing w:after="0" w:line="9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3.Legal Proceedings.</w:t>
      </w:r>
    </w:p>
    <w:p>
      <w:pPr>
        <w:spacing w:after="0" w:line="121" w:lineRule="exact"/>
        <w:rPr>
          <w:sz w:val="20"/>
          <w:szCs w:val="20"/>
          <w:color w:val="auto"/>
        </w:rPr>
      </w:pPr>
    </w:p>
    <w:p>
      <w:pPr>
        <w:spacing w:after="0" w:line="286" w:lineRule="auto"/>
        <w:rPr>
          <w:sz w:val="20"/>
          <w:szCs w:val="20"/>
          <w:color w:val="auto"/>
        </w:rPr>
      </w:pPr>
      <w:r>
        <w:rPr>
          <w:rFonts w:ascii="Arial" w:cs="Arial" w:eastAsia="Arial" w:hAnsi="Arial"/>
          <w:sz w:val="17"/>
          <w:szCs w:val="17"/>
          <w:color w:val="auto"/>
        </w:rPr>
        <w:t>From time to time, we may become involved in legal proceedings relating to claims arising out of our operations. We are not currently a party to any legal proceedings that, in the opinion of our management, are likely to have a material adverse effect on our business. Regardless of outcome, litigation can have an adverse impact on us because of defense and settlement costs, diversion of management resources and other factors.</w:t>
      </w:r>
    </w:p>
    <w:p>
      <w:pPr>
        <w:spacing w:after="0" w:line="9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4.Mine Safety Disclosures.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200" w:lineRule="exact"/>
        <w:rPr>
          <w:sz w:val="20"/>
          <w:szCs w:val="20"/>
          <w:color w:val="auto"/>
        </w:rPr>
      </w:pPr>
    </w:p>
    <w:p>
      <w:pPr>
        <w:spacing w:after="0" w:line="26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486" w:right="259" w:bottom="1440" w:gutter="0" w:footer="0" w:header="0"/>
        </w:sectPr>
      </w:pPr>
    </w:p>
    <w:bookmarkStart w:id="56" w:name="page57"/>
    <w:bookmarkEnd w:id="56"/>
    <w:p>
      <w:pPr>
        <w:jc w:val="center"/>
        <w:ind w:right="-139"/>
        <w:spacing w:after="0"/>
        <w:rPr>
          <w:sz w:val="20"/>
          <w:szCs w:val="20"/>
          <w:color w:val="auto"/>
        </w:rPr>
      </w:pPr>
      <w:r>
        <w:rPr>
          <w:rFonts w:ascii="Arial" w:cs="Arial" w:eastAsia="Arial" w:hAnsi="Arial"/>
          <w:sz w:val="18"/>
          <w:szCs w:val="18"/>
          <w:b w:val="1"/>
          <w:bCs w:val="1"/>
          <w:color w:val="auto"/>
        </w:rPr>
        <w:t>PART II</w:t>
      </w:r>
    </w:p>
    <w:p>
      <w:pPr>
        <w:spacing w:after="0" w:line="225" w:lineRule="exact"/>
        <w:rPr>
          <w:sz w:val="20"/>
          <w:szCs w:val="20"/>
          <w:color w:val="auto"/>
        </w:rPr>
      </w:pPr>
    </w:p>
    <w:p>
      <w:pPr>
        <w:ind w:right="2000"/>
        <w:spacing w:after="0" w:line="378" w:lineRule="auto"/>
        <w:rPr>
          <w:sz w:val="20"/>
          <w:szCs w:val="20"/>
          <w:color w:val="auto"/>
        </w:rPr>
      </w:pPr>
      <w:r>
        <w:rPr>
          <w:rFonts w:ascii="Arial" w:cs="Arial" w:eastAsia="Arial" w:hAnsi="Arial"/>
          <w:sz w:val="18"/>
          <w:szCs w:val="18"/>
          <w:b w:val="1"/>
          <w:bCs w:val="1"/>
          <w:color w:val="auto"/>
        </w:rPr>
        <w:t xml:space="preserve">Item 5.Market for Registrant’s Common Equity, Related Stockholder Matters and Issuer Purchases of Equity Securities. </w:t>
      </w:r>
      <w:r>
        <w:rPr>
          <w:rFonts w:ascii="Arial" w:cs="Arial" w:eastAsia="Arial" w:hAnsi="Arial"/>
          <w:sz w:val="18"/>
          <w:szCs w:val="18"/>
          <w:b w:val="1"/>
          <w:bCs w:val="1"/>
          <w:color w:val="231F20"/>
        </w:rPr>
        <w:t>Price Range of Common Stock</w:t>
      </w:r>
    </w:p>
    <w:p>
      <w:pPr>
        <w:jc w:val="both"/>
        <w:ind w:right="100"/>
        <w:spacing w:after="0" w:line="264" w:lineRule="auto"/>
        <w:rPr>
          <w:sz w:val="20"/>
          <w:szCs w:val="20"/>
          <w:color w:val="auto"/>
        </w:rPr>
      </w:pPr>
      <w:r>
        <w:rPr>
          <w:rFonts w:ascii="Arial" w:cs="Arial" w:eastAsia="Arial" w:hAnsi="Arial"/>
          <w:sz w:val="18"/>
          <w:szCs w:val="18"/>
          <w:color w:val="auto"/>
        </w:rPr>
        <w:t>Our common stock has been listed on The Nasdaq Global Market under the symbol “HAIR” since October 12, 2017. Prior to that date, there was no public trading market for our common stock. The following table sets forth for the period indicated the high and low sale prices per share of our common stock as reported on The Nasdaq Global Market:</w:t>
      </w:r>
    </w:p>
    <w:p>
      <w:pPr>
        <w:spacing w:after="0" w:line="227" w:lineRule="exact"/>
        <w:rPr>
          <w:sz w:val="20"/>
          <w:szCs w:val="20"/>
          <w:color w:val="auto"/>
        </w:rPr>
      </w:pPr>
    </w:p>
    <w:p>
      <w:pPr>
        <w:ind w:left="7580"/>
        <w:spacing w:after="0"/>
        <w:tabs>
          <w:tab w:leader="none" w:pos="8900" w:val="left"/>
        </w:tabs>
        <w:rPr>
          <w:sz w:val="20"/>
          <w:szCs w:val="20"/>
          <w:color w:val="auto"/>
        </w:rPr>
      </w:pPr>
      <w:r>
        <w:rPr>
          <w:rFonts w:ascii="Arial" w:cs="Arial" w:eastAsia="Arial" w:hAnsi="Arial"/>
          <w:sz w:val="14"/>
          <w:szCs w:val="14"/>
          <w:b w:val="1"/>
          <w:bCs w:val="1"/>
          <w:color w:val="auto"/>
        </w:rPr>
        <w:t>High</w:t>
      </w:r>
      <w:r>
        <w:rPr>
          <w:sz w:val="20"/>
          <w:szCs w:val="20"/>
          <w:color w:val="auto"/>
        </w:rPr>
        <w:tab/>
      </w:r>
      <w:r>
        <w:rPr>
          <w:rFonts w:ascii="Arial" w:cs="Arial" w:eastAsia="Arial" w:hAnsi="Arial"/>
          <w:sz w:val="14"/>
          <w:szCs w:val="14"/>
          <w:b w:val="1"/>
          <w:bCs w:val="1"/>
          <w:color w:val="auto"/>
        </w:rPr>
        <w:t>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1094105</wp:posOffset>
            </wp:positionH>
            <wp:positionV relativeFrom="paragraph">
              <wp:posOffset>6350</wp:posOffset>
            </wp:positionV>
            <wp:extent cx="5068570" cy="15430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5068570" cy="154305"/>
                    </a:xfrm>
                    <a:prstGeom prst="rect">
                      <a:avLst/>
                    </a:prstGeom>
                    <a:noFill/>
                  </pic:spPr>
                </pic:pic>
              </a:graphicData>
            </a:graphic>
          </wp:anchor>
        </w:drawing>
      </w:r>
    </w:p>
    <w:p>
      <w:pPr>
        <w:spacing w:after="0" w:line="5" w:lineRule="exact"/>
        <w:rPr>
          <w:sz w:val="20"/>
          <w:szCs w:val="20"/>
          <w:color w:val="auto"/>
        </w:rPr>
      </w:pPr>
    </w:p>
    <w:p>
      <w:pPr>
        <w:ind w:left="1720"/>
        <w:spacing w:after="0"/>
        <w:rPr>
          <w:sz w:val="20"/>
          <w:szCs w:val="20"/>
          <w:color w:val="auto"/>
        </w:rPr>
      </w:pPr>
      <w:r>
        <w:rPr>
          <w:rFonts w:ascii="Arial" w:cs="Arial" w:eastAsia="Arial" w:hAnsi="Arial"/>
          <w:sz w:val="18"/>
          <w:szCs w:val="18"/>
          <w:b w:val="1"/>
          <w:bCs w:val="1"/>
          <w:color w:val="auto"/>
        </w:rPr>
        <w:t>Fiscal Year 2017</w:t>
      </w:r>
    </w:p>
    <w:p>
      <w:pPr>
        <w:spacing w:after="0" w:line="21" w:lineRule="exact"/>
        <w:rPr>
          <w:sz w:val="20"/>
          <w:szCs w:val="20"/>
          <w:color w:val="auto"/>
        </w:rPr>
      </w:pPr>
    </w:p>
    <w:p>
      <w:pPr>
        <w:ind w:left="1720"/>
        <w:spacing w:after="0"/>
        <w:tabs>
          <w:tab w:leader="none" w:pos="7140" w:val="left"/>
          <w:tab w:leader="none" w:pos="7860" w:val="left"/>
          <w:tab w:leader="none" w:pos="8480" w:val="left"/>
          <w:tab w:leader="none" w:pos="9280" w:val="left"/>
        </w:tabs>
        <w:rPr>
          <w:sz w:val="20"/>
          <w:szCs w:val="20"/>
          <w:color w:val="auto"/>
        </w:rPr>
      </w:pPr>
      <w:r>
        <w:rPr>
          <w:rFonts w:ascii="Arial" w:cs="Arial" w:eastAsia="Arial" w:hAnsi="Arial"/>
          <w:sz w:val="18"/>
          <w:szCs w:val="18"/>
          <w:color w:val="auto"/>
        </w:rPr>
        <w:t>Fourth Quarter (from October 12, 2017)</w:t>
      </w:r>
      <w:r>
        <w:rPr>
          <w:sz w:val="20"/>
          <w:szCs w:val="20"/>
          <w:color w:val="auto"/>
        </w:rPr>
        <w:tab/>
      </w:r>
      <w:r>
        <w:rPr>
          <w:rFonts w:ascii="Arial" w:cs="Arial" w:eastAsia="Arial" w:hAnsi="Arial"/>
          <w:sz w:val="18"/>
          <w:szCs w:val="18"/>
          <w:color w:val="auto"/>
        </w:rPr>
        <w:t>$</w:t>
      </w:r>
      <w:r>
        <w:rPr>
          <w:sz w:val="20"/>
          <w:szCs w:val="20"/>
          <w:color w:val="auto"/>
        </w:rPr>
        <w:tab/>
      </w:r>
      <w:r>
        <w:rPr>
          <w:rFonts w:ascii="Arial" w:cs="Arial" w:eastAsia="Arial" w:hAnsi="Arial"/>
          <w:sz w:val="18"/>
          <w:szCs w:val="18"/>
          <w:color w:val="auto"/>
        </w:rPr>
        <w:t>11.95</w:t>
        <w:tab/>
        <w:t>$</w:t>
      </w:r>
      <w:r>
        <w:rPr>
          <w:sz w:val="20"/>
          <w:szCs w:val="20"/>
          <w:color w:val="auto"/>
        </w:rPr>
        <w:tab/>
      </w:r>
      <w:r>
        <w:rPr>
          <w:rFonts w:ascii="Arial" w:cs="Arial" w:eastAsia="Arial" w:hAnsi="Arial"/>
          <w:sz w:val="16"/>
          <w:szCs w:val="16"/>
          <w:color w:val="auto"/>
        </w:rPr>
        <w:t>3.96</w:t>
      </w:r>
    </w:p>
    <w:p>
      <w:pPr>
        <w:spacing w:after="0" w:line="211" w:lineRule="exact"/>
        <w:rPr>
          <w:sz w:val="20"/>
          <w:szCs w:val="20"/>
          <w:color w:val="auto"/>
        </w:rPr>
      </w:pPr>
    </w:p>
    <w:p>
      <w:pPr>
        <w:jc w:val="both"/>
        <w:ind w:right="20"/>
        <w:spacing w:after="0" w:line="264" w:lineRule="auto"/>
        <w:rPr>
          <w:sz w:val="20"/>
          <w:szCs w:val="20"/>
          <w:color w:val="auto"/>
        </w:rPr>
      </w:pPr>
      <w:r>
        <w:rPr>
          <w:rFonts w:ascii="Arial" w:cs="Arial" w:eastAsia="Arial" w:hAnsi="Arial"/>
          <w:sz w:val="18"/>
          <w:szCs w:val="18"/>
          <w:color w:val="auto"/>
        </w:rPr>
        <w:t>On February 26, 2018, the last reported sale price of our common stock on The Nasdaq Global Market was $5.85 per share. As of February 26, 2018, there were 661 holders of record of our common stock. The actual number of stockholders is greater than this number of record holders and includes stockholders who are beneficial owners but whose shares are held in street name by brokers and other nominees.</w:t>
      </w:r>
    </w:p>
    <w:p>
      <w:pPr>
        <w:spacing w:after="0" w:line="110" w:lineRule="exact"/>
        <w:rPr>
          <w:sz w:val="20"/>
          <w:szCs w:val="20"/>
          <w:color w:val="auto"/>
        </w:rPr>
      </w:pPr>
    </w:p>
    <w:p>
      <w:pPr>
        <w:spacing w:after="0"/>
        <w:rPr>
          <w:sz w:val="20"/>
          <w:szCs w:val="20"/>
          <w:color w:val="auto"/>
        </w:rPr>
      </w:pPr>
      <w:r>
        <w:rPr>
          <w:rFonts w:ascii="Arial" w:cs="Arial" w:eastAsia="Arial" w:hAnsi="Arial"/>
          <w:sz w:val="18"/>
          <w:szCs w:val="18"/>
          <w:b w:val="1"/>
          <w:bCs w:val="1"/>
          <w:color w:val="231F20"/>
        </w:rPr>
        <w:t>Stock Price Performance Graph</w:t>
      </w:r>
    </w:p>
    <w:p>
      <w:pPr>
        <w:spacing w:after="0" w:line="121" w:lineRule="exact"/>
        <w:rPr>
          <w:sz w:val="20"/>
          <w:szCs w:val="20"/>
          <w:color w:val="auto"/>
        </w:rPr>
      </w:pPr>
    </w:p>
    <w:p>
      <w:pPr>
        <w:spacing w:after="0" w:line="273" w:lineRule="auto"/>
        <w:rPr>
          <w:sz w:val="20"/>
          <w:szCs w:val="20"/>
          <w:color w:val="auto"/>
        </w:rPr>
      </w:pPr>
      <w:r>
        <w:rPr>
          <w:rFonts w:ascii="Arial" w:cs="Arial" w:eastAsia="Arial" w:hAnsi="Arial"/>
          <w:sz w:val="17"/>
          <w:szCs w:val="17"/>
          <w:color w:val="auto"/>
        </w:rPr>
        <w:t>The graph below shows a comparison from October 12, 2017, the date on which our common stock first began trading on The Nasdaq Global Market, of the cumulative total return on an assumed investment of $100.00 in cash in our common stock as compared to the same investment in the Nasdaq Composite Index and the Nasdaq Biotechnology Index, all through to December 31, 2017. Such returns are based on historical results and are not intended to suggest future performance. This graph shall not be deemed “soliciting material” or be deemed “filed” for purposes of Section 18 of the Exchange Act, or otherwise subject to the liabilities under that Section, and shall not be deemed to be incorporated by reference into any of our filings under the Securities Act, whether made before or after the date hereof and irrespective of any general incorporation language in any such filing</w:t>
      </w:r>
      <w:r>
        <w:rPr>
          <w:rFonts w:ascii="Arial" w:cs="Arial" w:eastAsia="Arial" w:hAnsi="Arial"/>
          <w:sz w:val="15"/>
          <w:szCs w:val="15"/>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956945</wp:posOffset>
            </wp:positionH>
            <wp:positionV relativeFrom="paragraph">
              <wp:posOffset>113665</wp:posOffset>
            </wp:positionV>
            <wp:extent cx="5351145" cy="255587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5351145" cy="25558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280"/>
          </w:cols>
          <w:pgMar w:left="240" w:top="337" w:right="379" w:bottom="1440" w:gutter="0" w:footer="0" w:header="0"/>
        </w:sectPr>
      </w:pPr>
    </w:p>
    <w:bookmarkStart w:id="57" w:name="page58"/>
    <w:bookmarkEnd w:id="57"/>
    <w:p>
      <w:pPr>
        <w:spacing w:after="0"/>
        <w:rPr>
          <w:sz w:val="20"/>
          <w:szCs w:val="20"/>
          <w:color w:val="auto"/>
        </w:rPr>
      </w:pPr>
      <w:r>
        <w:rPr>
          <w:rFonts w:ascii="Arial" w:cs="Arial" w:eastAsia="Arial" w:hAnsi="Arial"/>
          <w:sz w:val="18"/>
          <w:szCs w:val="18"/>
          <w:b w:val="1"/>
          <w:bCs w:val="1"/>
          <w:color w:val="231F20"/>
        </w:rPr>
        <w:t>Dividend Policy</w:t>
      </w:r>
    </w:p>
    <w:p>
      <w:pPr>
        <w:spacing w:after="0" w:line="121" w:lineRule="exact"/>
        <w:rPr>
          <w:sz w:val="20"/>
          <w:szCs w:val="20"/>
          <w:color w:val="auto"/>
        </w:rPr>
      </w:pPr>
    </w:p>
    <w:p>
      <w:pPr>
        <w:ind w:right="40"/>
        <w:spacing w:after="0" w:line="279" w:lineRule="auto"/>
        <w:rPr>
          <w:sz w:val="20"/>
          <w:szCs w:val="20"/>
          <w:color w:val="auto"/>
        </w:rPr>
      </w:pPr>
      <w:r>
        <w:rPr>
          <w:rFonts w:ascii="Arial" w:cs="Arial" w:eastAsia="Arial" w:hAnsi="Arial"/>
          <w:sz w:val="17"/>
          <w:szCs w:val="17"/>
          <w:color w:val="auto"/>
        </w:rPr>
        <w:t>We have never declared or paid cash dividends on our common stock. We currently intend to retain all available funds and any future earnings to fund, if any, for use in the operation of our business and do not anticipate paying any dividends on our common stock in the foreseeable future. Any future determination related to dividend policy will be made at the discretion of our board of directors and will depend on our financial condition, operating results, capital requirements, general business conditions and other factors that our board of directors may deem relevant.</w:t>
      </w:r>
    </w:p>
    <w:p>
      <w:pPr>
        <w:spacing w:after="0" w:line="86" w:lineRule="exact"/>
        <w:rPr>
          <w:sz w:val="20"/>
          <w:szCs w:val="20"/>
          <w:color w:val="auto"/>
        </w:rPr>
      </w:pPr>
    </w:p>
    <w:p>
      <w:pPr>
        <w:spacing w:after="0"/>
        <w:rPr>
          <w:sz w:val="20"/>
          <w:szCs w:val="20"/>
          <w:color w:val="auto"/>
        </w:rPr>
      </w:pPr>
      <w:r>
        <w:rPr>
          <w:rFonts w:ascii="Arial" w:cs="Arial" w:eastAsia="Arial" w:hAnsi="Arial"/>
          <w:sz w:val="18"/>
          <w:szCs w:val="18"/>
          <w:b w:val="1"/>
          <w:bCs w:val="1"/>
          <w:color w:val="231F20"/>
        </w:rPr>
        <w:t>Recent Sale of Unregistered Securities</w:t>
      </w:r>
    </w:p>
    <w:p>
      <w:pPr>
        <w:spacing w:after="0" w:line="121" w:lineRule="exact"/>
        <w:rPr>
          <w:sz w:val="20"/>
          <w:szCs w:val="20"/>
          <w:color w:val="auto"/>
        </w:rPr>
      </w:pPr>
    </w:p>
    <w:p>
      <w:pPr>
        <w:ind w:right="360"/>
        <w:spacing w:after="0" w:line="277" w:lineRule="auto"/>
        <w:rPr>
          <w:sz w:val="20"/>
          <w:szCs w:val="20"/>
          <w:color w:val="auto"/>
        </w:rPr>
      </w:pPr>
      <w:r>
        <w:rPr>
          <w:rFonts w:ascii="Arial" w:cs="Arial" w:eastAsia="Arial" w:hAnsi="Arial"/>
          <w:sz w:val="18"/>
          <w:szCs w:val="18"/>
          <w:color w:val="auto"/>
        </w:rPr>
        <w:t>From January 1, 2017 through December 31, 2017, we sold and issued the following unregistered securities, which share numbers have been adjusted, as appropriate, for the 1-for-10 reverse stock split which became effective on September 15, 2017:</w:t>
      </w:r>
    </w:p>
    <w:p>
      <w:pPr>
        <w:spacing w:after="0" w:line="62" w:lineRule="exact"/>
        <w:rPr>
          <w:sz w:val="20"/>
          <w:szCs w:val="20"/>
          <w:color w:val="auto"/>
        </w:rPr>
      </w:pPr>
    </w:p>
    <w:p>
      <w:pPr>
        <w:ind w:left="1100" w:right="300" w:hanging="363"/>
        <w:spacing w:after="0" w:line="264" w:lineRule="auto"/>
        <w:tabs>
          <w:tab w:leader="none" w:pos="1100" w:val="left"/>
        </w:tabs>
        <w:numPr>
          <w:ilvl w:val="0"/>
          <w:numId w:val="45"/>
        </w:numPr>
        <w:rPr>
          <w:rFonts w:ascii="Arial" w:cs="Arial" w:eastAsia="Arial" w:hAnsi="Arial"/>
          <w:sz w:val="18"/>
          <w:szCs w:val="18"/>
          <w:color w:val="auto"/>
        </w:rPr>
      </w:pPr>
      <w:r>
        <w:rPr>
          <w:rFonts w:ascii="Arial" w:cs="Arial" w:eastAsia="Arial" w:hAnsi="Arial"/>
          <w:sz w:val="18"/>
          <w:szCs w:val="18"/>
          <w:color w:val="auto"/>
        </w:rPr>
        <w:t>Prior to filing our registration statement on Form S-8 in 2017, we granted options to our directors, officers, employees and consultants to purchase 133,870 shares of common stock under our 2015 Stock Plan with per share exercise prices ranging from $1.70 to $1.90, and have issued 9,781 shares of common stock upon exercise of such options.</w:t>
      </w:r>
    </w:p>
    <w:p>
      <w:pPr>
        <w:spacing w:after="0" w:line="73" w:lineRule="exact"/>
        <w:rPr>
          <w:rFonts w:ascii="Arial" w:cs="Arial" w:eastAsia="Arial" w:hAnsi="Arial"/>
          <w:sz w:val="18"/>
          <w:szCs w:val="18"/>
          <w:color w:val="auto"/>
        </w:rPr>
      </w:pPr>
    </w:p>
    <w:p>
      <w:pPr>
        <w:ind w:left="1100" w:right="140" w:hanging="363"/>
        <w:spacing w:after="0" w:line="264" w:lineRule="auto"/>
        <w:tabs>
          <w:tab w:leader="none" w:pos="1100" w:val="left"/>
        </w:tabs>
        <w:numPr>
          <w:ilvl w:val="0"/>
          <w:numId w:val="45"/>
        </w:numPr>
        <w:rPr>
          <w:rFonts w:ascii="Arial" w:cs="Arial" w:eastAsia="Arial" w:hAnsi="Arial"/>
          <w:sz w:val="18"/>
          <w:szCs w:val="18"/>
          <w:color w:val="auto"/>
        </w:rPr>
      </w:pPr>
      <w:r>
        <w:rPr>
          <w:rFonts w:ascii="Arial" w:cs="Arial" w:eastAsia="Arial" w:hAnsi="Arial"/>
          <w:sz w:val="18"/>
          <w:szCs w:val="18"/>
          <w:color w:val="auto"/>
        </w:rPr>
        <w:t>We issued $5.0 million in subordinated convertible notes to the Company’s existing stockholders and their affiliated entities, including investors affiliated with certain of the Company’s directors. Immediately prior to the closing of the IPO, the principal and accrued interest on the outstanding convertible notes converted into 718,184 shares of common stock.</w:t>
      </w:r>
    </w:p>
    <w:p>
      <w:pPr>
        <w:spacing w:after="0" w:line="73" w:lineRule="exact"/>
        <w:rPr>
          <w:rFonts w:ascii="Arial" w:cs="Arial" w:eastAsia="Arial" w:hAnsi="Arial"/>
          <w:sz w:val="18"/>
          <w:szCs w:val="18"/>
          <w:color w:val="auto"/>
        </w:rPr>
      </w:pPr>
    </w:p>
    <w:p>
      <w:pPr>
        <w:ind w:left="1100" w:right="320" w:hanging="363"/>
        <w:spacing w:after="0" w:line="277" w:lineRule="auto"/>
        <w:tabs>
          <w:tab w:leader="none" w:pos="1100" w:val="left"/>
        </w:tabs>
        <w:numPr>
          <w:ilvl w:val="0"/>
          <w:numId w:val="45"/>
        </w:numPr>
        <w:rPr>
          <w:rFonts w:ascii="Arial" w:cs="Arial" w:eastAsia="Arial" w:hAnsi="Arial"/>
          <w:sz w:val="18"/>
          <w:szCs w:val="18"/>
          <w:color w:val="auto"/>
        </w:rPr>
      </w:pPr>
      <w:r>
        <w:rPr>
          <w:rFonts w:ascii="Arial" w:cs="Arial" w:eastAsia="Arial" w:hAnsi="Arial"/>
          <w:sz w:val="18"/>
          <w:szCs w:val="18"/>
          <w:color w:val="auto"/>
        </w:rPr>
        <w:t>We issued an aggregate of 1,529,306 shares of our Series C preferred stock at a price per share of $7.15 for aggregate net proceeds to us of $10.2 million.</w:t>
      </w:r>
    </w:p>
    <w:p>
      <w:pPr>
        <w:spacing w:after="0" w:line="62" w:lineRule="exact"/>
        <w:rPr>
          <w:sz w:val="20"/>
          <w:szCs w:val="20"/>
          <w:color w:val="auto"/>
        </w:rPr>
      </w:pPr>
    </w:p>
    <w:p>
      <w:pPr>
        <w:ind w:right="40"/>
        <w:spacing w:after="0" w:line="264" w:lineRule="auto"/>
        <w:rPr>
          <w:sz w:val="20"/>
          <w:szCs w:val="20"/>
          <w:color w:val="auto"/>
        </w:rPr>
      </w:pPr>
      <w:r>
        <w:rPr>
          <w:rFonts w:ascii="Arial" w:cs="Arial" w:eastAsia="Arial" w:hAnsi="Arial"/>
          <w:sz w:val="18"/>
          <w:szCs w:val="18"/>
          <w:color w:val="auto"/>
        </w:rPr>
        <w:t>The offers, sales and issuances of the securities described in paragraphs (1) above were deemed to be exempt from registration under the Securities Act under Rule 701 promulgated under the Securities Act as offers and sale of securities pursuant to certain compensatory benefit plans and contracts relating to compensation in compliance with Rule 701.</w:t>
      </w:r>
    </w:p>
    <w:p>
      <w:pPr>
        <w:spacing w:after="0" w:line="73" w:lineRule="exact"/>
        <w:rPr>
          <w:sz w:val="20"/>
          <w:szCs w:val="20"/>
          <w:color w:val="auto"/>
        </w:rPr>
      </w:pPr>
    </w:p>
    <w:p>
      <w:pPr>
        <w:jc w:val="both"/>
        <w:ind w:right="200"/>
        <w:spacing w:after="0" w:line="288" w:lineRule="auto"/>
        <w:rPr>
          <w:sz w:val="20"/>
          <w:szCs w:val="20"/>
          <w:color w:val="auto"/>
        </w:rPr>
      </w:pPr>
      <w:r>
        <w:rPr>
          <w:rFonts w:ascii="Arial" w:cs="Arial" w:eastAsia="Arial" w:hAnsi="Arial"/>
          <w:sz w:val="16"/>
          <w:szCs w:val="16"/>
          <w:color w:val="auto"/>
        </w:rPr>
        <w:t>The offers, sales, and issuances of the securities described in paragraphs (2) and (3) above were deemed to be exempt from registration under the Securities Act in reliance on Section 4(a)(2) of the Securities. The recipients of securities in each of these transactions acquired the securities for investment only and not with a view to or for sale in connection with any distribution thereof and appropriate legends were affixed to the securities issued in these transactions.</w:t>
      </w:r>
    </w:p>
    <w:p>
      <w:pPr>
        <w:ind w:right="80"/>
        <w:spacing w:after="0" w:line="261" w:lineRule="auto"/>
        <w:rPr>
          <w:sz w:val="20"/>
          <w:szCs w:val="20"/>
          <w:color w:val="auto"/>
        </w:rPr>
      </w:pPr>
      <w:r>
        <w:rPr>
          <w:rFonts w:ascii="Arial" w:cs="Arial" w:eastAsia="Arial" w:hAnsi="Arial"/>
          <w:sz w:val="18"/>
          <w:szCs w:val="18"/>
          <w:color w:val="auto"/>
        </w:rPr>
        <w:t>Each of the recipients of securities in these transactions was an accredited or sophisticated person and had adequate access, through employment, business or other relationships, to information about us.</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231F20"/>
        </w:rPr>
        <w:t>Use of Proceeds from Registered Securities</w:t>
      </w:r>
    </w:p>
    <w:p>
      <w:pPr>
        <w:spacing w:after="0" w:line="121" w:lineRule="exact"/>
        <w:rPr>
          <w:sz w:val="20"/>
          <w:szCs w:val="20"/>
          <w:color w:val="auto"/>
        </w:rPr>
      </w:pPr>
    </w:p>
    <w:p>
      <w:pPr>
        <w:spacing w:after="0" w:line="293" w:lineRule="auto"/>
        <w:rPr>
          <w:sz w:val="20"/>
          <w:szCs w:val="20"/>
          <w:color w:val="auto"/>
        </w:rPr>
      </w:pPr>
      <w:r>
        <w:rPr>
          <w:rFonts w:ascii="Arial" w:cs="Arial" w:eastAsia="Arial" w:hAnsi="Arial"/>
          <w:sz w:val="16"/>
          <w:szCs w:val="16"/>
          <w:color w:val="auto"/>
        </w:rPr>
        <w:t>On October 11, 2017, the Company’s Registration Statement on Form S-1 (File No. 333-220303) relating to the initial public offering (IPO) of its common stock was declared effective by the Securities and Exchange Commission (SEC). Pursuant to such Registration Statement, the Company completed its initial public offering (collectively, the IPO) of 3,897,910 shares of its common stock (inclusive of 322,910 shares of common stock from the subsequent exercise of the over-allotment option granted to the underwriters) at a price of $7.00 per share for aggregate cash proceeds of approximately $22.1 million after deducting offering costs and commissions of $5.2 million. There has been no material change in the expected use of the net proceeds from our IPO, as described in our final prospectus dated October 11, 2017 and filed with the SEC on October 13, 2017 pursuant to Rule 424(b) under the Securities Act of 1933, as amended.</w:t>
      </w:r>
    </w:p>
    <w:p>
      <w:pPr>
        <w:spacing w:after="0" w:line="93" w:lineRule="exact"/>
        <w:rPr>
          <w:sz w:val="20"/>
          <w:szCs w:val="20"/>
          <w:color w:val="auto"/>
        </w:rPr>
      </w:pPr>
    </w:p>
    <w:p>
      <w:pPr>
        <w:spacing w:after="0"/>
        <w:rPr>
          <w:sz w:val="20"/>
          <w:szCs w:val="20"/>
          <w:color w:val="auto"/>
        </w:rPr>
      </w:pPr>
      <w:r>
        <w:rPr>
          <w:rFonts w:ascii="Arial" w:cs="Arial" w:eastAsia="Arial" w:hAnsi="Arial"/>
          <w:sz w:val="18"/>
          <w:szCs w:val="18"/>
          <w:b w:val="1"/>
          <w:bCs w:val="1"/>
          <w:color w:val="231F20"/>
        </w:rPr>
        <w:t>Issuer Purchases of Equity Securities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140" w:lineRule="exact"/>
        <w:rPr>
          <w:sz w:val="20"/>
          <w:szCs w:val="20"/>
          <w:color w:val="auto"/>
        </w:rPr>
      </w:pPr>
    </w:p>
    <w:p>
      <w:pPr>
        <w:spacing w:after="0"/>
        <w:rPr>
          <w:sz w:val="20"/>
          <w:szCs w:val="20"/>
          <w:color w:val="auto"/>
        </w:rPr>
      </w:pPr>
      <w:r>
        <w:rPr>
          <w:rFonts w:ascii="Arial" w:cs="Arial" w:eastAsia="Arial" w:hAnsi="Arial"/>
          <w:sz w:val="18"/>
          <w:szCs w:val="18"/>
          <w:b w:val="1"/>
          <w:bCs w:val="1"/>
          <w:color w:val="231F20"/>
        </w:rPr>
        <w:t>Securities Authorized for Issuance under Equity Compensation Plans</w:t>
      </w:r>
    </w:p>
    <w:p>
      <w:pPr>
        <w:spacing w:after="0" w:line="121" w:lineRule="exact"/>
        <w:rPr>
          <w:sz w:val="20"/>
          <w:szCs w:val="20"/>
          <w:color w:val="auto"/>
        </w:rPr>
      </w:pPr>
    </w:p>
    <w:p>
      <w:pPr>
        <w:ind w:right="160"/>
        <w:spacing w:after="0" w:line="277" w:lineRule="auto"/>
        <w:rPr>
          <w:sz w:val="20"/>
          <w:szCs w:val="20"/>
          <w:color w:val="auto"/>
        </w:rPr>
      </w:pPr>
      <w:r>
        <w:rPr>
          <w:rFonts w:ascii="Arial" w:cs="Arial" w:eastAsia="Arial" w:hAnsi="Arial"/>
          <w:sz w:val="18"/>
          <w:szCs w:val="18"/>
          <w:color w:val="auto"/>
        </w:rPr>
        <w:t>The information called for by this item is incorporated by reference to our Proxy Statement for the 2018 Annual Meeting of Stockholders. See Part III, Item 12 “Security Ownership of Certain Beneficial Owners and Management.”</w:t>
      </w:r>
    </w:p>
    <w:p>
      <w:pPr>
        <w:spacing w:after="0" w:line="200" w:lineRule="exact"/>
        <w:rPr>
          <w:sz w:val="20"/>
          <w:szCs w:val="20"/>
          <w:color w:val="auto"/>
        </w:rPr>
      </w:pPr>
    </w:p>
    <w:p>
      <w:pPr>
        <w:spacing w:after="0" w:line="2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486" w:right="259" w:bottom="1440" w:gutter="0" w:footer="0" w:header="0"/>
        </w:sectPr>
      </w:pPr>
    </w:p>
    <w:bookmarkStart w:id="58" w:name="page59"/>
    <w:bookmarkEnd w:id="58"/>
    <w:p>
      <w:pPr>
        <w:spacing w:after="0"/>
        <w:rPr>
          <w:sz w:val="20"/>
          <w:szCs w:val="20"/>
          <w:color w:val="auto"/>
        </w:rPr>
      </w:pPr>
      <w:r>
        <w:rPr>
          <w:rFonts w:ascii="Arial" w:cs="Arial" w:eastAsia="Arial" w:hAnsi="Arial"/>
          <w:sz w:val="18"/>
          <w:szCs w:val="18"/>
          <w:b w:val="1"/>
          <w:bCs w:val="1"/>
          <w:color w:val="auto"/>
        </w:rPr>
        <w:t>Item 6.Selected Consolidated Financial Data.</w:t>
      </w:r>
    </w:p>
    <w:p>
      <w:pPr>
        <w:spacing w:after="0" w:line="121"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We have derived the following selected consolidated statement of operations data for the years ended December 31, 2017, 2016 and 2015 and the selected consolidated balance sheet data as of December 31, 2017 and 2016 from our audited consolidated financial statements included elsewhere in this report. The selected consolidated balance sheet data as of December 31, 2015 is derived from our audited consolidated financial statements which are not included in this report.</w:t>
      </w:r>
    </w:p>
    <w:p>
      <w:pPr>
        <w:spacing w:after="0" w:line="79" w:lineRule="exact"/>
        <w:rPr>
          <w:sz w:val="20"/>
          <w:szCs w:val="20"/>
          <w:color w:val="auto"/>
        </w:rPr>
      </w:pPr>
    </w:p>
    <w:p>
      <w:pPr>
        <w:spacing w:after="0" w:line="264" w:lineRule="auto"/>
        <w:rPr>
          <w:sz w:val="20"/>
          <w:szCs w:val="20"/>
          <w:color w:val="auto"/>
        </w:rPr>
      </w:pPr>
      <w:r>
        <w:rPr>
          <w:rFonts w:ascii="Arial" w:cs="Arial" w:eastAsia="Arial" w:hAnsi="Arial"/>
          <w:sz w:val="18"/>
          <w:szCs w:val="18"/>
          <w:color w:val="auto"/>
        </w:rPr>
        <w:t>Our historical results are not necessarily indicative of the results to be expected in the future. You should read the selected consolidated financial data below in conjunction with Part II, Item 7. “Management’s Discussion and Analysis of Financial Condition and Results of Operations” and our consolidated financial statements and the related notes included in this Annual Report on Form 10-K.</w:t>
      </w:r>
    </w:p>
    <w:p>
      <w:pPr>
        <w:spacing w:after="0" w:line="227" w:lineRule="exact"/>
        <w:rPr>
          <w:sz w:val="20"/>
          <w:szCs w:val="20"/>
          <w:color w:val="auto"/>
        </w:rPr>
      </w:pPr>
    </w:p>
    <w:tbl>
      <w:tblPr>
        <w:tblLayout w:type="fixed"/>
        <w:tblInd w:w="740" w:type="dxa"/>
        <w:tblCellMar>
          <w:top w:w="0" w:type="dxa"/>
          <w:left w:w="0" w:type="dxa"/>
          <w:bottom w:w="0" w:type="dxa"/>
          <w:right w:w="0" w:type="dxa"/>
        </w:tblCellMar>
      </w:tblPr>
      <w:tr>
        <w:trPr>
          <w:trHeight w:val="171"/>
        </w:trPr>
        <w:tc>
          <w:tcPr>
            <w:tcW w:w="42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30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2600" w:type="dxa"/>
            <w:vAlign w:val="bottom"/>
            <w:tcBorders>
              <w:bottom w:val="single" w:sz="8" w:color="auto"/>
            </w:tcBorders>
            <w:gridSpan w:val="8"/>
          </w:tcPr>
          <w:p>
            <w:pPr>
              <w:jc w:val="center"/>
              <w:ind w:left="553"/>
              <w:spacing w:after="0"/>
              <w:rPr>
                <w:sz w:val="20"/>
                <w:szCs w:val="20"/>
                <w:color w:val="auto"/>
              </w:rPr>
            </w:pPr>
            <w:r>
              <w:rPr>
                <w:rFonts w:ascii="Arial" w:cs="Arial" w:eastAsia="Arial" w:hAnsi="Arial"/>
                <w:sz w:val="14"/>
                <w:szCs w:val="14"/>
                <w:b w:val="1"/>
                <w:bCs w:val="1"/>
                <w:color w:val="auto"/>
                <w:w w:val="93"/>
              </w:rPr>
              <w:t>Year Ended, December 31,</w:t>
            </w:r>
          </w:p>
        </w:tc>
        <w:tc>
          <w:tcPr>
            <w:tcW w:w="860" w:type="dxa"/>
            <w:vAlign w:val="bottom"/>
            <w:tcBorders>
              <w:bottom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420" w:type="dxa"/>
            <w:vAlign w:val="bottom"/>
          </w:tcPr>
          <w:p>
            <w:pPr>
              <w:spacing w:after="0"/>
              <w:rPr>
                <w:sz w:val="13"/>
                <w:szCs w:val="13"/>
                <w:color w:val="auto"/>
              </w:rPr>
            </w:pPr>
          </w:p>
        </w:tc>
        <w:tc>
          <w:tcPr>
            <w:tcW w:w="1480" w:type="dxa"/>
            <w:vAlign w:val="bottom"/>
          </w:tcPr>
          <w:p>
            <w:pPr>
              <w:spacing w:after="0"/>
              <w:rPr>
                <w:sz w:val="13"/>
                <w:szCs w:val="13"/>
                <w:color w:val="auto"/>
              </w:rPr>
            </w:pPr>
          </w:p>
        </w:tc>
        <w:tc>
          <w:tcPr>
            <w:tcW w:w="308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880" w:type="dxa"/>
            <w:vAlign w:val="bottom"/>
            <w:tcBorders>
              <w:bottom w:val="single" w:sz="8" w:color="auto"/>
            </w:tcBorders>
          </w:tcPr>
          <w:p>
            <w:pPr>
              <w:jc w:val="right"/>
              <w:ind w:right="333"/>
              <w:spacing w:after="0" w:line="155" w:lineRule="exact"/>
              <w:rPr>
                <w:sz w:val="20"/>
                <w:szCs w:val="20"/>
                <w:color w:val="auto"/>
              </w:rPr>
            </w:pPr>
            <w:r>
              <w:rPr>
                <w:rFonts w:ascii="Arial" w:cs="Arial" w:eastAsia="Arial" w:hAnsi="Arial"/>
                <w:sz w:val="14"/>
                <w:szCs w:val="14"/>
                <w:b w:val="1"/>
                <w:bCs w:val="1"/>
                <w:color w:val="auto"/>
              </w:rPr>
              <w:t>2017</w:t>
            </w:r>
          </w:p>
        </w:tc>
        <w:tc>
          <w:tcPr>
            <w:tcW w:w="12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980" w:type="dxa"/>
            <w:vAlign w:val="bottom"/>
            <w:tcBorders>
              <w:bottom w:val="single" w:sz="8" w:color="auto"/>
            </w:tcBorders>
          </w:tcPr>
          <w:p>
            <w:pPr>
              <w:jc w:val="center"/>
              <w:ind w:right="13"/>
              <w:spacing w:after="0" w:line="155" w:lineRule="exact"/>
              <w:rPr>
                <w:sz w:val="20"/>
                <w:szCs w:val="20"/>
                <w:color w:val="auto"/>
              </w:rPr>
            </w:pPr>
            <w:r>
              <w:rPr>
                <w:rFonts w:ascii="Arial" w:cs="Arial" w:eastAsia="Arial" w:hAnsi="Arial"/>
                <w:sz w:val="14"/>
                <w:szCs w:val="14"/>
                <w:b w:val="1"/>
                <w:bCs w:val="1"/>
                <w:color w:val="auto"/>
                <w:w w:val="89"/>
              </w:rPr>
              <w:t>2016</w:t>
            </w:r>
          </w:p>
        </w:tc>
        <w:tc>
          <w:tcPr>
            <w:tcW w:w="14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860" w:type="dxa"/>
            <w:vAlign w:val="bottom"/>
            <w:tcBorders>
              <w:bottom w:val="single" w:sz="8" w:color="auto"/>
            </w:tcBorders>
          </w:tcPr>
          <w:p>
            <w:pPr>
              <w:jc w:val="right"/>
              <w:ind w:right="311"/>
              <w:spacing w:after="0" w:line="155" w:lineRule="exact"/>
              <w:rPr>
                <w:sz w:val="20"/>
                <w:szCs w:val="20"/>
                <w:color w:val="auto"/>
              </w:rPr>
            </w:pPr>
            <w:r>
              <w:rPr>
                <w:rFonts w:ascii="Arial" w:cs="Arial" w:eastAsia="Arial" w:hAnsi="Arial"/>
                <w:sz w:val="14"/>
                <w:szCs w:val="14"/>
                <w:b w:val="1"/>
                <w:bCs w:val="1"/>
                <w:color w:val="auto"/>
              </w:rPr>
              <w:t>2015</w:t>
            </w: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3"/>
        </w:trPr>
        <w:tc>
          <w:tcPr>
            <w:tcW w:w="420" w:type="dxa"/>
            <w:vAlign w:val="bottom"/>
          </w:tcPr>
          <w:p>
            <w:pPr>
              <w:spacing w:after="0"/>
              <w:rPr>
                <w:sz w:val="11"/>
                <w:szCs w:val="11"/>
                <w:color w:val="auto"/>
              </w:rPr>
            </w:pPr>
          </w:p>
        </w:tc>
        <w:tc>
          <w:tcPr>
            <w:tcW w:w="1480" w:type="dxa"/>
            <w:vAlign w:val="bottom"/>
          </w:tcPr>
          <w:p>
            <w:pPr>
              <w:spacing w:after="0"/>
              <w:rPr>
                <w:sz w:val="11"/>
                <w:szCs w:val="11"/>
                <w:color w:val="auto"/>
              </w:rPr>
            </w:pPr>
          </w:p>
        </w:tc>
        <w:tc>
          <w:tcPr>
            <w:tcW w:w="30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460" w:type="dxa"/>
            <w:vAlign w:val="bottom"/>
            <w:gridSpan w:val="9"/>
          </w:tcPr>
          <w:p>
            <w:pPr>
              <w:jc w:val="center"/>
              <w:ind w:right="151"/>
              <w:spacing w:after="0" w:line="133" w:lineRule="exact"/>
              <w:rPr>
                <w:sz w:val="20"/>
                <w:szCs w:val="20"/>
                <w:color w:val="auto"/>
              </w:rPr>
            </w:pPr>
            <w:r>
              <w:rPr>
                <w:rFonts w:ascii="Arial" w:cs="Arial" w:eastAsia="Arial" w:hAnsi="Arial"/>
                <w:sz w:val="14"/>
                <w:szCs w:val="14"/>
                <w:b w:val="1"/>
                <w:bCs w:val="1"/>
                <w:color w:val="auto"/>
                <w:w w:val="90"/>
              </w:rPr>
              <w:t>(in thousands except share and per share</w:t>
            </w: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1"/>
        </w:trPr>
        <w:tc>
          <w:tcPr>
            <w:tcW w:w="42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30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2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5"/>
              </w:rPr>
              <w:t>data)</w:t>
            </w:r>
          </w:p>
        </w:tc>
        <w:tc>
          <w:tcPr>
            <w:tcW w:w="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30"/>
        </w:trPr>
        <w:tc>
          <w:tcPr>
            <w:tcW w:w="420" w:type="dxa"/>
            <w:vAlign w:val="bottom"/>
          </w:tcPr>
          <w:p>
            <w:pPr>
              <w:spacing w:after="0"/>
              <w:rPr>
                <w:sz w:val="19"/>
                <w:szCs w:val="19"/>
                <w:color w:val="auto"/>
              </w:rPr>
            </w:pPr>
          </w:p>
        </w:tc>
        <w:tc>
          <w:tcPr>
            <w:tcW w:w="4560" w:type="dxa"/>
            <w:vAlign w:val="bottom"/>
            <w:gridSpan w:val="2"/>
            <w:shd w:val="clear" w:color="auto" w:fill="CFF0FC"/>
          </w:tcPr>
          <w:p>
            <w:pPr>
              <w:spacing w:after="0"/>
              <w:rPr>
                <w:sz w:val="20"/>
                <w:szCs w:val="20"/>
                <w:color w:val="auto"/>
              </w:rPr>
            </w:pPr>
            <w:r>
              <w:rPr>
                <w:rFonts w:ascii="Arial" w:cs="Arial" w:eastAsia="Arial" w:hAnsi="Arial"/>
                <w:sz w:val="18"/>
                <w:szCs w:val="18"/>
                <w:b w:val="1"/>
                <w:bCs w:val="1"/>
                <w:color w:val="auto"/>
              </w:rPr>
              <w:t>Consolidated Statements of Operations Data:</w:t>
            </w:r>
          </w:p>
        </w:tc>
        <w:tc>
          <w:tcPr>
            <w:tcW w:w="8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8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9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8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20" w:type="dxa"/>
            <w:vAlign w:val="bottom"/>
          </w:tcPr>
          <w:p>
            <w:pPr>
              <w:spacing w:after="0"/>
              <w:rPr>
                <w:sz w:val="19"/>
                <w:szCs w:val="19"/>
                <w:color w:val="auto"/>
              </w:rPr>
            </w:pPr>
          </w:p>
        </w:tc>
        <w:tc>
          <w:tcPr>
            <w:tcW w:w="4560" w:type="dxa"/>
            <w:vAlign w:val="bottom"/>
            <w:gridSpan w:val="2"/>
          </w:tcPr>
          <w:p>
            <w:pPr>
              <w:spacing w:after="0"/>
              <w:rPr>
                <w:sz w:val="20"/>
                <w:szCs w:val="20"/>
                <w:color w:val="auto"/>
              </w:rPr>
            </w:pPr>
            <w:r>
              <w:rPr>
                <w:rFonts w:ascii="Arial" w:cs="Arial" w:eastAsia="Arial" w:hAnsi="Arial"/>
                <w:sz w:val="18"/>
                <w:szCs w:val="18"/>
                <w:color w:val="auto"/>
              </w:rPr>
              <w:t>Revenue, net</w:t>
            </w:r>
          </w:p>
        </w:tc>
        <w:tc>
          <w:tcPr>
            <w:tcW w:w="1020" w:type="dxa"/>
            <w:vAlign w:val="bottom"/>
            <w:gridSpan w:val="2"/>
          </w:tcPr>
          <w:p>
            <w:pPr>
              <w:jc w:val="right"/>
              <w:ind w:right="45"/>
              <w:spacing w:after="0"/>
              <w:rPr>
                <w:sz w:val="20"/>
                <w:szCs w:val="20"/>
                <w:color w:val="auto"/>
              </w:rPr>
            </w:pPr>
            <w:r>
              <w:rPr>
                <w:rFonts w:ascii="Arial" w:cs="Arial" w:eastAsia="Arial" w:hAnsi="Arial"/>
                <w:sz w:val="18"/>
                <w:szCs w:val="18"/>
                <w:color w:val="auto"/>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21,297</w:t>
            </w:r>
          </w:p>
        </w:tc>
        <w:tc>
          <w:tcPr>
            <w:tcW w:w="120" w:type="dxa"/>
            <w:vAlign w:val="bottom"/>
          </w:tcPr>
          <w:p>
            <w:pPr>
              <w:spacing w:after="0"/>
              <w:rPr>
                <w:sz w:val="19"/>
                <w:szCs w:val="19"/>
                <w:color w:val="auto"/>
              </w:rPr>
            </w:pPr>
          </w:p>
        </w:tc>
        <w:tc>
          <w:tcPr>
            <w:tcW w:w="1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15,600</w:t>
            </w:r>
          </w:p>
        </w:tc>
        <w:tc>
          <w:tcPr>
            <w:tcW w:w="140" w:type="dxa"/>
            <w:vAlign w:val="bottom"/>
          </w:tcPr>
          <w:p>
            <w:pPr>
              <w:spacing w:after="0"/>
              <w:rPr>
                <w:sz w:val="19"/>
                <w:szCs w:val="19"/>
                <w:color w:val="auto"/>
              </w:rPr>
            </w:pPr>
          </w:p>
        </w:tc>
        <w:tc>
          <w:tcPr>
            <w:tcW w:w="300" w:type="dxa"/>
            <w:vAlign w:val="bottom"/>
            <w:gridSpan w:val="2"/>
          </w:tcPr>
          <w:p>
            <w:pPr>
              <w:jc w:val="right"/>
              <w:ind w:right="65"/>
              <w:spacing w:after="0"/>
              <w:rPr>
                <w:sz w:val="20"/>
                <w:szCs w:val="20"/>
                <w:color w:val="auto"/>
              </w:rPr>
            </w:pPr>
            <w:r>
              <w:rPr>
                <w:rFonts w:ascii="Arial" w:cs="Arial" w:eastAsia="Arial" w:hAnsi="Arial"/>
                <w:sz w:val="18"/>
                <w:szCs w:val="18"/>
                <w:color w:val="auto"/>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17,230</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20" w:type="dxa"/>
            <w:vAlign w:val="bottom"/>
          </w:tcPr>
          <w:p>
            <w:pPr>
              <w:spacing w:after="0"/>
              <w:rPr>
                <w:sz w:val="19"/>
                <w:szCs w:val="19"/>
                <w:color w:val="auto"/>
              </w:rPr>
            </w:pPr>
          </w:p>
        </w:tc>
        <w:tc>
          <w:tcPr>
            <w:tcW w:w="456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Cost of revenue</w:t>
            </w:r>
          </w:p>
        </w:tc>
        <w:tc>
          <w:tcPr>
            <w:tcW w:w="820" w:type="dxa"/>
            <w:vAlign w:val="bottom"/>
            <w:shd w:val="clear" w:color="auto" w:fill="CFF0FC"/>
          </w:tcPr>
          <w:p>
            <w:pPr>
              <w:spacing w:after="0"/>
              <w:rPr>
                <w:sz w:val="19"/>
                <w:szCs w:val="19"/>
                <w:color w:val="auto"/>
              </w:rPr>
            </w:pPr>
          </w:p>
        </w:tc>
        <w:tc>
          <w:tcPr>
            <w:tcW w:w="200" w:type="dxa"/>
            <w:vAlign w:val="bottom"/>
            <w:tcBorders>
              <w:bottom w:val="single" w:sz="8" w:color="auto"/>
            </w:tcBorders>
            <w:shd w:val="clear" w:color="auto" w:fill="CFF0FC"/>
          </w:tcPr>
          <w:p>
            <w:pPr>
              <w:spacing w:after="0"/>
              <w:rPr>
                <w:sz w:val="19"/>
                <w:szCs w:val="19"/>
                <w:color w:val="auto"/>
              </w:rPr>
            </w:pPr>
          </w:p>
        </w:tc>
        <w:tc>
          <w:tcPr>
            <w:tcW w:w="8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12,150</w:t>
            </w:r>
          </w:p>
        </w:tc>
        <w:tc>
          <w:tcPr>
            <w:tcW w:w="1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00" w:type="dxa"/>
            <w:vAlign w:val="bottom"/>
            <w:tcBorders>
              <w:bottom w:val="single" w:sz="8" w:color="auto"/>
            </w:tcBorders>
            <w:shd w:val="clear" w:color="auto" w:fill="CFF0FC"/>
          </w:tcPr>
          <w:p>
            <w:pPr>
              <w:spacing w:after="0"/>
              <w:rPr>
                <w:sz w:val="19"/>
                <w:szCs w:val="19"/>
                <w:color w:val="auto"/>
              </w:rPr>
            </w:pPr>
          </w:p>
        </w:tc>
        <w:tc>
          <w:tcPr>
            <w:tcW w:w="9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10,431</w:t>
            </w: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spacing w:after="0"/>
              <w:rPr>
                <w:sz w:val="19"/>
                <w:szCs w:val="19"/>
                <w:color w:val="auto"/>
              </w:rPr>
            </w:pPr>
          </w:p>
        </w:tc>
        <w:tc>
          <w:tcPr>
            <w:tcW w:w="8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12,513</w:t>
            </w:r>
          </w:p>
        </w:tc>
        <w:tc>
          <w:tcPr>
            <w:tcW w:w="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980" w:type="dxa"/>
            <w:vAlign w:val="bottom"/>
            <w:gridSpan w:val="3"/>
          </w:tcPr>
          <w:p>
            <w:pPr>
              <w:ind w:left="400"/>
              <w:spacing w:after="0"/>
              <w:rPr>
                <w:sz w:val="20"/>
                <w:szCs w:val="20"/>
                <w:color w:val="auto"/>
              </w:rPr>
            </w:pPr>
            <w:r>
              <w:rPr>
                <w:rFonts w:ascii="Arial" w:cs="Arial" w:eastAsia="Arial" w:hAnsi="Arial"/>
                <w:sz w:val="18"/>
                <w:szCs w:val="18"/>
                <w:color w:val="auto"/>
              </w:rPr>
              <w:t>Gross profit</w:t>
            </w:r>
          </w:p>
        </w:tc>
        <w:tc>
          <w:tcPr>
            <w:tcW w:w="8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9,147</w:t>
            </w: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5,169</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4,717</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20" w:type="dxa"/>
            <w:vAlign w:val="bottom"/>
          </w:tcPr>
          <w:p>
            <w:pPr>
              <w:spacing w:after="0"/>
              <w:rPr>
                <w:sz w:val="19"/>
                <w:szCs w:val="19"/>
                <w:color w:val="auto"/>
              </w:rPr>
            </w:pPr>
          </w:p>
        </w:tc>
        <w:tc>
          <w:tcPr>
            <w:tcW w:w="456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Operating expenses</w:t>
            </w:r>
            <w:r>
              <w:rPr>
                <w:rFonts w:ascii="Arial" w:cs="Arial" w:eastAsia="Arial" w:hAnsi="Arial"/>
                <w:sz w:val="15"/>
                <w:szCs w:val="15"/>
                <w:color w:val="auto"/>
              </w:rPr>
              <w:t>(1)</w:t>
            </w:r>
            <w:r>
              <w:rPr>
                <w:rFonts w:ascii="Arial" w:cs="Arial" w:eastAsia="Arial" w:hAnsi="Arial"/>
                <w:sz w:val="18"/>
                <w:szCs w:val="18"/>
                <w:color w:val="auto"/>
              </w:rPr>
              <w:t>:</w:t>
            </w:r>
          </w:p>
        </w:tc>
        <w:tc>
          <w:tcPr>
            <w:tcW w:w="8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8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9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8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20" w:type="dxa"/>
            <w:vAlign w:val="bottom"/>
          </w:tcPr>
          <w:p>
            <w:pPr>
              <w:spacing w:after="0"/>
              <w:rPr>
                <w:sz w:val="19"/>
                <w:szCs w:val="19"/>
                <w:color w:val="auto"/>
              </w:rPr>
            </w:pPr>
          </w:p>
        </w:tc>
        <w:tc>
          <w:tcPr>
            <w:tcW w:w="4560" w:type="dxa"/>
            <w:vAlign w:val="bottom"/>
            <w:gridSpan w:val="2"/>
          </w:tcPr>
          <w:p>
            <w:pPr>
              <w:ind w:left="240"/>
              <w:spacing w:after="0"/>
              <w:rPr>
                <w:sz w:val="20"/>
                <w:szCs w:val="20"/>
                <w:color w:val="auto"/>
              </w:rPr>
            </w:pPr>
            <w:r>
              <w:rPr>
                <w:rFonts w:ascii="Arial" w:cs="Arial" w:eastAsia="Arial" w:hAnsi="Arial"/>
                <w:sz w:val="18"/>
                <w:szCs w:val="18"/>
                <w:color w:val="auto"/>
              </w:rPr>
              <w:t>Research and development</w:t>
            </w:r>
          </w:p>
        </w:tc>
        <w:tc>
          <w:tcPr>
            <w:tcW w:w="8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7,135</w:t>
            </w: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7,474</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7,399</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20" w:type="dxa"/>
            <w:vAlign w:val="bottom"/>
          </w:tcPr>
          <w:p>
            <w:pPr>
              <w:spacing w:after="0"/>
              <w:rPr>
                <w:sz w:val="19"/>
                <w:szCs w:val="19"/>
                <w:color w:val="auto"/>
              </w:rPr>
            </w:pPr>
          </w:p>
        </w:tc>
        <w:tc>
          <w:tcPr>
            <w:tcW w:w="4560" w:type="dxa"/>
            <w:vAlign w:val="bottom"/>
            <w:gridSpan w:val="2"/>
            <w:shd w:val="clear" w:color="auto" w:fill="CFF0FC"/>
          </w:tcPr>
          <w:p>
            <w:pPr>
              <w:ind w:left="240"/>
              <w:spacing w:after="0"/>
              <w:rPr>
                <w:sz w:val="20"/>
                <w:szCs w:val="20"/>
                <w:color w:val="auto"/>
              </w:rPr>
            </w:pPr>
            <w:r>
              <w:rPr>
                <w:rFonts w:ascii="Arial" w:cs="Arial" w:eastAsia="Arial" w:hAnsi="Arial"/>
                <w:sz w:val="18"/>
                <w:szCs w:val="18"/>
                <w:color w:val="auto"/>
              </w:rPr>
              <w:t>Sales and marketing</w:t>
            </w:r>
          </w:p>
        </w:tc>
        <w:tc>
          <w:tcPr>
            <w:tcW w:w="8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14,390</w:t>
            </w:r>
          </w:p>
        </w:tc>
        <w:tc>
          <w:tcPr>
            <w:tcW w:w="1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12,483</w:t>
            </w: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14,587</w:t>
            </w:r>
          </w:p>
        </w:tc>
        <w:tc>
          <w:tcPr>
            <w:tcW w:w="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20" w:type="dxa"/>
            <w:vAlign w:val="bottom"/>
          </w:tcPr>
          <w:p>
            <w:pPr>
              <w:spacing w:after="0"/>
              <w:rPr>
                <w:sz w:val="19"/>
                <w:szCs w:val="19"/>
                <w:color w:val="auto"/>
              </w:rPr>
            </w:pPr>
          </w:p>
        </w:tc>
        <w:tc>
          <w:tcPr>
            <w:tcW w:w="4560" w:type="dxa"/>
            <w:vAlign w:val="bottom"/>
            <w:tcBorders>
              <w:bottom w:val="single" w:sz="8" w:color="CFF0FC"/>
            </w:tcBorders>
            <w:gridSpan w:val="2"/>
          </w:tcPr>
          <w:p>
            <w:pPr>
              <w:ind w:left="240"/>
              <w:spacing w:after="0"/>
              <w:rPr>
                <w:sz w:val="20"/>
                <w:szCs w:val="20"/>
                <w:color w:val="auto"/>
              </w:rPr>
            </w:pPr>
            <w:r>
              <w:rPr>
                <w:rFonts w:ascii="Arial" w:cs="Arial" w:eastAsia="Arial" w:hAnsi="Arial"/>
                <w:sz w:val="18"/>
                <w:szCs w:val="18"/>
                <w:color w:val="auto"/>
              </w:rPr>
              <w:t>General and administrative</w:t>
            </w:r>
          </w:p>
        </w:tc>
        <w:tc>
          <w:tcPr>
            <w:tcW w:w="820" w:type="dxa"/>
            <w:vAlign w:val="bottom"/>
            <w:tcBorders>
              <w:bottom w:val="single" w:sz="8" w:color="CFF0FC"/>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4,904</w:t>
            </w:r>
          </w:p>
        </w:tc>
        <w:tc>
          <w:tcPr>
            <w:tcW w:w="120" w:type="dxa"/>
            <w:vAlign w:val="bottom"/>
            <w:tcBorders>
              <w:bottom w:val="single" w:sz="8" w:color="CFF0FC"/>
            </w:tcBorders>
          </w:tcPr>
          <w:p>
            <w:pPr>
              <w:spacing w:after="0"/>
              <w:rPr>
                <w:sz w:val="19"/>
                <w:szCs w:val="19"/>
                <w:color w:val="auto"/>
              </w:rPr>
            </w:pPr>
          </w:p>
        </w:tc>
        <w:tc>
          <w:tcPr>
            <w:tcW w:w="80" w:type="dxa"/>
            <w:vAlign w:val="bottom"/>
            <w:tcBorders>
              <w:bottom w:val="single" w:sz="8" w:color="CFF0FC"/>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4,144</w:t>
            </w:r>
          </w:p>
        </w:tc>
        <w:tc>
          <w:tcPr>
            <w:tcW w:w="140" w:type="dxa"/>
            <w:vAlign w:val="bottom"/>
            <w:tcBorders>
              <w:bottom w:val="single" w:sz="8" w:color="CFF0FC"/>
            </w:tcBorders>
          </w:tcPr>
          <w:p>
            <w:pPr>
              <w:spacing w:after="0"/>
              <w:rPr>
                <w:sz w:val="19"/>
                <w:szCs w:val="19"/>
                <w:color w:val="auto"/>
              </w:rPr>
            </w:pPr>
          </w:p>
        </w:tc>
        <w:tc>
          <w:tcPr>
            <w:tcW w:w="80" w:type="dxa"/>
            <w:vAlign w:val="bottom"/>
            <w:tcBorders>
              <w:bottom w:val="single" w:sz="8" w:color="CFF0FC"/>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3,256</w:t>
            </w:r>
          </w:p>
        </w:tc>
        <w:tc>
          <w:tcPr>
            <w:tcW w:w="8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20" w:type="dxa"/>
            <w:vAlign w:val="bottom"/>
          </w:tcPr>
          <w:p>
            <w:pPr>
              <w:spacing w:after="0"/>
              <w:rPr>
                <w:sz w:val="19"/>
                <w:szCs w:val="19"/>
                <w:color w:val="auto"/>
              </w:rPr>
            </w:pPr>
          </w:p>
        </w:tc>
        <w:tc>
          <w:tcPr>
            <w:tcW w:w="456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Total operating expenses</w:t>
            </w:r>
          </w:p>
        </w:tc>
        <w:tc>
          <w:tcPr>
            <w:tcW w:w="820" w:type="dxa"/>
            <w:vAlign w:val="bottom"/>
            <w:shd w:val="clear" w:color="auto" w:fill="CFF0FC"/>
          </w:tcPr>
          <w:p>
            <w:pPr>
              <w:spacing w:after="0"/>
              <w:rPr>
                <w:sz w:val="19"/>
                <w:szCs w:val="19"/>
                <w:color w:val="auto"/>
              </w:rPr>
            </w:pPr>
          </w:p>
        </w:tc>
        <w:tc>
          <w:tcPr>
            <w:tcW w:w="200" w:type="dxa"/>
            <w:vAlign w:val="bottom"/>
            <w:tcBorders>
              <w:bottom w:val="single" w:sz="8" w:color="auto"/>
            </w:tcBorders>
            <w:shd w:val="clear" w:color="auto" w:fill="CFF0FC"/>
          </w:tcPr>
          <w:p>
            <w:pPr>
              <w:spacing w:after="0"/>
              <w:rPr>
                <w:sz w:val="19"/>
                <w:szCs w:val="19"/>
                <w:color w:val="auto"/>
              </w:rPr>
            </w:pPr>
          </w:p>
        </w:tc>
        <w:tc>
          <w:tcPr>
            <w:tcW w:w="8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26,429</w:t>
            </w:r>
          </w:p>
        </w:tc>
        <w:tc>
          <w:tcPr>
            <w:tcW w:w="1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00" w:type="dxa"/>
            <w:vAlign w:val="bottom"/>
            <w:tcBorders>
              <w:bottom w:val="single" w:sz="8" w:color="auto"/>
            </w:tcBorders>
            <w:shd w:val="clear" w:color="auto" w:fill="CFF0FC"/>
          </w:tcPr>
          <w:p>
            <w:pPr>
              <w:spacing w:after="0"/>
              <w:rPr>
                <w:sz w:val="19"/>
                <w:szCs w:val="19"/>
                <w:color w:val="auto"/>
              </w:rPr>
            </w:pPr>
          </w:p>
        </w:tc>
        <w:tc>
          <w:tcPr>
            <w:tcW w:w="9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24,101</w:t>
            </w: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spacing w:after="0"/>
              <w:rPr>
                <w:sz w:val="19"/>
                <w:szCs w:val="19"/>
                <w:color w:val="auto"/>
              </w:rPr>
            </w:pPr>
          </w:p>
        </w:tc>
        <w:tc>
          <w:tcPr>
            <w:tcW w:w="8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25,242</w:t>
            </w:r>
          </w:p>
        </w:tc>
        <w:tc>
          <w:tcPr>
            <w:tcW w:w="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980" w:type="dxa"/>
            <w:vAlign w:val="bottom"/>
            <w:gridSpan w:val="3"/>
          </w:tcPr>
          <w:p>
            <w:pPr>
              <w:ind w:left="400"/>
              <w:spacing w:after="0"/>
              <w:rPr>
                <w:sz w:val="20"/>
                <w:szCs w:val="20"/>
                <w:color w:val="auto"/>
              </w:rPr>
            </w:pPr>
            <w:r>
              <w:rPr>
                <w:rFonts w:ascii="Arial" w:cs="Arial" w:eastAsia="Arial" w:hAnsi="Arial"/>
                <w:sz w:val="18"/>
                <w:szCs w:val="18"/>
                <w:color w:val="auto"/>
              </w:rPr>
              <w:t>Loss from operations</w:t>
            </w:r>
          </w:p>
        </w:tc>
        <w:tc>
          <w:tcPr>
            <w:tcW w:w="8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(17,282)</w:t>
            </w: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(18,932)</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(20,525)</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20" w:type="dxa"/>
            <w:vAlign w:val="bottom"/>
          </w:tcPr>
          <w:p>
            <w:pPr>
              <w:spacing w:after="0"/>
              <w:rPr>
                <w:sz w:val="19"/>
                <w:szCs w:val="19"/>
                <w:color w:val="auto"/>
              </w:rPr>
            </w:pPr>
          </w:p>
        </w:tc>
        <w:tc>
          <w:tcPr>
            <w:tcW w:w="456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Other income (expense), net:</w:t>
            </w:r>
          </w:p>
        </w:tc>
        <w:tc>
          <w:tcPr>
            <w:tcW w:w="8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8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9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8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20" w:type="dxa"/>
            <w:vAlign w:val="bottom"/>
          </w:tcPr>
          <w:p>
            <w:pPr>
              <w:spacing w:after="0"/>
              <w:rPr>
                <w:sz w:val="19"/>
                <w:szCs w:val="19"/>
                <w:color w:val="auto"/>
              </w:rPr>
            </w:pPr>
          </w:p>
        </w:tc>
        <w:tc>
          <w:tcPr>
            <w:tcW w:w="4560" w:type="dxa"/>
            <w:vAlign w:val="bottom"/>
            <w:gridSpan w:val="2"/>
          </w:tcPr>
          <w:p>
            <w:pPr>
              <w:ind w:left="240"/>
              <w:spacing w:after="0"/>
              <w:rPr>
                <w:sz w:val="20"/>
                <w:szCs w:val="20"/>
                <w:color w:val="auto"/>
              </w:rPr>
            </w:pPr>
            <w:r>
              <w:rPr>
                <w:rFonts w:ascii="Arial" w:cs="Arial" w:eastAsia="Arial" w:hAnsi="Arial"/>
                <w:sz w:val="18"/>
                <w:szCs w:val="18"/>
                <w:color w:val="auto"/>
              </w:rPr>
              <w:t>Interest expense</w:t>
            </w:r>
          </w:p>
        </w:tc>
        <w:tc>
          <w:tcPr>
            <w:tcW w:w="8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0" w:type="dxa"/>
            <w:vAlign w:val="bottom"/>
            <w:gridSpan w:val="2"/>
          </w:tcPr>
          <w:p>
            <w:pPr>
              <w:jc w:val="right"/>
              <w:ind w:right="80"/>
              <w:spacing w:after="0"/>
              <w:rPr>
                <w:sz w:val="20"/>
                <w:szCs w:val="20"/>
                <w:color w:val="auto"/>
              </w:rPr>
            </w:pPr>
            <w:r>
              <w:rPr>
                <w:rFonts w:ascii="Arial" w:cs="Arial" w:eastAsia="Arial" w:hAnsi="Arial"/>
                <w:sz w:val="18"/>
                <w:szCs w:val="18"/>
                <w:color w:val="auto"/>
              </w:rPr>
              <w:t>(2,027)</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20" w:type="dxa"/>
            <w:vAlign w:val="bottom"/>
            <w:gridSpan w:val="2"/>
          </w:tcPr>
          <w:p>
            <w:pPr>
              <w:jc w:val="right"/>
              <w:ind w:right="80"/>
              <w:spacing w:after="0"/>
              <w:rPr>
                <w:sz w:val="20"/>
                <w:szCs w:val="20"/>
                <w:color w:val="auto"/>
              </w:rPr>
            </w:pPr>
            <w:r>
              <w:rPr>
                <w:rFonts w:ascii="Arial" w:cs="Arial" w:eastAsia="Arial" w:hAnsi="Arial"/>
                <w:sz w:val="18"/>
                <w:szCs w:val="18"/>
                <w:color w:val="auto"/>
              </w:rPr>
              <w:t>(2,483)</w:t>
            </w: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40" w:type="dxa"/>
            <w:vAlign w:val="bottom"/>
            <w:gridSpan w:val="2"/>
          </w:tcPr>
          <w:p>
            <w:pPr>
              <w:jc w:val="right"/>
              <w:ind w:right="20"/>
              <w:spacing w:after="0"/>
              <w:rPr>
                <w:sz w:val="20"/>
                <w:szCs w:val="20"/>
                <w:color w:val="auto"/>
              </w:rPr>
            </w:pPr>
            <w:r>
              <w:rPr>
                <w:rFonts w:ascii="Arial" w:cs="Arial" w:eastAsia="Arial" w:hAnsi="Arial"/>
                <w:sz w:val="18"/>
                <w:szCs w:val="18"/>
                <w:color w:val="auto"/>
              </w:rPr>
              <w:t>(2,892)</w:t>
            </w:r>
          </w:p>
        </w:tc>
        <w:tc>
          <w:tcPr>
            <w:tcW w:w="0" w:type="dxa"/>
            <w:vAlign w:val="bottom"/>
          </w:tcPr>
          <w:p>
            <w:pPr>
              <w:spacing w:after="0"/>
              <w:rPr>
                <w:sz w:val="1"/>
                <w:szCs w:val="1"/>
                <w:color w:val="auto"/>
              </w:rPr>
            </w:pPr>
          </w:p>
        </w:tc>
      </w:tr>
      <w:tr>
        <w:trPr>
          <w:trHeight w:val="230"/>
        </w:trPr>
        <w:tc>
          <w:tcPr>
            <w:tcW w:w="420" w:type="dxa"/>
            <w:vAlign w:val="bottom"/>
          </w:tcPr>
          <w:p>
            <w:pPr>
              <w:spacing w:after="0"/>
              <w:rPr>
                <w:sz w:val="19"/>
                <w:szCs w:val="19"/>
                <w:color w:val="auto"/>
              </w:rPr>
            </w:pPr>
          </w:p>
        </w:tc>
        <w:tc>
          <w:tcPr>
            <w:tcW w:w="4560" w:type="dxa"/>
            <w:vAlign w:val="bottom"/>
            <w:gridSpan w:val="2"/>
            <w:shd w:val="clear" w:color="auto" w:fill="CFF0FC"/>
          </w:tcPr>
          <w:p>
            <w:pPr>
              <w:ind w:left="240"/>
              <w:spacing w:after="0"/>
              <w:rPr>
                <w:sz w:val="20"/>
                <w:szCs w:val="20"/>
                <w:color w:val="auto"/>
              </w:rPr>
            </w:pPr>
            <w:r>
              <w:rPr>
                <w:rFonts w:ascii="Arial" w:cs="Arial" w:eastAsia="Arial" w:hAnsi="Arial"/>
                <w:sz w:val="18"/>
                <w:szCs w:val="18"/>
                <w:color w:val="auto"/>
              </w:rPr>
              <w:t>Gain on sale of investment</w:t>
            </w:r>
          </w:p>
        </w:tc>
        <w:tc>
          <w:tcPr>
            <w:tcW w:w="8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1,851</w:t>
            </w:r>
          </w:p>
        </w:tc>
        <w:tc>
          <w:tcPr>
            <w:tcW w:w="1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12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w:t>
            </w:r>
          </w:p>
        </w:tc>
        <w:tc>
          <w:tcPr>
            <w:tcW w:w="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94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420" w:type="dxa"/>
            <w:vAlign w:val="bottom"/>
          </w:tcPr>
          <w:p>
            <w:pPr>
              <w:spacing w:after="0"/>
              <w:rPr>
                <w:sz w:val="19"/>
                <w:szCs w:val="19"/>
                <w:color w:val="auto"/>
              </w:rPr>
            </w:pPr>
          </w:p>
        </w:tc>
        <w:tc>
          <w:tcPr>
            <w:tcW w:w="4560" w:type="dxa"/>
            <w:vAlign w:val="bottom"/>
            <w:gridSpan w:val="2"/>
          </w:tcPr>
          <w:p>
            <w:pPr>
              <w:ind w:left="240"/>
              <w:spacing w:after="0"/>
              <w:rPr>
                <w:sz w:val="20"/>
                <w:szCs w:val="20"/>
                <w:color w:val="auto"/>
              </w:rPr>
            </w:pPr>
            <w:r>
              <w:rPr>
                <w:rFonts w:ascii="Arial" w:cs="Arial" w:eastAsia="Arial" w:hAnsi="Arial"/>
                <w:sz w:val="18"/>
                <w:szCs w:val="18"/>
                <w:color w:val="auto"/>
              </w:rPr>
              <w:t>Other income (expense)</w:t>
            </w:r>
          </w:p>
        </w:tc>
        <w:tc>
          <w:tcPr>
            <w:tcW w:w="8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0" w:type="dxa"/>
            <w:vAlign w:val="bottom"/>
            <w:gridSpan w:val="2"/>
          </w:tcPr>
          <w:p>
            <w:pPr>
              <w:jc w:val="right"/>
              <w:ind w:right="80"/>
              <w:spacing w:after="0"/>
              <w:rPr>
                <w:sz w:val="20"/>
                <w:szCs w:val="20"/>
                <w:color w:val="auto"/>
              </w:rPr>
            </w:pPr>
            <w:r>
              <w:rPr>
                <w:rFonts w:ascii="Arial" w:cs="Arial" w:eastAsia="Arial" w:hAnsi="Arial"/>
                <w:sz w:val="18"/>
                <w:szCs w:val="18"/>
                <w:color w:val="auto"/>
              </w:rPr>
              <w:t>(328)</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20" w:type="dxa"/>
            <w:vAlign w:val="bottom"/>
            <w:gridSpan w:val="2"/>
          </w:tcPr>
          <w:p>
            <w:pPr>
              <w:jc w:val="right"/>
              <w:ind w:right="80"/>
              <w:spacing w:after="0"/>
              <w:rPr>
                <w:sz w:val="20"/>
                <w:szCs w:val="20"/>
                <w:color w:val="auto"/>
              </w:rPr>
            </w:pPr>
            <w:r>
              <w:rPr>
                <w:rFonts w:ascii="Arial" w:cs="Arial" w:eastAsia="Arial" w:hAnsi="Arial"/>
                <w:sz w:val="18"/>
                <w:szCs w:val="18"/>
                <w:color w:val="auto"/>
              </w:rPr>
              <w:t>(431)</w:t>
            </w: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446</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20" w:type="dxa"/>
            <w:vAlign w:val="bottom"/>
          </w:tcPr>
          <w:p>
            <w:pPr>
              <w:spacing w:after="0"/>
              <w:rPr>
                <w:sz w:val="19"/>
                <w:szCs w:val="19"/>
                <w:color w:val="auto"/>
              </w:rPr>
            </w:pPr>
          </w:p>
        </w:tc>
        <w:tc>
          <w:tcPr>
            <w:tcW w:w="4560" w:type="dxa"/>
            <w:vAlign w:val="bottom"/>
            <w:tcBorders>
              <w:top w:val="single" w:sz="8" w:color="CFF0FC"/>
            </w:tcBorders>
            <w:gridSpan w:val="2"/>
            <w:shd w:val="clear" w:color="auto" w:fill="CFF0FC"/>
          </w:tcPr>
          <w:p>
            <w:pPr>
              <w:spacing w:after="0"/>
              <w:rPr>
                <w:sz w:val="20"/>
                <w:szCs w:val="20"/>
                <w:color w:val="auto"/>
              </w:rPr>
            </w:pPr>
            <w:r>
              <w:rPr>
                <w:rFonts w:ascii="Arial" w:cs="Arial" w:eastAsia="Arial" w:hAnsi="Arial"/>
                <w:sz w:val="18"/>
                <w:szCs w:val="18"/>
                <w:color w:val="auto"/>
              </w:rPr>
              <w:t>Total other income (expense), net</w:t>
            </w:r>
          </w:p>
        </w:tc>
        <w:tc>
          <w:tcPr>
            <w:tcW w:w="820" w:type="dxa"/>
            <w:vAlign w:val="bottom"/>
            <w:tcBorders>
              <w:top w:val="single" w:sz="8" w:color="CFF0FC"/>
            </w:tcBorders>
            <w:shd w:val="clear" w:color="auto" w:fill="CFF0FC"/>
          </w:tcPr>
          <w:p>
            <w:pPr>
              <w:spacing w:after="0"/>
              <w:rPr>
                <w:sz w:val="19"/>
                <w:szCs w:val="19"/>
                <w:color w:val="auto"/>
              </w:rPr>
            </w:pPr>
          </w:p>
        </w:tc>
        <w:tc>
          <w:tcPr>
            <w:tcW w:w="200" w:type="dxa"/>
            <w:vAlign w:val="bottom"/>
            <w:tcBorders>
              <w:top w:val="single" w:sz="8" w:color="auto"/>
              <w:bottom w:val="single" w:sz="8" w:color="auto"/>
            </w:tcBorders>
            <w:shd w:val="clear" w:color="auto" w:fill="CFF0FC"/>
          </w:tcPr>
          <w:p>
            <w:pPr>
              <w:spacing w:after="0"/>
              <w:rPr>
                <w:sz w:val="19"/>
                <w:szCs w:val="19"/>
                <w:color w:val="auto"/>
              </w:rPr>
            </w:pPr>
          </w:p>
        </w:tc>
        <w:tc>
          <w:tcPr>
            <w:tcW w:w="8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(504)</w:t>
            </w:r>
          </w:p>
        </w:tc>
        <w:tc>
          <w:tcPr>
            <w:tcW w:w="120" w:type="dxa"/>
            <w:vAlign w:val="bottom"/>
            <w:tcBorders>
              <w:top w:val="single" w:sz="8" w:color="CFF0FC"/>
            </w:tcBorders>
            <w:shd w:val="clear" w:color="auto" w:fill="CFF0FC"/>
          </w:tcPr>
          <w:p>
            <w:pPr>
              <w:spacing w:after="0"/>
              <w:rPr>
                <w:sz w:val="19"/>
                <w:szCs w:val="19"/>
                <w:color w:val="auto"/>
              </w:rPr>
            </w:pPr>
          </w:p>
        </w:tc>
        <w:tc>
          <w:tcPr>
            <w:tcW w:w="8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auto"/>
              <w:bottom w:val="single" w:sz="8" w:color="auto"/>
            </w:tcBorders>
            <w:shd w:val="clear" w:color="auto" w:fill="CFF0FC"/>
          </w:tcPr>
          <w:p>
            <w:pPr>
              <w:spacing w:after="0"/>
              <w:rPr>
                <w:sz w:val="19"/>
                <w:szCs w:val="19"/>
                <w:color w:val="auto"/>
              </w:rPr>
            </w:pPr>
          </w:p>
        </w:tc>
        <w:tc>
          <w:tcPr>
            <w:tcW w:w="9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(2,914)</w:t>
            </w:r>
          </w:p>
        </w:tc>
        <w:tc>
          <w:tcPr>
            <w:tcW w:w="140" w:type="dxa"/>
            <w:vAlign w:val="bottom"/>
            <w:tcBorders>
              <w:top w:val="single" w:sz="8" w:color="CFF0FC"/>
            </w:tcBorders>
            <w:shd w:val="clear" w:color="auto" w:fill="CFF0FC"/>
          </w:tcPr>
          <w:p>
            <w:pPr>
              <w:spacing w:after="0"/>
              <w:rPr>
                <w:sz w:val="19"/>
                <w:szCs w:val="19"/>
                <w:color w:val="auto"/>
              </w:rPr>
            </w:pPr>
          </w:p>
        </w:tc>
        <w:tc>
          <w:tcPr>
            <w:tcW w:w="80" w:type="dxa"/>
            <w:vAlign w:val="bottom"/>
            <w:tcBorders>
              <w:top w:val="single" w:sz="8" w:color="CFF0FC"/>
            </w:tcBorders>
            <w:shd w:val="clear" w:color="auto" w:fill="CFF0FC"/>
          </w:tcPr>
          <w:p>
            <w:pPr>
              <w:spacing w:after="0"/>
              <w:rPr>
                <w:sz w:val="19"/>
                <w:szCs w:val="19"/>
                <w:color w:val="auto"/>
              </w:rPr>
            </w:pPr>
          </w:p>
        </w:tc>
        <w:tc>
          <w:tcPr>
            <w:tcW w:w="220" w:type="dxa"/>
            <w:vAlign w:val="bottom"/>
            <w:tcBorders>
              <w:top w:val="single" w:sz="8" w:color="auto"/>
              <w:bottom w:val="single" w:sz="8" w:color="auto"/>
            </w:tcBorders>
            <w:shd w:val="clear" w:color="auto" w:fill="CFF0FC"/>
          </w:tcPr>
          <w:p>
            <w:pPr>
              <w:spacing w:after="0"/>
              <w:rPr>
                <w:sz w:val="19"/>
                <w:szCs w:val="19"/>
                <w:color w:val="auto"/>
              </w:rPr>
            </w:pPr>
          </w:p>
        </w:tc>
        <w:tc>
          <w:tcPr>
            <w:tcW w:w="8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(2,446)</w:t>
            </w:r>
          </w:p>
        </w:tc>
        <w:tc>
          <w:tcPr>
            <w:tcW w:w="8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980" w:type="dxa"/>
            <w:vAlign w:val="bottom"/>
            <w:gridSpan w:val="3"/>
          </w:tcPr>
          <w:p>
            <w:pPr>
              <w:ind w:left="400"/>
              <w:spacing w:after="0"/>
              <w:rPr>
                <w:sz w:val="20"/>
                <w:szCs w:val="20"/>
                <w:color w:val="auto"/>
              </w:rPr>
            </w:pPr>
            <w:r>
              <w:rPr>
                <w:rFonts w:ascii="Arial" w:cs="Arial" w:eastAsia="Arial" w:hAnsi="Arial"/>
                <w:sz w:val="18"/>
                <w:szCs w:val="18"/>
                <w:color w:val="auto"/>
              </w:rPr>
              <w:t>Net loss before provision for income taxes</w:t>
            </w:r>
          </w:p>
        </w:tc>
        <w:tc>
          <w:tcPr>
            <w:tcW w:w="8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(17,786)</w:t>
            </w: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(21,846)</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(22,971)</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20" w:type="dxa"/>
            <w:vAlign w:val="bottom"/>
          </w:tcPr>
          <w:p>
            <w:pPr>
              <w:spacing w:after="0"/>
              <w:rPr>
                <w:sz w:val="19"/>
                <w:szCs w:val="19"/>
                <w:color w:val="auto"/>
              </w:rPr>
            </w:pPr>
          </w:p>
        </w:tc>
        <w:tc>
          <w:tcPr>
            <w:tcW w:w="456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Provision for income taxes</w:t>
            </w:r>
          </w:p>
        </w:tc>
        <w:tc>
          <w:tcPr>
            <w:tcW w:w="8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56</w:t>
            </w:r>
          </w:p>
        </w:tc>
        <w:tc>
          <w:tcPr>
            <w:tcW w:w="1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12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w:t>
            </w:r>
          </w:p>
        </w:tc>
        <w:tc>
          <w:tcPr>
            <w:tcW w:w="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94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63"/>
        </w:trPr>
        <w:tc>
          <w:tcPr>
            <w:tcW w:w="4980" w:type="dxa"/>
            <w:vAlign w:val="bottom"/>
            <w:gridSpan w:val="3"/>
          </w:tcPr>
          <w:p>
            <w:pPr>
              <w:ind w:left="400"/>
              <w:spacing w:after="0"/>
              <w:rPr>
                <w:sz w:val="20"/>
                <w:szCs w:val="20"/>
                <w:color w:val="auto"/>
              </w:rPr>
            </w:pPr>
            <w:r>
              <w:rPr>
                <w:rFonts w:ascii="Arial" w:cs="Arial" w:eastAsia="Arial" w:hAnsi="Arial"/>
                <w:sz w:val="18"/>
                <w:szCs w:val="18"/>
                <w:color w:val="auto"/>
              </w:rPr>
              <w:t>Net loss</w:t>
            </w:r>
          </w:p>
        </w:tc>
        <w:tc>
          <w:tcPr>
            <w:tcW w:w="820" w:type="dxa"/>
            <w:vAlign w:val="bottom"/>
          </w:tcPr>
          <w:p>
            <w:pPr>
              <w:spacing w:after="0"/>
              <w:rPr>
                <w:sz w:val="22"/>
                <w:szCs w:val="22"/>
                <w:color w:val="auto"/>
              </w:rPr>
            </w:pPr>
          </w:p>
        </w:tc>
        <w:tc>
          <w:tcPr>
            <w:tcW w:w="200" w:type="dxa"/>
            <w:vAlign w:val="bottom"/>
            <w:tcBorders>
              <w:top w:val="single" w:sz="8" w:color="auto"/>
              <w:bottom w:val="single" w:sz="8" w:color="auto"/>
            </w:tcBorders>
          </w:tcPr>
          <w:p>
            <w:pPr>
              <w:jc w:val="right"/>
              <w:ind w:right="45"/>
              <w:spacing w:after="0"/>
              <w:rPr>
                <w:sz w:val="20"/>
                <w:szCs w:val="20"/>
                <w:color w:val="auto"/>
              </w:rPr>
            </w:pPr>
            <w:r>
              <w:rPr>
                <w:rFonts w:ascii="Arial" w:cs="Arial" w:eastAsia="Arial" w:hAnsi="Arial"/>
                <w:sz w:val="15"/>
                <w:szCs w:val="15"/>
                <w:color w:val="auto"/>
                <w:w w:val="71"/>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(17,842)</w:t>
            </w:r>
          </w:p>
        </w:tc>
        <w:tc>
          <w:tcPr>
            <w:tcW w:w="1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(21,846)</w:t>
            </w:r>
          </w:p>
        </w:tc>
        <w:tc>
          <w:tcPr>
            <w:tcW w:w="1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20" w:type="dxa"/>
            <w:vAlign w:val="bottom"/>
            <w:tcBorders>
              <w:top w:val="single" w:sz="8" w:color="auto"/>
              <w:bottom w:val="single" w:sz="8" w:color="auto"/>
            </w:tcBorders>
          </w:tcPr>
          <w:p>
            <w:pPr>
              <w:jc w:val="right"/>
              <w:ind w:right="65"/>
              <w:spacing w:after="0"/>
              <w:rPr>
                <w:sz w:val="20"/>
                <w:szCs w:val="20"/>
                <w:color w:val="auto"/>
              </w:rPr>
            </w:pPr>
            <w:r>
              <w:rPr>
                <w:rFonts w:ascii="Arial" w:cs="Arial" w:eastAsia="Arial" w:hAnsi="Arial"/>
                <w:sz w:val="15"/>
                <w:szCs w:val="15"/>
                <w:color w:val="auto"/>
                <w:w w:val="71"/>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(22,971)</w:t>
            </w:r>
          </w:p>
        </w:tc>
        <w:tc>
          <w:tcPr>
            <w:tcW w:w="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10"/>
        </w:trPr>
        <w:tc>
          <w:tcPr>
            <w:tcW w:w="420" w:type="dxa"/>
            <w:vAlign w:val="bottom"/>
          </w:tcPr>
          <w:p>
            <w:pPr>
              <w:spacing w:after="0"/>
              <w:rPr>
                <w:sz w:val="18"/>
                <w:szCs w:val="18"/>
                <w:color w:val="auto"/>
              </w:rPr>
            </w:pPr>
          </w:p>
        </w:tc>
        <w:tc>
          <w:tcPr>
            <w:tcW w:w="4560" w:type="dxa"/>
            <w:vAlign w:val="bottom"/>
            <w:tcBorders>
              <w:top w:val="single" w:sz="8" w:color="CFF0FC"/>
              <w:bottom w:val="single" w:sz="8" w:color="CFF0FC"/>
            </w:tcBorders>
            <w:gridSpan w:val="2"/>
            <w:shd w:val="clear" w:color="auto" w:fill="CFF0FC"/>
          </w:tcPr>
          <w:p>
            <w:pPr>
              <w:spacing w:after="0"/>
              <w:rPr>
                <w:sz w:val="20"/>
                <w:szCs w:val="20"/>
                <w:color w:val="auto"/>
              </w:rPr>
            </w:pPr>
            <w:r>
              <w:rPr>
                <w:rFonts w:ascii="Arial" w:cs="Arial" w:eastAsia="Arial" w:hAnsi="Arial"/>
                <w:sz w:val="18"/>
                <w:szCs w:val="18"/>
                <w:color w:val="auto"/>
              </w:rPr>
              <w:t>Net loss per share, basic and diluted</w:t>
            </w:r>
            <w:r>
              <w:rPr>
                <w:rFonts w:ascii="Arial" w:cs="Arial" w:eastAsia="Arial" w:hAnsi="Arial"/>
                <w:sz w:val="15"/>
                <w:szCs w:val="15"/>
                <w:color w:val="auto"/>
              </w:rPr>
              <w:t>(2)</w:t>
            </w:r>
          </w:p>
        </w:tc>
        <w:tc>
          <w:tcPr>
            <w:tcW w:w="820" w:type="dxa"/>
            <w:vAlign w:val="bottom"/>
            <w:tcBorders>
              <w:top w:val="single" w:sz="8" w:color="CFF0FC"/>
              <w:bottom w:val="single" w:sz="8" w:color="CFF0FC"/>
            </w:tcBorders>
            <w:shd w:val="clear" w:color="auto" w:fill="CFF0FC"/>
          </w:tcPr>
          <w:p>
            <w:pPr>
              <w:spacing w:after="0"/>
              <w:rPr>
                <w:sz w:val="18"/>
                <w:szCs w:val="18"/>
                <w:color w:val="auto"/>
              </w:rPr>
            </w:pPr>
          </w:p>
        </w:tc>
        <w:tc>
          <w:tcPr>
            <w:tcW w:w="200" w:type="dxa"/>
            <w:vAlign w:val="bottom"/>
            <w:tcBorders>
              <w:top w:val="single" w:sz="8" w:color="auto"/>
              <w:bottom w:val="single" w:sz="8" w:color="auto"/>
            </w:tcBorders>
            <w:shd w:val="clear" w:color="auto" w:fill="CFF0FC"/>
          </w:tcPr>
          <w:p>
            <w:pPr>
              <w:jc w:val="right"/>
              <w:ind w:right="45"/>
              <w:spacing w:after="0"/>
              <w:rPr>
                <w:sz w:val="20"/>
                <w:szCs w:val="20"/>
                <w:color w:val="auto"/>
              </w:rPr>
            </w:pPr>
            <w:r>
              <w:rPr>
                <w:rFonts w:ascii="Arial" w:cs="Arial" w:eastAsia="Arial" w:hAnsi="Arial"/>
                <w:sz w:val="15"/>
                <w:szCs w:val="15"/>
                <w:color w:val="auto"/>
                <w:w w:val="71"/>
              </w:rPr>
              <w:t>$</w:t>
            </w:r>
          </w:p>
        </w:tc>
        <w:tc>
          <w:tcPr>
            <w:tcW w:w="8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(2.42)</w:t>
            </w:r>
          </w:p>
        </w:tc>
        <w:tc>
          <w:tcPr>
            <w:tcW w:w="120" w:type="dxa"/>
            <w:vAlign w:val="bottom"/>
            <w:tcBorders>
              <w:top w:val="single" w:sz="8" w:color="CFF0FC"/>
              <w:bottom w:val="single" w:sz="8" w:color="CFF0FC"/>
            </w:tcBorders>
            <w:shd w:val="clear" w:color="auto" w:fill="CFF0FC"/>
          </w:tcPr>
          <w:p>
            <w:pPr>
              <w:spacing w:after="0"/>
              <w:rPr>
                <w:sz w:val="18"/>
                <w:szCs w:val="18"/>
                <w:color w:val="auto"/>
              </w:rPr>
            </w:pPr>
          </w:p>
        </w:tc>
        <w:tc>
          <w:tcPr>
            <w:tcW w:w="80" w:type="dxa"/>
            <w:vAlign w:val="bottom"/>
            <w:tcBorders>
              <w:top w:val="single" w:sz="8" w:color="CFF0FC"/>
              <w:bottom w:val="single" w:sz="8" w:color="CFF0FC"/>
            </w:tcBorders>
            <w:shd w:val="clear" w:color="auto" w:fill="CFF0FC"/>
          </w:tcPr>
          <w:p>
            <w:pPr>
              <w:spacing w:after="0"/>
              <w:rPr>
                <w:sz w:val="18"/>
                <w:szCs w:val="18"/>
                <w:color w:val="auto"/>
              </w:rPr>
            </w:pPr>
          </w:p>
        </w:tc>
        <w:tc>
          <w:tcPr>
            <w:tcW w:w="1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(13.54)</w:t>
            </w:r>
          </w:p>
        </w:tc>
        <w:tc>
          <w:tcPr>
            <w:tcW w:w="140" w:type="dxa"/>
            <w:vAlign w:val="bottom"/>
            <w:tcBorders>
              <w:top w:val="single" w:sz="8" w:color="CFF0FC"/>
              <w:bottom w:val="single" w:sz="8" w:color="CFF0FC"/>
            </w:tcBorders>
            <w:shd w:val="clear" w:color="auto" w:fill="CFF0FC"/>
          </w:tcPr>
          <w:p>
            <w:pPr>
              <w:spacing w:after="0"/>
              <w:rPr>
                <w:sz w:val="18"/>
                <w:szCs w:val="18"/>
                <w:color w:val="auto"/>
              </w:rPr>
            </w:pPr>
          </w:p>
        </w:tc>
        <w:tc>
          <w:tcPr>
            <w:tcW w:w="80" w:type="dxa"/>
            <w:vAlign w:val="bottom"/>
            <w:tcBorders>
              <w:top w:val="single" w:sz="8" w:color="CFF0FC"/>
              <w:bottom w:val="single" w:sz="8" w:color="CFF0FC"/>
            </w:tcBorders>
            <w:shd w:val="clear" w:color="auto" w:fill="CFF0FC"/>
          </w:tcPr>
          <w:p>
            <w:pPr>
              <w:spacing w:after="0"/>
              <w:rPr>
                <w:sz w:val="18"/>
                <w:szCs w:val="18"/>
                <w:color w:val="auto"/>
              </w:rPr>
            </w:pPr>
          </w:p>
        </w:tc>
        <w:tc>
          <w:tcPr>
            <w:tcW w:w="220" w:type="dxa"/>
            <w:vAlign w:val="bottom"/>
            <w:tcBorders>
              <w:top w:val="single" w:sz="8" w:color="auto"/>
              <w:bottom w:val="single" w:sz="8" w:color="auto"/>
            </w:tcBorders>
            <w:shd w:val="clear" w:color="auto" w:fill="CFF0FC"/>
          </w:tcPr>
          <w:p>
            <w:pPr>
              <w:jc w:val="right"/>
              <w:ind w:right="65"/>
              <w:spacing w:after="0"/>
              <w:rPr>
                <w:sz w:val="20"/>
                <w:szCs w:val="20"/>
                <w:color w:val="auto"/>
              </w:rPr>
            </w:pPr>
            <w:r>
              <w:rPr>
                <w:rFonts w:ascii="Arial" w:cs="Arial" w:eastAsia="Arial" w:hAnsi="Arial"/>
                <w:sz w:val="15"/>
                <w:szCs w:val="15"/>
                <w:color w:val="auto"/>
                <w:w w:val="71"/>
              </w:rPr>
              <w:t>$</w:t>
            </w:r>
          </w:p>
        </w:tc>
        <w:tc>
          <w:tcPr>
            <w:tcW w:w="8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(14.70)</w:t>
            </w:r>
          </w:p>
        </w:tc>
        <w:tc>
          <w:tcPr>
            <w:tcW w:w="80" w:type="dxa"/>
            <w:vAlign w:val="bottom"/>
            <w:tcBorders>
              <w:top w:val="single" w:sz="8" w:color="CFF0FC"/>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980" w:type="dxa"/>
            <w:vAlign w:val="bottom"/>
            <w:gridSpan w:val="3"/>
            <w:vMerge w:val="restart"/>
          </w:tcPr>
          <w:p>
            <w:pPr>
              <w:ind w:left="400"/>
              <w:spacing w:after="0"/>
              <w:rPr>
                <w:sz w:val="20"/>
                <w:szCs w:val="20"/>
                <w:color w:val="auto"/>
              </w:rPr>
            </w:pPr>
            <w:r>
              <w:rPr>
                <w:rFonts w:ascii="Arial" w:cs="Arial" w:eastAsia="Arial" w:hAnsi="Arial"/>
                <w:sz w:val="18"/>
                <w:szCs w:val="18"/>
                <w:color w:val="auto"/>
              </w:rPr>
              <w:t>Weighted-average shares used in computing net loss</w:t>
            </w:r>
          </w:p>
        </w:tc>
        <w:tc>
          <w:tcPr>
            <w:tcW w:w="8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4980" w:type="dxa"/>
            <w:vAlign w:val="bottom"/>
            <w:gridSpan w:val="3"/>
            <w:vMerge w:val="continue"/>
          </w:tcPr>
          <w:p>
            <w:pPr>
              <w:spacing w:after="0"/>
              <w:rPr>
                <w:sz w:val="17"/>
                <w:szCs w:val="17"/>
                <w:color w:val="auto"/>
              </w:rPr>
            </w:pPr>
          </w:p>
        </w:tc>
        <w:tc>
          <w:tcPr>
            <w:tcW w:w="8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420" w:type="dxa"/>
            <w:vAlign w:val="bottom"/>
          </w:tcPr>
          <w:p>
            <w:pPr>
              <w:spacing w:after="0"/>
              <w:rPr>
                <w:sz w:val="20"/>
                <w:szCs w:val="20"/>
                <w:color w:val="auto"/>
              </w:rPr>
            </w:pPr>
          </w:p>
        </w:tc>
        <w:tc>
          <w:tcPr>
            <w:tcW w:w="4560" w:type="dxa"/>
            <w:vAlign w:val="bottom"/>
            <w:gridSpan w:val="2"/>
          </w:tcPr>
          <w:p>
            <w:pPr>
              <w:ind w:left="120"/>
              <w:spacing w:after="0"/>
              <w:rPr>
                <w:sz w:val="20"/>
                <w:szCs w:val="20"/>
                <w:color w:val="auto"/>
              </w:rPr>
            </w:pPr>
            <w:r>
              <w:rPr>
                <w:rFonts w:ascii="Arial" w:cs="Arial" w:eastAsia="Arial" w:hAnsi="Arial"/>
                <w:sz w:val="18"/>
                <w:szCs w:val="18"/>
                <w:color w:val="auto"/>
              </w:rPr>
              <w:t>per share, basic and diluted</w:t>
            </w:r>
          </w:p>
        </w:tc>
        <w:tc>
          <w:tcPr>
            <w:tcW w:w="82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7,382,715</w:t>
            </w: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1,612,933</w:t>
            </w: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1,562,829</w:t>
            </w: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1900" w:type="dxa"/>
            <w:vAlign w:val="bottom"/>
            <w:gridSpan w:val="2"/>
          </w:tcPr>
          <w:p>
            <w:pPr>
              <w:spacing w:after="0" w:line="20" w:lineRule="exact"/>
              <w:rPr>
                <w:sz w:val="1"/>
                <w:szCs w:val="1"/>
                <w:color w:val="auto"/>
              </w:rPr>
            </w:pPr>
          </w:p>
        </w:tc>
        <w:tc>
          <w:tcPr>
            <w:tcW w:w="308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2"/>
        </w:trPr>
        <w:tc>
          <w:tcPr>
            <w:tcW w:w="420" w:type="dxa"/>
            <w:vAlign w:val="bottom"/>
          </w:tcPr>
          <w:p>
            <w:pPr>
              <w:spacing w:after="0"/>
              <w:rPr>
                <w:sz w:val="8"/>
                <w:szCs w:val="8"/>
                <w:color w:val="auto"/>
              </w:rPr>
            </w:pPr>
          </w:p>
        </w:tc>
        <w:tc>
          <w:tcPr>
            <w:tcW w:w="1480" w:type="dxa"/>
            <w:vAlign w:val="bottom"/>
            <w:tcBorders>
              <w:bottom w:val="single" w:sz="8" w:color="auto"/>
            </w:tcBorders>
          </w:tcPr>
          <w:p>
            <w:pPr>
              <w:spacing w:after="0"/>
              <w:rPr>
                <w:sz w:val="8"/>
                <w:szCs w:val="8"/>
                <w:color w:val="auto"/>
              </w:rPr>
            </w:pPr>
          </w:p>
        </w:tc>
        <w:tc>
          <w:tcPr>
            <w:tcW w:w="3080" w:type="dxa"/>
            <w:vAlign w:val="bottom"/>
          </w:tcPr>
          <w:p>
            <w:pPr>
              <w:spacing w:after="0"/>
              <w:rPr>
                <w:sz w:val="8"/>
                <w:szCs w:val="8"/>
                <w:color w:val="auto"/>
              </w:rPr>
            </w:pPr>
          </w:p>
        </w:tc>
        <w:tc>
          <w:tcPr>
            <w:tcW w:w="820" w:type="dxa"/>
            <w:vAlign w:val="bottom"/>
          </w:tcPr>
          <w:p>
            <w:pPr>
              <w:spacing w:after="0"/>
              <w:rPr>
                <w:sz w:val="8"/>
                <w:szCs w:val="8"/>
                <w:color w:val="auto"/>
              </w:rPr>
            </w:pPr>
          </w:p>
        </w:tc>
        <w:tc>
          <w:tcPr>
            <w:tcW w:w="200" w:type="dxa"/>
            <w:vAlign w:val="bottom"/>
          </w:tcPr>
          <w:p>
            <w:pPr>
              <w:spacing w:after="0"/>
              <w:rPr>
                <w:sz w:val="8"/>
                <w:szCs w:val="8"/>
                <w:color w:val="auto"/>
              </w:rPr>
            </w:pPr>
          </w:p>
        </w:tc>
        <w:tc>
          <w:tcPr>
            <w:tcW w:w="880" w:type="dxa"/>
            <w:vAlign w:val="bottom"/>
          </w:tcPr>
          <w:p>
            <w:pPr>
              <w:spacing w:after="0"/>
              <w:rPr>
                <w:sz w:val="8"/>
                <w:szCs w:val="8"/>
                <w:color w:val="auto"/>
              </w:rPr>
            </w:pPr>
          </w:p>
        </w:tc>
        <w:tc>
          <w:tcPr>
            <w:tcW w:w="120" w:type="dxa"/>
            <w:vAlign w:val="bottom"/>
          </w:tcPr>
          <w:p>
            <w:pPr>
              <w:spacing w:after="0"/>
              <w:rPr>
                <w:sz w:val="8"/>
                <w:szCs w:val="8"/>
                <w:color w:val="auto"/>
              </w:rPr>
            </w:pPr>
          </w:p>
        </w:tc>
        <w:tc>
          <w:tcPr>
            <w:tcW w:w="80" w:type="dxa"/>
            <w:vAlign w:val="bottom"/>
          </w:tcPr>
          <w:p>
            <w:pPr>
              <w:spacing w:after="0"/>
              <w:rPr>
                <w:sz w:val="8"/>
                <w:szCs w:val="8"/>
                <w:color w:val="auto"/>
              </w:rPr>
            </w:pPr>
          </w:p>
        </w:tc>
        <w:tc>
          <w:tcPr>
            <w:tcW w:w="100" w:type="dxa"/>
            <w:vAlign w:val="bottom"/>
          </w:tcPr>
          <w:p>
            <w:pPr>
              <w:spacing w:after="0"/>
              <w:rPr>
                <w:sz w:val="8"/>
                <w:szCs w:val="8"/>
                <w:color w:val="auto"/>
              </w:rPr>
            </w:pPr>
          </w:p>
        </w:tc>
        <w:tc>
          <w:tcPr>
            <w:tcW w:w="980" w:type="dxa"/>
            <w:vAlign w:val="bottom"/>
          </w:tcPr>
          <w:p>
            <w:pPr>
              <w:spacing w:after="0"/>
              <w:rPr>
                <w:sz w:val="8"/>
                <w:szCs w:val="8"/>
                <w:color w:val="auto"/>
              </w:rPr>
            </w:pPr>
          </w:p>
        </w:tc>
        <w:tc>
          <w:tcPr>
            <w:tcW w:w="140" w:type="dxa"/>
            <w:vAlign w:val="bottom"/>
          </w:tcPr>
          <w:p>
            <w:pPr>
              <w:spacing w:after="0"/>
              <w:rPr>
                <w:sz w:val="8"/>
                <w:szCs w:val="8"/>
                <w:color w:val="auto"/>
              </w:rPr>
            </w:pPr>
          </w:p>
        </w:tc>
        <w:tc>
          <w:tcPr>
            <w:tcW w:w="80" w:type="dxa"/>
            <w:vAlign w:val="bottom"/>
          </w:tcPr>
          <w:p>
            <w:pPr>
              <w:spacing w:after="0"/>
              <w:rPr>
                <w:sz w:val="8"/>
                <w:szCs w:val="8"/>
                <w:color w:val="auto"/>
              </w:rPr>
            </w:pPr>
          </w:p>
        </w:tc>
        <w:tc>
          <w:tcPr>
            <w:tcW w:w="220" w:type="dxa"/>
            <w:vAlign w:val="bottom"/>
          </w:tcPr>
          <w:p>
            <w:pPr>
              <w:spacing w:after="0"/>
              <w:rPr>
                <w:sz w:val="8"/>
                <w:szCs w:val="8"/>
                <w:color w:val="auto"/>
              </w:rPr>
            </w:pPr>
          </w:p>
        </w:tc>
        <w:tc>
          <w:tcPr>
            <w:tcW w:w="860" w:type="dxa"/>
            <w:vAlign w:val="bottom"/>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64"/>
        </w:trPr>
        <w:tc>
          <w:tcPr>
            <w:tcW w:w="4980" w:type="dxa"/>
            <w:vAlign w:val="bottom"/>
            <w:gridSpan w:val="3"/>
          </w:tcPr>
          <w:p>
            <w:pPr>
              <w:spacing w:after="0"/>
              <w:rPr>
                <w:sz w:val="20"/>
                <w:szCs w:val="20"/>
                <w:color w:val="auto"/>
              </w:rPr>
            </w:pPr>
            <w:r>
              <w:rPr>
                <w:rFonts w:ascii="Arial" w:cs="Arial" w:eastAsia="Arial" w:hAnsi="Arial"/>
                <w:sz w:val="18"/>
                <w:szCs w:val="18"/>
                <w:color w:val="auto"/>
              </w:rPr>
              <w:t>(1)   Includes the following stock-based compensation:</w:t>
            </w:r>
          </w:p>
        </w:tc>
        <w:tc>
          <w:tcPr>
            <w:tcW w:w="8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419"/>
        </w:trPr>
        <w:tc>
          <w:tcPr>
            <w:tcW w:w="42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30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2600" w:type="dxa"/>
            <w:vAlign w:val="bottom"/>
            <w:tcBorders>
              <w:bottom w:val="single" w:sz="8" w:color="auto"/>
            </w:tcBorders>
            <w:gridSpan w:val="8"/>
          </w:tcPr>
          <w:p>
            <w:pPr>
              <w:jc w:val="center"/>
              <w:ind w:left="553"/>
              <w:spacing w:after="0"/>
              <w:rPr>
                <w:sz w:val="20"/>
                <w:szCs w:val="20"/>
                <w:color w:val="auto"/>
              </w:rPr>
            </w:pPr>
            <w:r>
              <w:rPr>
                <w:rFonts w:ascii="Arial" w:cs="Arial" w:eastAsia="Arial" w:hAnsi="Arial"/>
                <w:sz w:val="14"/>
                <w:szCs w:val="14"/>
                <w:b w:val="1"/>
                <w:bCs w:val="1"/>
                <w:color w:val="auto"/>
                <w:w w:val="91"/>
              </w:rPr>
              <w:t>Years Ended, December 31,</w:t>
            </w:r>
          </w:p>
        </w:tc>
        <w:tc>
          <w:tcPr>
            <w:tcW w:w="860" w:type="dxa"/>
            <w:vAlign w:val="bottom"/>
            <w:tcBorders>
              <w:bottom w:val="single" w:sz="8" w:color="auto"/>
            </w:tcBorders>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56"/>
        </w:trPr>
        <w:tc>
          <w:tcPr>
            <w:tcW w:w="420" w:type="dxa"/>
            <w:vAlign w:val="bottom"/>
          </w:tcPr>
          <w:p>
            <w:pPr>
              <w:spacing w:after="0"/>
              <w:rPr>
                <w:sz w:val="13"/>
                <w:szCs w:val="13"/>
                <w:color w:val="auto"/>
              </w:rPr>
            </w:pPr>
          </w:p>
        </w:tc>
        <w:tc>
          <w:tcPr>
            <w:tcW w:w="1480" w:type="dxa"/>
            <w:vAlign w:val="bottom"/>
          </w:tcPr>
          <w:p>
            <w:pPr>
              <w:spacing w:after="0"/>
              <w:rPr>
                <w:sz w:val="13"/>
                <w:szCs w:val="13"/>
                <w:color w:val="auto"/>
              </w:rPr>
            </w:pPr>
          </w:p>
        </w:tc>
        <w:tc>
          <w:tcPr>
            <w:tcW w:w="308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880" w:type="dxa"/>
            <w:vAlign w:val="bottom"/>
            <w:tcBorders>
              <w:bottom w:val="single" w:sz="8" w:color="auto"/>
            </w:tcBorders>
          </w:tcPr>
          <w:p>
            <w:pPr>
              <w:jc w:val="right"/>
              <w:ind w:right="333"/>
              <w:spacing w:after="0" w:line="155" w:lineRule="exact"/>
              <w:rPr>
                <w:sz w:val="20"/>
                <w:szCs w:val="20"/>
                <w:color w:val="auto"/>
              </w:rPr>
            </w:pPr>
            <w:r>
              <w:rPr>
                <w:rFonts w:ascii="Arial" w:cs="Arial" w:eastAsia="Arial" w:hAnsi="Arial"/>
                <w:sz w:val="14"/>
                <w:szCs w:val="14"/>
                <w:b w:val="1"/>
                <w:bCs w:val="1"/>
                <w:color w:val="auto"/>
              </w:rPr>
              <w:t>2017</w:t>
            </w:r>
          </w:p>
        </w:tc>
        <w:tc>
          <w:tcPr>
            <w:tcW w:w="12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980" w:type="dxa"/>
            <w:vAlign w:val="bottom"/>
            <w:tcBorders>
              <w:bottom w:val="single" w:sz="8" w:color="auto"/>
            </w:tcBorders>
          </w:tcPr>
          <w:p>
            <w:pPr>
              <w:jc w:val="center"/>
              <w:ind w:right="13"/>
              <w:spacing w:after="0" w:line="155" w:lineRule="exact"/>
              <w:rPr>
                <w:sz w:val="20"/>
                <w:szCs w:val="20"/>
                <w:color w:val="auto"/>
              </w:rPr>
            </w:pPr>
            <w:r>
              <w:rPr>
                <w:rFonts w:ascii="Arial" w:cs="Arial" w:eastAsia="Arial" w:hAnsi="Arial"/>
                <w:sz w:val="14"/>
                <w:szCs w:val="14"/>
                <w:b w:val="1"/>
                <w:bCs w:val="1"/>
                <w:color w:val="auto"/>
                <w:w w:val="89"/>
              </w:rPr>
              <w:t>2016</w:t>
            </w:r>
          </w:p>
        </w:tc>
        <w:tc>
          <w:tcPr>
            <w:tcW w:w="14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860" w:type="dxa"/>
            <w:vAlign w:val="bottom"/>
            <w:tcBorders>
              <w:bottom w:val="single" w:sz="8" w:color="auto"/>
            </w:tcBorders>
          </w:tcPr>
          <w:p>
            <w:pPr>
              <w:jc w:val="right"/>
              <w:ind w:right="311"/>
              <w:spacing w:after="0" w:line="155" w:lineRule="exact"/>
              <w:rPr>
                <w:sz w:val="20"/>
                <w:szCs w:val="20"/>
                <w:color w:val="auto"/>
              </w:rPr>
            </w:pPr>
            <w:r>
              <w:rPr>
                <w:rFonts w:ascii="Arial" w:cs="Arial" w:eastAsia="Arial" w:hAnsi="Arial"/>
                <w:sz w:val="14"/>
                <w:szCs w:val="14"/>
                <w:b w:val="1"/>
                <w:bCs w:val="1"/>
                <w:color w:val="auto"/>
              </w:rPr>
              <w:t>2015</w:t>
            </w: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420" w:type="dxa"/>
            <w:vAlign w:val="bottom"/>
          </w:tcPr>
          <w:p>
            <w:pPr>
              <w:spacing w:after="0"/>
              <w:rPr>
                <w:sz w:val="13"/>
                <w:szCs w:val="13"/>
                <w:color w:val="auto"/>
              </w:rPr>
            </w:pPr>
          </w:p>
        </w:tc>
        <w:tc>
          <w:tcPr>
            <w:tcW w:w="1480" w:type="dxa"/>
            <w:vAlign w:val="bottom"/>
          </w:tcPr>
          <w:p>
            <w:pPr>
              <w:spacing w:after="0"/>
              <w:rPr>
                <w:sz w:val="13"/>
                <w:szCs w:val="13"/>
                <w:color w:val="auto"/>
              </w:rPr>
            </w:pPr>
          </w:p>
        </w:tc>
        <w:tc>
          <w:tcPr>
            <w:tcW w:w="308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20" w:type="dxa"/>
            <w:vAlign w:val="bottom"/>
            <w:gridSpan w:val="2"/>
          </w:tcPr>
          <w:p>
            <w:pPr>
              <w:jc w:val="center"/>
              <w:ind w:right="240"/>
              <w:spacing w:after="0" w:line="155" w:lineRule="exact"/>
              <w:rPr>
                <w:sz w:val="20"/>
                <w:szCs w:val="20"/>
                <w:color w:val="auto"/>
              </w:rPr>
            </w:pPr>
            <w:r>
              <w:rPr>
                <w:rFonts w:ascii="Arial" w:cs="Arial" w:eastAsia="Arial" w:hAnsi="Arial"/>
                <w:sz w:val="14"/>
                <w:szCs w:val="14"/>
                <w:b w:val="1"/>
                <w:bCs w:val="1"/>
                <w:color w:val="auto"/>
                <w:w w:val="91"/>
              </w:rPr>
              <w:t>(in thousands)</w:t>
            </w:r>
          </w:p>
        </w:tc>
        <w:tc>
          <w:tcPr>
            <w:tcW w:w="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30"/>
        </w:trPr>
        <w:tc>
          <w:tcPr>
            <w:tcW w:w="420" w:type="dxa"/>
            <w:vAlign w:val="bottom"/>
          </w:tcPr>
          <w:p>
            <w:pPr>
              <w:spacing w:after="0"/>
              <w:rPr>
                <w:sz w:val="19"/>
                <w:szCs w:val="19"/>
                <w:color w:val="auto"/>
              </w:rPr>
            </w:pPr>
          </w:p>
        </w:tc>
        <w:tc>
          <w:tcPr>
            <w:tcW w:w="456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Cost of revenue</w:t>
            </w:r>
          </w:p>
        </w:tc>
        <w:tc>
          <w:tcPr>
            <w:tcW w:w="1020" w:type="dxa"/>
            <w:vAlign w:val="bottom"/>
            <w:gridSpan w:val="2"/>
            <w:shd w:val="clear" w:color="auto" w:fill="CFF0FC"/>
          </w:tcPr>
          <w:p>
            <w:pPr>
              <w:jc w:val="right"/>
              <w:ind w:right="45"/>
              <w:spacing w:after="0"/>
              <w:rPr>
                <w:sz w:val="20"/>
                <w:szCs w:val="20"/>
                <w:color w:val="auto"/>
              </w:rPr>
            </w:pPr>
            <w:r>
              <w:rPr>
                <w:rFonts w:ascii="Arial" w:cs="Arial" w:eastAsia="Arial" w:hAnsi="Arial"/>
                <w:sz w:val="18"/>
                <w:szCs w:val="18"/>
                <w:color w:val="auto"/>
              </w:rPr>
              <w:t>$</w:t>
            </w: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w:t>
            </w:r>
          </w:p>
        </w:tc>
        <w:tc>
          <w:tcPr>
            <w:tcW w:w="120" w:type="dxa"/>
            <w:vAlign w:val="bottom"/>
            <w:shd w:val="clear" w:color="auto" w:fill="CFF0FC"/>
          </w:tcPr>
          <w:p>
            <w:pPr>
              <w:spacing w:after="0"/>
              <w:rPr>
                <w:sz w:val="19"/>
                <w:szCs w:val="19"/>
                <w:color w:val="auto"/>
              </w:rPr>
            </w:pPr>
          </w:p>
        </w:tc>
        <w:tc>
          <w:tcPr>
            <w:tcW w:w="18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w:t>
            </w:r>
          </w:p>
        </w:tc>
        <w:tc>
          <w:tcPr>
            <w:tcW w:w="140" w:type="dxa"/>
            <w:vAlign w:val="bottom"/>
            <w:shd w:val="clear" w:color="auto" w:fill="CFF0FC"/>
          </w:tcPr>
          <w:p>
            <w:pPr>
              <w:spacing w:after="0"/>
              <w:rPr>
                <w:sz w:val="19"/>
                <w:szCs w:val="19"/>
                <w:color w:val="auto"/>
              </w:rPr>
            </w:pPr>
          </w:p>
        </w:tc>
        <w:tc>
          <w:tcPr>
            <w:tcW w:w="300" w:type="dxa"/>
            <w:vAlign w:val="bottom"/>
            <w:gridSpan w:val="2"/>
            <w:shd w:val="clear" w:color="auto" w:fill="CFF0FC"/>
          </w:tcPr>
          <w:p>
            <w:pPr>
              <w:jc w:val="right"/>
              <w:ind w:right="65"/>
              <w:spacing w:after="0"/>
              <w:rPr>
                <w:sz w:val="20"/>
                <w:szCs w:val="20"/>
                <w:color w:val="auto"/>
              </w:rPr>
            </w:pPr>
            <w:r>
              <w:rPr>
                <w:rFonts w:ascii="Arial" w:cs="Arial" w:eastAsia="Arial" w:hAnsi="Arial"/>
                <w:sz w:val="18"/>
                <w:szCs w:val="18"/>
                <w:color w:val="auto"/>
              </w:rPr>
              <w:t>$</w:t>
            </w: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w:t>
            </w:r>
          </w:p>
        </w:tc>
        <w:tc>
          <w:tcPr>
            <w:tcW w:w="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20" w:type="dxa"/>
            <w:vAlign w:val="bottom"/>
          </w:tcPr>
          <w:p>
            <w:pPr>
              <w:spacing w:after="0"/>
              <w:rPr>
                <w:sz w:val="19"/>
                <w:szCs w:val="19"/>
                <w:color w:val="auto"/>
              </w:rPr>
            </w:pPr>
          </w:p>
        </w:tc>
        <w:tc>
          <w:tcPr>
            <w:tcW w:w="4560" w:type="dxa"/>
            <w:vAlign w:val="bottom"/>
            <w:gridSpan w:val="2"/>
          </w:tcPr>
          <w:p>
            <w:pPr>
              <w:spacing w:after="0"/>
              <w:rPr>
                <w:sz w:val="20"/>
                <w:szCs w:val="20"/>
                <w:color w:val="auto"/>
              </w:rPr>
            </w:pPr>
            <w:r>
              <w:rPr>
                <w:rFonts w:ascii="Arial" w:cs="Arial" w:eastAsia="Arial" w:hAnsi="Arial"/>
                <w:sz w:val="18"/>
                <w:szCs w:val="18"/>
                <w:color w:val="auto"/>
              </w:rPr>
              <w:t>Research and development</w:t>
            </w:r>
          </w:p>
        </w:tc>
        <w:tc>
          <w:tcPr>
            <w:tcW w:w="8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101</w:t>
            </w: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102</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116</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20" w:type="dxa"/>
            <w:vAlign w:val="bottom"/>
          </w:tcPr>
          <w:p>
            <w:pPr>
              <w:spacing w:after="0"/>
              <w:rPr>
                <w:sz w:val="19"/>
                <w:szCs w:val="19"/>
                <w:color w:val="auto"/>
              </w:rPr>
            </w:pPr>
          </w:p>
        </w:tc>
        <w:tc>
          <w:tcPr>
            <w:tcW w:w="456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Sales and marketing</w:t>
            </w:r>
          </w:p>
        </w:tc>
        <w:tc>
          <w:tcPr>
            <w:tcW w:w="8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74</w:t>
            </w:r>
          </w:p>
        </w:tc>
        <w:tc>
          <w:tcPr>
            <w:tcW w:w="1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85</w:t>
            </w: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140</w:t>
            </w:r>
          </w:p>
        </w:tc>
        <w:tc>
          <w:tcPr>
            <w:tcW w:w="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20" w:type="dxa"/>
            <w:vAlign w:val="bottom"/>
          </w:tcPr>
          <w:p>
            <w:pPr>
              <w:spacing w:after="0"/>
              <w:rPr>
                <w:sz w:val="19"/>
                <w:szCs w:val="19"/>
                <w:color w:val="auto"/>
              </w:rPr>
            </w:pPr>
          </w:p>
        </w:tc>
        <w:tc>
          <w:tcPr>
            <w:tcW w:w="4560" w:type="dxa"/>
            <w:vAlign w:val="bottom"/>
            <w:tcBorders>
              <w:bottom w:val="single" w:sz="8" w:color="CFF0FC"/>
            </w:tcBorders>
            <w:gridSpan w:val="2"/>
          </w:tcPr>
          <w:p>
            <w:pPr>
              <w:spacing w:after="0"/>
              <w:rPr>
                <w:sz w:val="20"/>
                <w:szCs w:val="20"/>
                <w:color w:val="auto"/>
              </w:rPr>
            </w:pPr>
            <w:r>
              <w:rPr>
                <w:rFonts w:ascii="Arial" w:cs="Arial" w:eastAsia="Arial" w:hAnsi="Arial"/>
                <w:sz w:val="18"/>
                <w:szCs w:val="18"/>
                <w:color w:val="auto"/>
              </w:rPr>
              <w:t>General and administrative</w:t>
            </w:r>
          </w:p>
        </w:tc>
        <w:tc>
          <w:tcPr>
            <w:tcW w:w="820" w:type="dxa"/>
            <w:vAlign w:val="bottom"/>
            <w:tcBorders>
              <w:bottom w:val="single" w:sz="8" w:color="CFF0FC"/>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280</w:t>
            </w:r>
          </w:p>
        </w:tc>
        <w:tc>
          <w:tcPr>
            <w:tcW w:w="120" w:type="dxa"/>
            <w:vAlign w:val="bottom"/>
            <w:tcBorders>
              <w:bottom w:val="single" w:sz="8" w:color="CFF0FC"/>
            </w:tcBorders>
          </w:tcPr>
          <w:p>
            <w:pPr>
              <w:spacing w:after="0"/>
              <w:rPr>
                <w:sz w:val="19"/>
                <w:szCs w:val="19"/>
                <w:color w:val="auto"/>
              </w:rPr>
            </w:pPr>
          </w:p>
        </w:tc>
        <w:tc>
          <w:tcPr>
            <w:tcW w:w="80" w:type="dxa"/>
            <w:vAlign w:val="bottom"/>
            <w:tcBorders>
              <w:bottom w:val="single" w:sz="8" w:color="CFF0FC"/>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267</w:t>
            </w:r>
          </w:p>
        </w:tc>
        <w:tc>
          <w:tcPr>
            <w:tcW w:w="140" w:type="dxa"/>
            <w:vAlign w:val="bottom"/>
            <w:tcBorders>
              <w:bottom w:val="single" w:sz="8" w:color="CFF0FC"/>
            </w:tcBorders>
          </w:tcPr>
          <w:p>
            <w:pPr>
              <w:spacing w:after="0"/>
              <w:rPr>
                <w:sz w:val="19"/>
                <w:szCs w:val="19"/>
                <w:color w:val="auto"/>
              </w:rPr>
            </w:pPr>
          </w:p>
        </w:tc>
        <w:tc>
          <w:tcPr>
            <w:tcW w:w="80" w:type="dxa"/>
            <w:vAlign w:val="bottom"/>
            <w:tcBorders>
              <w:bottom w:val="single" w:sz="8" w:color="CFF0FC"/>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161</w:t>
            </w:r>
          </w:p>
        </w:tc>
        <w:tc>
          <w:tcPr>
            <w:tcW w:w="8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20" w:type="dxa"/>
            <w:vAlign w:val="bottom"/>
          </w:tcPr>
          <w:p>
            <w:pPr>
              <w:spacing w:after="0"/>
              <w:rPr>
                <w:sz w:val="19"/>
                <w:szCs w:val="19"/>
                <w:color w:val="auto"/>
              </w:rPr>
            </w:pPr>
          </w:p>
        </w:tc>
        <w:tc>
          <w:tcPr>
            <w:tcW w:w="4560" w:type="dxa"/>
            <w:vAlign w:val="bottom"/>
            <w:tcBorders>
              <w:bottom w:val="single" w:sz="8" w:color="CFF0FC"/>
            </w:tcBorders>
            <w:gridSpan w:val="2"/>
            <w:shd w:val="clear" w:color="auto" w:fill="CFF0FC"/>
          </w:tcPr>
          <w:p>
            <w:pPr>
              <w:ind w:left="240"/>
              <w:spacing w:after="0"/>
              <w:rPr>
                <w:sz w:val="20"/>
                <w:szCs w:val="20"/>
                <w:color w:val="auto"/>
              </w:rPr>
            </w:pPr>
            <w:r>
              <w:rPr>
                <w:rFonts w:ascii="Arial" w:cs="Arial" w:eastAsia="Arial" w:hAnsi="Arial"/>
                <w:sz w:val="18"/>
                <w:szCs w:val="18"/>
                <w:color w:val="auto"/>
              </w:rPr>
              <w:t>Total stock-based compensation</w:t>
            </w:r>
          </w:p>
        </w:tc>
        <w:tc>
          <w:tcPr>
            <w:tcW w:w="820" w:type="dxa"/>
            <w:vAlign w:val="bottom"/>
            <w:tcBorders>
              <w:bottom w:val="single" w:sz="8" w:color="CFF0FC"/>
            </w:tcBorders>
            <w:shd w:val="clear" w:color="auto" w:fill="CFF0FC"/>
          </w:tcPr>
          <w:p>
            <w:pPr>
              <w:spacing w:after="0"/>
              <w:rPr>
                <w:sz w:val="19"/>
                <w:szCs w:val="19"/>
                <w:color w:val="auto"/>
              </w:rPr>
            </w:pPr>
          </w:p>
        </w:tc>
        <w:tc>
          <w:tcPr>
            <w:tcW w:w="200" w:type="dxa"/>
            <w:vAlign w:val="bottom"/>
            <w:tcBorders>
              <w:bottom w:val="single" w:sz="8" w:color="auto"/>
            </w:tcBorders>
            <w:shd w:val="clear" w:color="auto" w:fill="CFF0FC"/>
          </w:tcPr>
          <w:p>
            <w:pPr>
              <w:jc w:val="right"/>
              <w:ind w:right="45"/>
              <w:spacing w:after="0"/>
              <w:rPr>
                <w:sz w:val="20"/>
                <w:szCs w:val="20"/>
                <w:color w:val="auto"/>
              </w:rPr>
            </w:pPr>
            <w:r>
              <w:rPr>
                <w:rFonts w:ascii="Arial" w:cs="Arial" w:eastAsia="Arial" w:hAnsi="Arial"/>
                <w:sz w:val="15"/>
                <w:szCs w:val="15"/>
                <w:color w:val="auto"/>
                <w:w w:val="71"/>
              </w:rPr>
              <w:t>$</w:t>
            </w:r>
          </w:p>
        </w:tc>
        <w:tc>
          <w:tcPr>
            <w:tcW w:w="8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465</w:t>
            </w:r>
          </w:p>
        </w:tc>
        <w:tc>
          <w:tcPr>
            <w:tcW w:w="120" w:type="dxa"/>
            <w:vAlign w:val="bottom"/>
            <w:tcBorders>
              <w:bottom w:val="single" w:sz="8" w:color="CFF0FC"/>
            </w:tcBorders>
            <w:shd w:val="clear" w:color="auto" w:fill="CFF0FC"/>
          </w:tcPr>
          <w:p>
            <w:pPr>
              <w:spacing w:after="0"/>
              <w:rPr>
                <w:sz w:val="19"/>
                <w:szCs w:val="19"/>
                <w:color w:val="auto"/>
              </w:rPr>
            </w:pPr>
          </w:p>
        </w:tc>
        <w:tc>
          <w:tcPr>
            <w:tcW w:w="80" w:type="dxa"/>
            <w:vAlign w:val="bottom"/>
            <w:tcBorders>
              <w:bottom w:val="single" w:sz="8" w:color="CFF0FC"/>
            </w:tcBorders>
            <w:shd w:val="clear" w:color="auto" w:fill="CFF0FC"/>
          </w:tcPr>
          <w:p>
            <w:pPr>
              <w:spacing w:after="0"/>
              <w:rPr>
                <w:sz w:val="19"/>
                <w:szCs w:val="19"/>
                <w:color w:val="auto"/>
              </w:rPr>
            </w:pPr>
          </w:p>
        </w:tc>
        <w:tc>
          <w:tcPr>
            <w:tcW w:w="1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466</w:t>
            </w:r>
          </w:p>
        </w:tc>
        <w:tc>
          <w:tcPr>
            <w:tcW w:w="140" w:type="dxa"/>
            <w:vAlign w:val="bottom"/>
            <w:tcBorders>
              <w:bottom w:val="single" w:sz="8" w:color="CFF0FC"/>
            </w:tcBorders>
            <w:shd w:val="clear" w:color="auto" w:fill="CFF0FC"/>
          </w:tcPr>
          <w:p>
            <w:pPr>
              <w:spacing w:after="0"/>
              <w:rPr>
                <w:sz w:val="19"/>
                <w:szCs w:val="19"/>
                <w:color w:val="auto"/>
              </w:rPr>
            </w:pPr>
          </w:p>
        </w:tc>
        <w:tc>
          <w:tcPr>
            <w:tcW w:w="80" w:type="dxa"/>
            <w:vAlign w:val="bottom"/>
            <w:tcBorders>
              <w:bottom w:val="single" w:sz="8" w:color="CFF0FC"/>
            </w:tcBorders>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jc w:val="right"/>
              <w:ind w:right="65"/>
              <w:spacing w:after="0"/>
              <w:rPr>
                <w:sz w:val="20"/>
                <w:szCs w:val="20"/>
                <w:color w:val="auto"/>
              </w:rPr>
            </w:pPr>
            <w:r>
              <w:rPr>
                <w:rFonts w:ascii="Arial" w:cs="Arial" w:eastAsia="Arial" w:hAnsi="Arial"/>
                <w:sz w:val="15"/>
                <w:szCs w:val="15"/>
                <w:color w:val="auto"/>
                <w:w w:val="71"/>
              </w:rPr>
              <w:t>$</w:t>
            </w:r>
          </w:p>
        </w:tc>
        <w:tc>
          <w:tcPr>
            <w:tcW w:w="8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429</w:t>
            </w:r>
          </w:p>
        </w:tc>
        <w:tc>
          <w:tcPr>
            <w:tcW w:w="80" w:type="dxa"/>
            <w:vAlign w:val="bottom"/>
            <w:tcBorders>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2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308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88" w:lineRule="exact"/>
        <w:rPr>
          <w:sz w:val="20"/>
          <w:szCs w:val="20"/>
          <w:color w:val="auto"/>
        </w:rPr>
      </w:pPr>
    </w:p>
    <w:p>
      <w:pPr>
        <w:ind w:left="1160" w:right="40" w:hanging="423"/>
        <w:spacing w:after="0" w:line="257" w:lineRule="auto"/>
        <w:tabs>
          <w:tab w:leader="none" w:pos="1160" w:val="left"/>
        </w:tabs>
        <w:numPr>
          <w:ilvl w:val="0"/>
          <w:numId w:val="46"/>
        </w:numPr>
        <w:rPr>
          <w:rFonts w:ascii="Arial" w:cs="Arial" w:eastAsia="Arial" w:hAnsi="Arial"/>
          <w:sz w:val="18"/>
          <w:szCs w:val="18"/>
          <w:color w:val="auto"/>
        </w:rPr>
      </w:pPr>
      <w:r>
        <w:rPr>
          <w:rFonts w:ascii="Arial" w:cs="Arial" w:eastAsia="Arial" w:hAnsi="Arial"/>
          <w:sz w:val="18"/>
          <w:szCs w:val="18"/>
          <w:color w:val="auto"/>
        </w:rPr>
        <w:t>Basic and diluted net loss per share is computed based on the weighted-average number of shares of common stock outstanding during each period. On September 15, 2017, the Company effected a 1-for-10 reverse stock split (i) every 10 shares of outstanding common stock were combined into one share of common stock, (ii) the number of shares of common stock for which each outstanding option to purchase common stock is exercisable was proportionately decreased on a 1-for-10 basis, (iii) the exercise price of each outstanding option to purchase common stock was proportionally increased on a l-</w:t>
      </w:r>
    </w:p>
    <w:p>
      <w:pPr>
        <w:spacing w:after="0" w:line="200" w:lineRule="exact"/>
        <w:rPr>
          <w:sz w:val="20"/>
          <w:szCs w:val="20"/>
          <w:color w:val="auto"/>
        </w:rPr>
      </w:pPr>
    </w:p>
    <w:p>
      <w:pPr>
        <w:spacing w:after="0" w:line="23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486" w:right="259" w:bottom="1440" w:gutter="0" w:footer="0" w:header="0"/>
        </w:sectPr>
      </w:pPr>
    </w:p>
    <w:bookmarkStart w:id="59" w:name="page60"/>
    <w:bookmarkEnd w:id="59"/>
    <w:p>
      <w:pPr>
        <w:ind w:left="1160" w:right="200"/>
        <w:spacing w:after="0" w:line="312" w:lineRule="auto"/>
        <w:rPr>
          <w:sz w:val="20"/>
          <w:szCs w:val="20"/>
          <w:color w:val="auto"/>
        </w:rPr>
      </w:pPr>
      <w:r>
        <w:rPr>
          <w:rFonts w:ascii="Arial" w:cs="Arial" w:eastAsia="Arial" w:hAnsi="Arial"/>
          <w:sz w:val="16"/>
          <w:szCs w:val="16"/>
          <w:color w:val="auto"/>
        </w:rPr>
        <w:t>for-10 basis, and (iv) the conversion ratio for each share of outstanding preferred stock which is convertible into our common stock was proportionately reduced on a 1-for-10 basis. All share and per share data in this table has been adjusted to reflect the reverse stock split. For additional information, see Notes 1 and 3 to our consolidated financial statements included elsewhere in this Annual Report on Form 10-K.</w:t>
      </w:r>
    </w:p>
    <w:p>
      <w:pPr>
        <w:spacing w:after="0" w:line="192" w:lineRule="exact"/>
        <w:rPr>
          <w:sz w:val="20"/>
          <w:szCs w:val="20"/>
          <w:color w:val="auto"/>
        </w:rPr>
      </w:pPr>
    </w:p>
    <w:tbl>
      <w:tblPr>
        <w:tblLayout w:type="fixed"/>
        <w:tblInd w:w="114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402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120" w:type="dxa"/>
            <w:vAlign w:val="bottom"/>
            <w:tcBorders>
              <w:bottom w:val="single" w:sz="8" w:color="auto"/>
            </w:tcBorders>
          </w:tcPr>
          <w:p>
            <w:pPr>
              <w:jc w:val="center"/>
              <w:ind w:right="154"/>
              <w:spacing w:after="0"/>
              <w:rPr>
                <w:sz w:val="20"/>
                <w:szCs w:val="20"/>
                <w:color w:val="auto"/>
              </w:rPr>
            </w:pPr>
            <w:r>
              <w:rPr>
                <w:rFonts w:ascii="Arial" w:cs="Arial" w:eastAsia="Arial" w:hAnsi="Arial"/>
                <w:sz w:val="14"/>
                <w:szCs w:val="14"/>
                <w:b w:val="1"/>
                <w:bCs w:val="1"/>
                <w:color w:val="auto"/>
                <w:w w:val="92"/>
              </w:rPr>
              <w:t>December 31,</w:t>
            </w:r>
          </w:p>
        </w:tc>
        <w:tc>
          <w:tcPr>
            <w:tcW w:w="32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spacing w:after="0"/>
              <w:rPr>
                <w:sz w:val="14"/>
                <w:szCs w:val="14"/>
                <w:color w:val="auto"/>
              </w:rPr>
            </w:pPr>
          </w:p>
        </w:tc>
        <w:tc>
          <w:tcPr>
            <w:tcW w:w="80" w:type="dxa"/>
            <w:vAlign w:val="bottom"/>
          </w:tcPr>
          <w:p>
            <w:pPr>
              <w:spacing w:after="0"/>
              <w:rPr>
                <w:sz w:val="14"/>
                <w:szCs w:val="14"/>
                <w:color w:val="auto"/>
              </w:rPr>
            </w:pPr>
          </w:p>
        </w:tc>
      </w:tr>
      <w:tr>
        <w:trPr>
          <w:trHeight w:val="156"/>
        </w:trPr>
        <w:tc>
          <w:tcPr>
            <w:tcW w:w="20" w:type="dxa"/>
            <w:vAlign w:val="bottom"/>
          </w:tcPr>
          <w:p>
            <w:pPr>
              <w:spacing w:after="0"/>
              <w:rPr>
                <w:sz w:val="13"/>
                <w:szCs w:val="13"/>
                <w:color w:val="auto"/>
              </w:rPr>
            </w:pPr>
          </w:p>
        </w:tc>
        <w:tc>
          <w:tcPr>
            <w:tcW w:w="4020" w:type="dxa"/>
            <w:vAlign w:val="bottom"/>
          </w:tcPr>
          <w:p>
            <w:pPr>
              <w:spacing w:after="0"/>
              <w:rPr>
                <w:sz w:val="13"/>
                <w:szCs w:val="13"/>
                <w:color w:val="auto"/>
              </w:rPr>
            </w:pPr>
          </w:p>
        </w:tc>
        <w:tc>
          <w:tcPr>
            <w:tcW w:w="1360" w:type="dxa"/>
            <w:vAlign w:val="bottom"/>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980" w:type="dxa"/>
            <w:vAlign w:val="bottom"/>
            <w:tcBorders>
              <w:bottom w:val="single" w:sz="8" w:color="auto"/>
            </w:tcBorders>
          </w:tcPr>
          <w:p>
            <w:pPr>
              <w:jc w:val="right"/>
              <w:ind w:right="452"/>
              <w:spacing w:after="0" w:line="155" w:lineRule="exact"/>
              <w:rPr>
                <w:sz w:val="20"/>
                <w:szCs w:val="20"/>
                <w:color w:val="auto"/>
              </w:rPr>
            </w:pPr>
            <w:r>
              <w:rPr>
                <w:rFonts w:ascii="Arial" w:cs="Arial" w:eastAsia="Arial" w:hAnsi="Arial"/>
                <w:sz w:val="14"/>
                <w:szCs w:val="14"/>
                <w:b w:val="1"/>
                <w:bCs w:val="1"/>
                <w:color w:val="auto"/>
              </w:rPr>
              <w:t>2017</w:t>
            </w:r>
          </w:p>
        </w:tc>
        <w:tc>
          <w:tcPr>
            <w:tcW w:w="180" w:type="dxa"/>
            <w:vAlign w:val="bottom"/>
            <w:tcBorders>
              <w:bottom w:val="single" w:sz="8" w:color="auto"/>
            </w:tcBorders>
          </w:tcPr>
          <w:p>
            <w:pPr>
              <w:spacing w:after="0"/>
              <w:rPr>
                <w:sz w:val="13"/>
                <w:szCs w:val="13"/>
                <w:color w:val="auto"/>
              </w:rPr>
            </w:pPr>
          </w:p>
        </w:tc>
        <w:tc>
          <w:tcPr>
            <w:tcW w:w="1120" w:type="dxa"/>
            <w:vAlign w:val="bottom"/>
            <w:tcBorders>
              <w:bottom w:val="single" w:sz="8" w:color="auto"/>
            </w:tcBorders>
          </w:tcPr>
          <w:p>
            <w:pPr>
              <w:jc w:val="center"/>
              <w:ind w:right="154"/>
              <w:spacing w:after="0" w:line="155" w:lineRule="exact"/>
              <w:rPr>
                <w:sz w:val="20"/>
                <w:szCs w:val="20"/>
                <w:color w:val="auto"/>
              </w:rPr>
            </w:pPr>
            <w:r>
              <w:rPr>
                <w:rFonts w:ascii="Arial" w:cs="Arial" w:eastAsia="Arial" w:hAnsi="Arial"/>
                <w:sz w:val="14"/>
                <w:szCs w:val="14"/>
                <w:b w:val="1"/>
                <w:bCs w:val="1"/>
                <w:color w:val="auto"/>
                <w:w w:val="89"/>
              </w:rPr>
              <w:t>2016</w:t>
            </w:r>
          </w:p>
        </w:tc>
        <w:tc>
          <w:tcPr>
            <w:tcW w:w="320" w:type="dxa"/>
            <w:vAlign w:val="bottom"/>
            <w:tcBorders>
              <w:bottom w:val="single" w:sz="8" w:color="auto"/>
            </w:tcBorders>
          </w:tcPr>
          <w:p>
            <w:pPr>
              <w:spacing w:after="0"/>
              <w:rPr>
                <w:sz w:val="13"/>
                <w:szCs w:val="13"/>
                <w:color w:val="auto"/>
              </w:rPr>
            </w:pPr>
          </w:p>
        </w:tc>
        <w:tc>
          <w:tcPr>
            <w:tcW w:w="840" w:type="dxa"/>
            <w:vAlign w:val="bottom"/>
            <w:tcBorders>
              <w:bottom w:val="single" w:sz="8" w:color="auto"/>
            </w:tcBorders>
          </w:tcPr>
          <w:p>
            <w:pPr>
              <w:jc w:val="right"/>
              <w:ind w:right="312"/>
              <w:spacing w:after="0" w:line="155" w:lineRule="exact"/>
              <w:rPr>
                <w:sz w:val="20"/>
                <w:szCs w:val="20"/>
                <w:color w:val="auto"/>
              </w:rPr>
            </w:pPr>
            <w:r>
              <w:rPr>
                <w:rFonts w:ascii="Arial" w:cs="Arial" w:eastAsia="Arial" w:hAnsi="Arial"/>
                <w:sz w:val="14"/>
                <w:szCs w:val="14"/>
                <w:b w:val="1"/>
                <w:bCs w:val="1"/>
                <w:color w:val="auto"/>
              </w:rPr>
              <w:t>2015</w:t>
            </w:r>
          </w:p>
        </w:tc>
        <w:tc>
          <w:tcPr>
            <w:tcW w:w="80" w:type="dxa"/>
            <w:vAlign w:val="bottom"/>
          </w:tcPr>
          <w:p>
            <w:pPr>
              <w:spacing w:after="0"/>
              <w:rPr>
                <w:sz w:val="13"/>
                <w:szCs w:val="13"/>
                <w:color w:val="auto"/>
              </w:rPr>
            </w:pPr>
          </w:p>
        </w:tc>
      </w:tr>
      <w:tr>
        <w:trPr>
          <w:trHeight w:val="156"/>
        </w:trPr>
        <w:tc>
          <w:tcPr>
            <w:tcW w:w="20" w:type="dxa"/>
            <w:vAlign w:val="bottom"/>
          </w:tcPr>
          <w:p>
            <w:pPr>
              <w:spacing w:after="0"/>
              <w:rPr>
                <w:sz w:val="13"/>
                <w:szCs w:val="13"/>
                <w:color w:val="auto"/>
              </w:rPr>
            </w:pPr>
          </w:p>
        </w:tc>
        <w:tc>
          <w:tcPr>
            <w:tcW w:w="4020" w:type="dxa"/>
            <w:vAlign w:val="bottom"/>
          </w:tcPr>
          <w:p>
            <w:pPr>
              <w:spacing w:after="0"/>
              <w:rPr>
                <w:sz w:val="13"/>
                <w:szCs w:val="13"/>
                <w:color w:val="auto"/>
              </w:rPr>
            </w:pPr>
          </w:p>
        </w:tc>
        <w:tc>
          <w:tcPr>
            <w:tcW w:w="13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120" w:type="dxa"/>
            <w:vAlign w:val="bottom"/>
          </w:tcPr>
          <w:p>
            <w:pPr>
              <w:jc w:val="center"/>
              <w:ind w:right="154"/>
              <w:spacing w:after="0" w:line="155" w:lineRule="exact"/>
              <w:rPr>
                <w:sz w:val="20"/>
                <w:szCs w:val="20"/>
                <w:color w:val="auto"/>
              </w:rPr>
            </w:pPr>
            <w:r>
              <w:rPr>
                <w:rFonts w:ascii="Arial" w:cs="Arial" w:eastAsia="Arial" w:hAnsi="Arial"/>
                <w:sz w:val="14"/>
                <w:szCs w:val="14"/>
                <w:b w:val="1"/>
                <w:bCs w:val="1"/>
                <w:color w:val="auto"/>
                <w:w w:val="91"/>
              </w:rPr>
              <w:t>(in thousands)</w:t>
            </w:r>
          </w:p>
        </w:tc>
        <w:tc>
          <w:tcPr>
            <w:tcW w:w="32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80" w:type="dxa"/>
            <w:vAlign w:val="bottom"/>
          </w:tcPr>
          <w:p>
            <w:pPr>
              <w:spacing w:after="0"/>
              <w:rPr>
                <w:sz w:val="13"/>
                <w:szCs w:val="13"/>
                <w:color w:val="auto"/>
              </w:rPr>
            </w:pPr>
          </w:p>
        </w:tc>
      </w:tr>
      <w:tr>
        <w:trPr>
          <w:trHeight w:val="230"/>
        </w:trPr>
        <w:tc>
          <w:tcPr>
            <w:tcW w:w="20" w:type="dxa"/>
            <w:vAlign w:val="bottom"/>
          </w:tcPr>
          <w:p>
            <w:pPr>
              <w:spacing w:after="0"/>
              <w:rPr>
                <w:sz w:val="19"/>
                <w:szCs w:val="19"/>
                <w:color w:val="auto"/>
              </w:rPr>
            </w:pPr>
          </w:p>
        </w:tc>
        <w:tc>
          <w:tcPr>
            <w:tcW w:w="402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Consolidated Balance Sheets Data:</w:t>
            </w:r>
          </w:p>
        </w:tc>
        <w:tc>
          <w:tcPr>
            <w:tcW w:w="136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98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12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8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r>
      <w:tr>
        <w:trPr>
          <w:trHeight w:val="230"/>
        </w:trPr>
        <w:tc>
          <w:tcPr>
            <w:tcW w:w="20" w:type="dxa"/>
            <w:vAlign w:val="bottom"/>
          </w:tcPr>
          <w:p>
            <w:pPr>
              <w:spacing w:after="0"/>
              <w:rPr>
                <w:sz w:val="19"/>
                <w:szCs w:val="19"/>
                <w:color w:val="auto"/>
              </w:rPr>
            </w:pPr>
          </w:p>
        </w:tc>
        <w:tc>
          <w:tcPr>
            <w:tcW w:w="4020" w:type="dxa"/>
            <w:vAlign w:val="bottom"/>
          </w:tcPr>
          <w:p>
            <w:pPr>
              <w:spacing w:after="0"/>
              <w:rPr>
                <w:sz w:val="20"/>
                <w:szCs w:val="20"/>
                <w:color w:val="auto"/>
              </w:rPr>
            </w:pPr>
            <w:r>
              <w:rPr>
                <w:rFonts w:ascii="Arial" w:cs="Arial" w:eastAsia="Arial" w:hAnsi="Arial"/>
                <w:sz w:val="18"/>
                <w:szCs w:val="18"/>
                <w:color w:val="auto"/>
              </w:rPr>
              <w:t>Cash and cash equivalents</w:t>
            </w:r>
          </w:p>
        </w:tc>
        <w:tc>
          <w:tcPr>
            <w:tcW w:w="158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980" w:type="dxa"/>
            <w:vAlign w:val="bottom"/>
          </w:tcPr>
          <w:p>
            <w:pPr>
              <w:jc w:val="right"/>
              <w:ind w:right="52"/>
              <w:spacing w:after="0"/>
              <w:rPr>
                <w:sz w:val="20"/>
                <w:szCs w:val="20"/>
                <w:color w:val="auto"/>
              </w:rPr>
            </w:pPr>
            <w:r>
              <w:rPr>
                <w:rFonts w:ascii="Arial" w:cs="Arial" w:eastAsia="Arial" w:hAnsi="Arial"/>
                <w:sz w:val="18"/>
                <w:szCs w:val="18"/>
                <w:color w:val="auto"/>
              </w:rPr>
              <w:t>23,545</w:t>
            </w:r>
          </w:p>
        </w:tc>
        <w:tc>
          <w:tcPr>
            <w:tcW w:w="180" w:type="dxa"/>
            <w:vAlign w:val="bottom"/>
          </w:tcPr>
          <w:p>
            <w:pPr>
              <w:jc w:val="right"/>
              <w:spacing w:after="0"/>
              <w:rPr>
                <w:sz w:val="20"/>
                <w:szCs w:val="20"/>
                <w:color w:val="auto"/>
              </w:rPr>
            </w:pPr>
            <w:r>
              <w:rPr>
                <w:rFonts w:ascii="Arial" w:cs="Arial" w:eastAsia="Arial" w:hAnsi="Arial"/>
                <w:sz w:val="18"/>
                <w:szCs w:val="18"/>
                <w:color w:val="auto"/>
              </w:rPr>
              <w:t>$</w:t>
            </w:r>
          </w:p>
        </w:tc>
        <w:tc>
          <w:tcPr>
            <w:tcW w:w="1120" w:type="dxa"/>
            <w:vAlign w:val="bottom"/>
          </w:tcPr>
          <w:p>
            <w:pPr>
              <w:jc w:val="right"/>
              <w:ind w:right="74"/>
              <w:spacing w:after="0"/>
              <w:rPr>
                <w:sz w:val="20"/>
                <w:szCs w:val="20"/>
                <w:color w:val="auto"/>
              </w:rPr>
            </w:pPr>
            <w:r>
              <w:rPr>
                <w:rFonts w:ascii="Arial" w:cs="Arial" w:eastAsia="Arial" w:hAnsi="Arial"/>
                <w:sz w:val="18"/>
                <w:szCs w:val="18"/>
                <w:color w:val="auto"/>
              </w:rPr>
              <w:t>11,906</w:t>
            </w:r>
          </w:p>
        </w:tc>
        <w:tc>
          <w:tcPr>
            <w:tcW w:w="32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17,127</w:t>
            </w:r>
          </w:p>
        </w:tc>
        <w:tc>
          <w:tcPr>
            <w:tcW w:w="80" w:type="dxa"/>
            <w:vAlign w:val="bottom"/>
          </w:tcPr>
          <w:p>
            <w:pPr>
              <w:spacing w:after="0"/>
              <w:rPr>
                <w:sz w:val="19"/>
                <w:szCs w:val="19"/>
                <w:color w:val="auto"/>
              </w:rPr>
            </w:pPr>
          </w:p>
        </w:tc>
      </w:tr>
      <w:tr>
        <w:trPr>
          <w:trHeight w:val="230"/>
        </w:trPr>
        <w:tc>
          <w:tcPr>
            <w:tcW w:w="20" w:type="dxa"/>
            <w:vAlign w:val="bottom"/>
          </w:tcPr>
          <w:p>
            <w:pPr>
              <w:spacing w:after="0"/>
              <w:rPr>
                <w:sz w:val="19"/>
                <w:szCs w:val="19"/>
                <w:color w:val="auto"/>
              </w:rPr>
            </w:pPr>
          </w:p>
        </w:tc>
        <w:tc>
          <w:tcPr>
            <w:tcW w:w="4020" w:type="dxa"/>
            <w:vAlign w:val="bottom"/>
            <w:shd w:val="clear" w:color="auto" w:fill="CFF0FC"/>
          </w:tcPr>
          <w:p>
            <w:pPr>
              <w:spacing w:after="0"/>
              <w:rPr>
                <w:sz w:val="20"/>
                <w:szCs w:val="20"/>
                <w:color w:val="auto"/>
              </w:rPr>
            </w:pPr>
            <w:r>
              <w:rPr>
                <w:rFonts w:ascii="Arial" w:cs="Arial" w:eastAsia="Arial" w:hAnsi="Arial"/>
                <w:sz w:val="18"/>
                <w:szCs w:val="18"/>
                <w:color w:val="auto"/>
              </w:rPr>
              <w:t>Working capital</w:t>
            </w:r>
          </w:p>
        </w:tc>
        <w:tc>
          <w:tcPr>
            <w:tcW w:w="136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980" w:type="dxa"/>
            <w:vAlign w:val="bottom"/>
            <w:shd w:val="clear" w:color="auto" w:fill="CFF0FC"/>
          </w:tcPr>
          <w:p>
            <w:pPr>
              <w:jc w:val="right"/>
              <w:ind w:right="52"/>
              <w:spacing w:after="0"/>
              <w:rPr>
                <w:sz w:val="20"/>
                <w:szCs w:val="20"/>
                <w:color w:val="auto"/>
              </w:rPr>
            </w:pPr>
            <w:r>
              <w:rPr>
                <w:rFonts w:ascii="Arial" w:cs="Arial" w:eastAsia="Arial" w:hAnsi="Arial"/>
                <w:sz w:val="18"/>
                <w:szCs w:val="18"/>
                <w:color w:val="auto"/>
              </w:rPr>
              <w:t>17,686</w:t>
            </w:r>
          </w:p>
        </w:tc>
        <w:tc>
          <w:tcPr>
            <w:tcW w:w="180" w:type="dxa"/>
            <w:vAlign w:val="bottom"/>
            <w:shd w:val="clear" w:color="auto" w:fill="CFF0FC"/>
          </w:tcPr>
          <w:p>
            <w:pPr>
              <w:spacing w:after="0"/>
              <w:rPr>
                <w:sz w:val="19"/>
                <w:szCs w:val="19"/>
                <w:color w:val="auto"/>
              </w:rPr>
            </w:pPr>
          </w:p>
        </w:tc>
        <w:tc>
          <w:tcPr>
            <w:tcW w:w="1120" w:type="dxa"/>
            <w:vAlign w:val="bottom"/>
            <w:shd w:val="clear" w:color="auto" w:fill="CFF0FC"/>
          </w:tcPr>
          <w:p>
            <w:pPr>
              <w:jc w:val="right"/>
              <w:ind w:right="74"/>
              <w:spacing w:after="0"/>
              <w:rPr>
                <w:sz w:val="20"/>
                <w:szCs w:val="20"/>
                <w:color w:val="auto"/>
              </w:rPr>
            </w:pPr>
            <w:r>
              <w:rPr>
                <w:rFonts w:ascii="Arial" w:cs="Arial" w:eastAsia="Arial" w:hAnsi="Arial"/>
                <w:sz w:val="18"/>
                <w:szCs w:val="18"/>
                <w:color w:val="auto"/>
              </w:rPr>
              <w:t>4,889</w:t>
            </w:r>
          </w:p>
        </w:tc>
        <w:tc>
          <w:tcPr>
            <w:tcW w:w="320" w:type="dxa"/>
            <w:vAlign w:val="bottom"/>
            <w:shd w:val="clear" w:color="auto" w:fill="CFF0FC"/>
          </w:tcPr>
          <w:p>
            <w:pPr>
              <w:spacing w:after="0"/>
              <w:rPr>
                <w:sz w:val="19"/>
                <w:szCs w:val="19"/>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20,429</w:t>
            </w:r>
          </w:p>
        </w:tc>
        <w:tc>
          <w:tcPr>
            <w:tcW w:w="80" w:type="dxa"/>
            <w:vAlign w:val="bottom"/>
            <w:shd w:val="clear" w:color="auto" w:fill="CFF0FC"/>
          </w:tcPr>
          <w:p>
            <w:pPr>
              <w:spacing w:after="0"/>
              <w:rPr>
                <w:sz w:val="19"/>
                <w:szCs w:val="19"/>
                <w:color w:val="auto"/>
              </w:rPr>
            </w:pPr>
          </w:p>
        </w:tc>
      </w:tr>
      <w:tr>
        <w:trPr>
          <w:trHeight w:val="230"/>
        </w:trPr>
        <w:tc>
          <w:tcPr>
            <w:tcW w:w="20" w:type="dxa"/>
            <w:vAlign w:val="bottom"/>
          </w:tcPr>
          <w:p>
            <w:pPr>
              <w:spacing w:after="0"/>
              <w:rPr>
                <w:sz w:val="19"/>
                <w:szCs w:val="19"/>
                <w:color w:val="auto"/>
              </w:rPr>
            </w:pPr>
          </w:p>
        </w:tc>
        <w:tc>
          <w:tcPr>
            <w:tcW w:w="4020" w:type="dxa"/>
            <w:vAlign w:val="bottom"/>
          </w:tcPr>
          <w:p>
            <w:pPr>
              <w:spacing w:after="0"/>
              <w:rPr>
                <w:sz w:val="20"/>
                <w:szCs w:val="20"/>
                <w:color w:val="auto"/>
              </w:rPr>
            </w:pPr>
            <w:r>
              <w:rPr>
                <w:rFonts w:ascii="Arial" w:cs="Arial" w:eastAsia="Arial" w:hAnsi="Arial"/>
                <w:sz w:val="18"/>
                <w:szCs w:val="18"/>
                <w:color w:val="auto"/>
              </w:rPr>
              <w:t>Total assets</w:t>
            </w:r>
          </w:p>
        </w:tc>
        <w:tc>
          <w:tcPr>
            <w:tcW w:w="13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80" w:type="dxa"/>
            <w:vAlign w:val="bottom"/>
          </w:tcPr>
          <w:p>
            <w:pPr>
              <w:jc w:val="right"/>
              <w:ind w:right="52"/>
              <w:spacing w:after="0"/>
              <w:rPr>
                <w:sz w:val="20"/>
                <w:szCs w:val="20"/>
                <w:color w:val="auto"/>
              </w:rPr>
            </w:pPr>
            <w:r>
              <w:rPr>
                <w:rFonts w:ascii="Arial" w:cs="Arial" w:eastAsia="Arial" w:hAnsi="Arial"/>
                <w:sz w:val="18"/>
                <w:szCs w:val="18"/>
                <w:color w:val="auto"/>
              </w:rPr>
              <w:t>32,970</w:t>
            </w:r>
          </w:p>
        </w:tc>
        <w:tc>
          <w:tcPr>
            <w:tcW w:w="180" w:type="dxa"/>
            <w:vAlign w:val="bottom"/>
          </w:tcPr>
          <w:p>
            <w:pPr>
              <w:spacing w:after="0"/>
              <w:rPr>
                <w:sz w:val="19"/>
                <w:szCs w:val="19"/>
                <w:color w:val="auto"/>
              </w:rPr>
            </w:pPr>
          </w:p>
        </w:tc>
        <w:tc>
          <w:tcPr>
            <w:tcW w:w="1120" w:type="dxa"/>
            <w:vAlign w:val="bottom"/>
          </w:tcPr>
          <w:p>
            <w:pPr>
              <w:jc w:val="right"/>
              <w:ind w:right="74"/>
              <w:spacing w:after="0"/>
              <w:rPr>
                <w:sz w:val="20"/>
                <w:szCs w:val="20"/>
                <w:color w:val="auto"/>
              </w:rPr>
            </w:pPr>
            <w:r>
              <w:rPr>
                <w:rFonts w:ascii="Arial" w:cs="Arial" w:eastAsia="Arial" w:hAnsi="Arial"/>
                <w:sz w:val="18"/>
                <w:szCs w:val="18"/>
                <w:color w:val="auto"/>
              </w:rPr>
              <w:t>19,498</w:t>
            </w:r>
          </w:p>
        </w:tc>
        <w:tc>
          <w:tcPr>
            <w:tcW w:w="32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26,477</w:t>
            </w:r>
          </w:p>
        </w:tc>
        <w:tc>
          <w:tcPr>
            <w:tcW w:w="80" w:type="dxa"/>
            <w:vAlign w:val="bottom"/>
          </w:tcPr>
          <w:p>
            <w:pPr>
              <w:spacing w:after="0"/>
              <w:rPr>
                <w:sz w:val="19"/>
                <w:szCs w:val="19"/>
                <w:color w:val="auto"/>
              </w:rPr>
            </w:pPr>
          </w:p>
        </w:tc>
      </w:tr>
      <w:tr>
        <w:trPr>
          <w:trHeight w:val="230"/>
        </w:trPr>
        <w:tc>
          <w:tcPr>
            <w:tcW w:w="20" w:type="dxa"/>
            <w:vAlign w:val="bottom"/>
          </w:tcPr>
          <w:p>
            <w:pPr>
              <w:spacing w:after="0"/>
              <w:rPr>
                <w:sz w:val="19"/>
                <w:szCs w:val="19"/>
                <w:color w:val="auto"/>
              </w:rPr>
            </w:pPr>
          </w:p>
        </w:tc>
        <w:tc>
          <w:tcPr>
            <w:tcW w:w="4020" w:type="dxa"/>
            <w:vAlign w:val="bottom"/>
            <w:shd w:val="clear" w:color="auto" w:fill="CFF0FC"/>
          </w:tcPr>
          <w:p>
            <w:pPr>
              <w:spacing w:after="0"/>
              <w:rPr>
                <w:sz w:val="20"/>
                <w:szCs w:val="20"/>
                <w:color w:val="auto"/>
              </w:rPr>
            </w:pPr>
            <w:r>
              <w:rPr>
                <w:rFonts w:ascii="Arial" w:cs="Arial" w:eastAsia="Arial" w:hAnsi="Arial"/>
                <w:sz w:val="18"/>
                <w:szCs w:val="18"/>
                <w:color w:val="auto"/>
              </w:rPr>
              <w:t>Debt, net of discount</w:t>
            </w:r>
          </w:p>
        </w:tc>
        <w:tc>
          <w:tcPr>
            <w:tcW w:w="136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980" w:type="dxa"/>
            <w:vAlign w:val="bottom"/>
            <w:shd w:val="clear" w:color="auto" w:fill="CFF0FC"/>
          </w:tcPr>
          <w:p>
            <w:pPr>
              <w:jc w:val="right"/>
              <w:ind w:right="52"/>
              <w:spacing w:after="0"/>
              <w:rPr>
                <w:sz w:val="20"/>
                <w:szCs w:val="20"/>
                <w:color w:val="auto"/>
              </w:rPr>
            </w:pPr>
            <w:r>
              <w:rPr>
                <w:rFonts w:ascii="Arial" w:cs="Arial" w:eastAsia="Arial" w:hAnsi="Arial"/>
                <w:sz w:val="18"/>
                <w:szCs w:val="18"/>
                <w:color w:val="auto"/>
              </w:rPr>
              <w:t>13,001</w:t>
            </w:r>
          </w:p>
        </w:tc>
        <w:tc>
          <w:tcPr>
            <w:tcW w:w="180" w:type="dxa"/>
            <w:vAlign w:val="bottom"/>
            <w:shd w:val="clear" w:color="auto" w:fill="CFF0FC"/>
          </w:tcPr>
          <w:p>
            <w:pPr>
              <w:spacing w:after="0"/>
              <w:rPr>
                <w:sz w:val="19"/>
                <w:szCs w:val="19"/>
                <w:color w:val="auto"/>
              </w:rPr>
            </w:pPr>
          </w:p>
        </w:tc>
        <w:tc>
          <w:tcPr>
            <w:tcW w:w="1120" w:type="dxa"/>
            <w:vAlign w:val="bottom"/>
            <w:shd w:val="clear" w:color="auto" w:fill="CFF0FC"/>
          </w:tcPr>
          <w:p>
            <w:pPr>
              <w:jc w:val="right"/>
              <w:ind w:right="74"/>
              <w:spacing w:after="0"/>
              <w:rPr>
                <w:sz w:val="20"/>
                <w:szCs w:val="20"/>
                <w:color w:val="auto"/>
              </w:rPr>
            </w:pPr>
            <w:r>
              <w:rPr>
                <w:rFonts w:ascii="Arial" w:cs="Arial" w:eastAsia="Arial" w:hAnsi="Arial"/>
                <w:sz w:val="18"/>
                <w:szCs w:val="18"/>
                <w:color w:val="auto"/>
              </w:rPr>
              <w:t>20,450</w:t>
            </w:r>
          </w:p>
        </w:tc>
        <w:tc>
          <w:tcPr>
            <w:tcW w:w="320" w:type="dxa"/>
            <w:vAlign w:val="bottom"/>
            <w:shd w:val="clear" w:color="auto" w:fill="CFF0FC"/>
          </w:tcPr>
          <w:p>
            <w:pPr>
              <w:spacing w:after="0"/>
              <w:rPr>
                <w:sz w:val="19"/>
                <w:szCs w:val="19"/>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19,713</w:t>
            </w:r>
          </w:p>
        </w:tc>
        <w:tc>
          <w:tcPr>
            <w:tcW w:w="80" w:type="dxa"/>
            <w:vAlign w:val="bottom"/>
            <w:shd w:val="clear" w:color="auto" w:fill="CFF0FC"/>
          </w:tcPr>
          <w:p>
            <w:pPr>
              <w:spacing w:after="0"/>
              <w:rPr>
                <w:sz w:val="19"/>
                <w:szCs w:val="19"/>
                <w:color w:val="auto"/>
              </w:rPr>
            </w:pPr>
          </w:p>
        </w:tc>
      </w:tr>
      <w:tr>
        <w:trPr>
          <w:trHeight w:val="230"/>
        </w:trPr>
        <w:tc>
          <w:tcPr>
            <w:tcW w:w="20" w:type="dxa"/>
            <w:vAlign w:val="bottom"/>
          </w:tcPr>
          <w:p>
            <w:pPr>
              <w:spacing w:after="0"/>
              <w:rPr>
                <w:sz w:val="19"/>
                <w:szCs w:val="19"/>
                <w:color w:val="auto"/>
              </w:rPr>
            </w:pPr>
          </w:p>
        </w:tc>
        <w:tc>
          <w:tcPr>
            <w:tcW w:w="4020" w:type="dxa"/>
            <w:vAlign w:val="bottom"/>
          </w:tcPr>
          <w:p>
            <w:pPr>
              <w:spacing w:after="0"/>
              <w:rPr>
                <w:sz w:val="20"/>
                <w:szCs w:val="20"/>
                <w:color w:val="auto"/>
              </w:rPr>
            </w:pPr>
            <w:r>
              <w:rPr>
                <w:rFonts w:ascii="Arial" w:cs="Arial" w:eastAsia="Arial" w:hAnsi="Arial"/>
                <w:sz w:val="18"/>
                <w:szCs w:val="18"/>
                <w:color w:val="auto"/>
              </w:rPr>
              <w:t>Preferred stock warrant liabilities</w:t>
            </w:r>
          </w:p>
        </w:tc>
        <w:tc>
          <w:tcPr>
            <w:tcW w:w="13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80" w:type="dxa"/>
            <w:vAlign w:val="bottom"/>
          </w:tcPr>
          <w:p>
            <w:pPr>
              <w:jc w:val="right"/>
              <w:ind w:right="52"/>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1120" w:type="dxa"/>
            <w:vAlign w:val="bottom"/>
          </w:tcPr>
          <w:p>
            <w:pPr>
              <w:jc w:val="right"/>
              <w:ind w:right="74"/>
              <w:spacing w:after="0"/>
              <w:rPr>
                <w:sz w:val="20"/>
                <w:szCs w:val="20"/>
                <w:color w:val="auto"/>
              </w:rPr>
            </w:pPr>
            <w:r>
              <w:rPr>
                <w:rFonts w:ascii="Arial" w:cs="Arial" w:eastAsia="Arial" w:hAnsi="Arial"/>
                <w:sz w:val="18"/>
                <w:szCs w:val="18"/>
                <w:color w:val="auto"/>
              </w:rPr>
              <w:t>693</w:t>
            </w:r>
          </w:p>
        </w:tc>
        <w:tc>
          <w:tcPr>
            <w:tcW w:w="32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347</w:t>
            </w:r>
          </w:p>
        </w:tc>
        <w:tc>
          <w:tcPr>
            <w:tcW w:w="80" w:type="dxa"/>
            <w:vAlign w:val="bottom"/>
          </w:tcPr>
          <w:p>
            <w:pPr>
              <w:spacing w:after="0"/>
              <w:rPr>
                <w:sz w:val="19"/>
                <w:szCs w:val="19"/>
                <w:color w:val="auto"/>
              </w:rPr>
            </w:pPr>
          </w:p>
        </w:tc>
      </w:tr>
      <w:tr>
        <w:trPr>
          <w:trHeight w:val="230"/>
        </w:trPr>
        <w:tc>
          <w:tcPr>
            <w:tcW w:w="20" w:type="dxa"/>
            <w:vAlign w:val="bottom"/>
          </w:tcPr>
          <w:p>
            <w:pPr>
              <w:spacing w:after="0"/>
              <w:rPr>
                <w:sz w:val="19"/>
                <w:szCs w:val="19"/>
                <w:color w:val="auto"/>
              </w:rPr>
            </w:pPr>
          </w:p>
        </w:tc>
        <w:tc>
          <w:tcPr>
            <w:tcW w:w="4020" w:type="dxa"/>
            <w:vAlign w:val="bottom"/>
            <w:shd w:val="clear" w:color="auto" w:fill="CFF0FC"/>
          </w:tcPr>
          <w:p>
            <w:pPr>
              <w:spacing w:after="0"/>
              <w:rPr>
                <w:sz w:val="20"/>
                <w:szCs w:val="20"/>
                <w:color w:val="auto"/>
              </w:rPr>
            </w:pPr>
            <w:r>
              <w:rPr>
                <w:rFonts w:ascii="Arial" w:cs="Arial" w:eastAsia="Arial" w:hAnsi="Arial"/>
                <w:sz w:val="18"/>
                <w:szCs w:val="18"/>
                <w:color w:val="auto"/>
              </w:rPr>
              <w:t>Other long-term liabilities</w:t>
            </w:r>
          </w:p>
        </w:tc>
        <w:tc>
          <w:tcPr>
            <w:tcW w:w="136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980" w:type="dxa"/>
            <w:vAlign w:val="bottom"/>
            <w:shd w:val="clear" w:color="auto" w:fill="CFF0FC"/>
          </w:tcPr>
          <w:p>
            <w:pPr>
              <w:jc w:val="right"/>
              <w:ind w:right="52"/>
              <w:spacing w:after="0"/>
              <w:rPr>
                <w:sz w:val="20"/>
                <w:szCs w:val="20"/>
                <w:color w:val="auto"/>
              </w:rPr>
            </w:pPr>
            <w:r>
              <w:rPr>
                <w:rFonts w:ascii="Arial" w:cs="Arial" w:eastAsia="Arial" w:hAnsi="Arial"/>
                <w:sz w:val="18"/>
                <w:szCs w:val="18"/>
                <w:color w:val="auto"/>
              </w:rPr>
              <w:t>459</w:t>
            </w:r>
          </w:p>
        </w:tc>
        <w:tc>
          <w:tcPr>
            <w:tcW w:w="180" w:type="dxa"/>
            <w:vAlign w:val="bottom"/>
            <w:shd w:val="clear" w:color="auto" w:fill="CFF0FC"/>
          </w:tcPr>
          <w:p>
            <w:pPr>
              <w:spacing w:after="0"/>
              <w:rPr>
                <w:sz w:val="19"/>
                <w:szCs w:val="19"/>
                <w:color w:val="auto"/>
              </w:rPr>
            </w:pPr>
          </w:p>
        </w:tc>
        <w:tc>
          <w:tcPr>
            <w:tcW w:w="1120" w:type="dxa"/>
            <w:vAlign w:val="bottom"/>
            <w:shd w:val="clear" w:color="auto" w:fill="CFF0FC"/>
          </w:tcPr>
          <w:p>
            <w:pPr>
              <w:jc w:val="right"/>
              <w:ind w:right="74"/>
              <w:spacing w:after="0"/>
              <w:rPr>
                <w:sz w:val="20"/>
                <w:szCs w:val="20"/>
                <w:color w:val="auto"/>
              </w:rPr>
            </w:pPr>
            <w:r>
              <w:rPr>
                <w:rFonts w:ascii="Arial" w:cs="Arial" w:eastAsia="Arial" w:hAnsi="Arial"/>
                <w:sz w:val="18"/>
                <w:szCs w:val="18"/>
                <w:color w:val="auto"/>
              </w:rPr>
              <w:t>563</w:t>
            </w:r>
          </w:p>
        </w:tc>
        <w:tc>
          <w:tcPr>
            <w:tcW w:w="320" w:type="dxa"/>
            <w:vAlign w:val="bottom"/>
            <w:shd w:val="clear" w:color="auto" w:fill="CFF0FC"/>
          </w:tcPr>
          <w:p>
            <w:pPr>
              <w:spacing w:after="0"/>
              <w:rPr>
                <w:sz w:val="19"/>
                <w:szCs w:val="19"/>
                <w:color w:val="auto"/>
              </w:rPr>
            </w:pPr>
          </w:p>
        </w:tc>
        <w:tc>
          <w:tcPr>
            <w:tcW w:w="92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w:t>
            </w:r>
          </w:p>
        </w:tc>
      </w:tr>
      <w:tr>
        <w:trPr>
          <w:trHeight w:val="230"/>
        </w:trPr>
        <w:tc>
          <w:tcPr>
            <w:tcW w:w="20" w:type="dxa"/>
            <w:vAlign w:val="bottom"/>
          </w:tcPr>
          <w:p>
            <w:pPr>
              <w:spacing w:after="0"/>
              <w:rPr>
                <w:sz w:val="19"/>
                <w:szCs w:val="19"/>
                <w:color w:val="auto"/>
              </w:rPr>
            </w:pPr>
          </w:p>
        </w:tc>
        <w:tc>
          <w:tcPr>
            <w:tcW w:w="4020" w:type="dxa"/>
            <w:vAlign w:val="bottom"/>
          </w:tcPr>
          <w:p>
            <w:pPr>
              <w:spacing w:after="0"/>
              <w:rPr>
                <w:sz w:val="20"/>
                <w:szCs w:val="20"/>
                <w:color w:val="auto"/>
              </w:rPr>
            </w:pPr>
            <w:r>
              <w:rPr>
                <w:rFonts w:ascii="Arial" w:cs="Arial" w:eastAsia="Arial" w:hAnsi="Arial"/>
                <w:sz w:val="18"/>
                <w:szCs w:val="18"/>
                <w:color w:val="auto"/>
              </w:rPr>
              <w:t>Convertible preferred stock</w:t>
            </w:r>
          </w:p>
        </w:tc>
        <w:tc>
          <w:tcPr>
            <w:tcW w:w="13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80" w:type="dxa"/>
            <w:vAlign w:val="bottom"/>
          </w:tcPr>
          <w:p>
            <w:pPr>
              <w:jc w:val="right"/>
              <w:ind w:right="52"/>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1120" w:type="dxa"/>
            <w:vAlign w:val="bottom"/>
          </w:tcPr>
          <w:p>
            <w:pPr>
              <w:jc w:val="right"/>
              <w:ind w:right="74"/>
              <w:spacing w:after="0"/>
              <w:rPr>
                <w:sz w:val="20"/>
                <w:szCs w:val="20"/>
                <w:color w:val="auto"/>
              </w:rPr>
            </w:pPr>
            <w:r>
              <w:rPr>
                <w:rFonts w:ascii="Arial" w:cs="Arial" w:eastAsia="Arial" w:hAnsi="Arial"/>
                <w:sz w:val="18"/>
                <w:szCs w:val="18"/>
                <w:color w:val="auto"/>
              </w:rPr>
              <w:t>135,735</w:t>
            </w:r>
          </w:p>
        </w:tc>
        <w:tc>
          <w:tcPr>
            <w:tcW w:w="32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123,662</w:t>
            </w:r>
          </w:p>
        </w:tc>
        <w:tc>
          <w:tcPr>
            <w:tcW w:w="80" w:type="dxa"/>
            <w:vAlign w:val="bottom"/>
          </w:tcPr>
          <w:p>
            <w:pPr>
              <w:spacing w:after="0"/>
              <w:rPr>
                <w:sz w:val="19"/>
                <w:szCs w:val="19"/>
                <w:color w:val="auto"/>
              </w:rPr>
            </w:pPr>
          </w:p>
        </w:tc>
      </w:tr>
      <w:tr>
        <w:trPr>
          <w:trHeight w:val="230"/>
        </w:trPr>
        <w:tc>
          <w:tcPr>
            <w:tcW w:w="20" w:type="dxa"/>
            <w:vAlign w:val="bottom"/>
          </w:tcPr>
          <w:p>
            <w:pPr>
              <w:spacing w:after="0"/>
              <w:rPr>
                <w:sz w:val="19"/>
                <w:szCs w:val="19"/>
                <w:color w:val="auto"/>
              </w:rPr>
            </w:pPr>
          </w:p>
        </w:tc>
        <w:tc>
          <w:tcPr>
            <w:tcW w:w="4020" w:type="dxa"/>
            <w:vAlign w:val="bottom"/>
            <w:shd w:val="clear" w:color="auto" w:fill="CFF0FC"/>
          </w:tcPr>
          <w:p>
            <w:pPr>
              <w:spacing w:after="0"/>
              <w:rPr>
                <w:sz w:val="20"/>
                <w:szCs w:val="20"/>
                <w:color w:val="auto"/>
              </w:rPr>
            </w:pPr>
            <w:r>
              <w:rPr>
                <w:rFonts w:ascii="Arial" w:cs="Arial" w:eastAsia="Arial" w:hAnsi="Arial"/>
                <w:sz w:val="18"/>
                <w:szCs w:val="18"/>
                <w:color w:val="auto"/>
              </w:rPr>
              <w:t>Accumulated deficit</w:t>
            </w:r>
          </w:p>
        </w:tc>
        <w:tc>
          <w:tcPr>
            <w:tcW w:w="136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(164,487)</w:t>
            </w:r>
          </w:p>
        </w:tc>
        <w:tc>
          <w:tcPr>
            <w:tcW w:w="180" w:type="dxa"/>
            <w:vAlign w:val="bottom"/>
            <w:shd w:val="clear" w:color="auto" w:fill="CFF0FC"/>
          </w:tcPr>
          <w:p>
            <w:pPr>
              <w:spacing w:after="0"/>
              <w:rPr>
                <w:sz w:val="19"/>
                <w:szCs w:val="19"/>
                <w:color w:val="auto"/>
              </w:rPr>
            </w:pPr>
          </w:p>
        </w:tc>
        <w:tc>
          <w:tcPr>
            <w:tcW w:w="11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(146,645)</w:t>
            </w:r>
          </w:p>
        </w:tc>
        <w:tc>
          <w:tcPr>
            <w:tcW w:w="320" w:type="dxa"/>
            <w:vAlign w:val="bottom"/>
            <w:shd w:val="clear" w:color="auto" w:fill="CFF0FC"/>
          </w:tcPr>
          <w:p>
            <w:pPr>
              <w:spacing w:after="0"/>
              <w:rPr>
                <w:sz w:val="19"/>
                <w:szCs w:val="19"/>
                <w:color w:val="auto"/>
              </w:rPr>
            </w:pPr>
          </w:p>
        </w:tc>
        <w:tc>
          <w:tcPr>
            <w:tcW w:w="92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(124,799)</w:t>
            </w:r>
          </w:p>
        </w:tc>
      </w:tr>
      <w:tr>
        <w:trPr>
          <w:trHeight w:val="230"/>
        </w:trPr>
        <w:tc>
          <w:tcPr>
            <w:tcW w:w="20" w:type="dxa"/>
            <w:vAlign w:val="bottom"/>
          </w:tcPr>
          <w:p>
            <w:pPr>
              <w:spacing w:after="0"/>
              <w:rPr>
                <w:sz w:val="20"/>
                <w:szCs w:val="20"/>
                <w:color w:val="auto"/>
              </w:rPr>
            </w:pPr>
          </w:p>
        </w:tc>
        <w:tc>
          <w:tcPr>
            <w:tcW w:w="4020" w:type="dxa"/>
            <w:vAlign w:val="bottom"/>
          </w:tcPr>
          <w:p>
            <w:pPr>
              <w:spacing w:after="0"/>
              <w:rPr>
                <w:sz w:val="20"/>
                <w:szCs w:val="20"/>
                <w:color w:val="auto"/>
              </w:rPr>
            </w:pPr>
            <w:r>
              <w:rPr>
                <w:rFonts w:ascii="Arial" w:cs="Arial" w:eastAsia="Arial" w:hAnsi="Arial"/>
                <w:sz w:val="18"/>
                <w:szCs w:val="18"/>
                <w:color w:val="auto"/>
              </w:rPr>
              <w:t>Total stockholders’ equity (deficit)</w:t>
            </w:r>
          </w:p>
        </w:tc>
        <w:tc>
          <w:tcPr>
            <w:tcW w:w="13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80" w:type="dxa"/>
            <w:vAlign w:val="bottom"/>
          </w:tcPr>
          <w:p>
            <w:pPr>
              <w:jc w:val="right"/>
              <w:ind w:right="52"/>
              <w:spacing w:after="0"/>
              <w:rPr>
                <w:sz w:val="20"/>
                <w:szCs w:val="20"/>
                <w:color w:val="auto"/>
              </w:rPr>
            </w:pPr>
            <w:r>
              <w:rPr>
                <w:rFonts w:ascii="Arial" w:cs="Arial" w:eastAsia="Arial" w:hAnsi="Arial"/>
                <w:sz w:val="18"/>
                <w:szCs w:val="18"/>
                <w:color w:val="auto"/>
              </w:rPr>
              <w:t>13,194</w:t>
            </w:r>
          </w:p>
        </w:tc>
        <w:tc>
          <w:tcPr>
            <w:tcW w:w="18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(143,544)</w:t>
            </w:r>
          </w:p>
        </w:tc>
        <w:tc>
          <w:tcPr>
            <w:tcW w:w="320" w:type="dxa"/>
            <w:vAlign w:val="bottom"/>
          </w:tcPr>
          <w:p>
            <w:pPr>
              <w:spacing w:after="0"/>
              <w:rPr>
                <w:sz w:val="20"/>
                <w:szCs w:val="20"/>
                <w:color w:val="auto"/>
              </w:rPr>
            </w:pPr>
          </w:p>
        </w:tc>
        <w:tc>
          <w:tcPr>
            <w:tcW w:w="920" w:type="dxa"/>
            <w:vAlign w:val="bottom"/>
            <w:gridSpan w:val="2"/>
          </w:tcPr>
          <w:p>
            <w:pPr>
              <w:jc w:val="right"/>
              <w:ind w:right="20"/>
              <w:spacing w:after="0"/>
              <w:rPr>
                <w:sz w:val="20"/>
                <w:szCs w:val="20"/>
                <w:color w:val="auto"/>
              </w:rPr>
            </w:pPr>
            <w:r>
              <w:rPr>
                <w:rFonts w:ascii="Arial" w:cs="Arial" w:eastAsia="Arial" w:hAnsi="Arial"/>
                <w:sz w:val="18"/>
                <w:szCs w:val="18"/>
                <w:color w:val="auto"/>
              </w:rPr>
              <w:t>(122,205)</w:t>
            </w:r>
          </w:p>
        </w:tc>
      </w:tr>
    </w:tbl>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7.Management’s Discussion and Analysis of Financial Condition and Results of Operations.</w:t>
      </w:r>
    </w:p>
    <w:p>
      <w:pPr>
        <w:spacing w:after="0" w:line="121" w:lineRule="exact"/>
        <w:rPr>
          <w:sz w:val="20"/>
          <w:szCs w:val="20"/>
          <w:color w:val="auto"/>
        </w:rPr>
      </w:pPr>
    </w:p>
    <w:p>
      <w:pPr>
        <w:spacing w:after="0" w:line="255" w:lineRule="auto"/>
        <w:rPr>
          <w:sz w:val="20"/>
          <w:szCs w:val="20"/>
          <w:color w:val="auto"/>
        </w:rPr>
      </w:pPr>
      <w:r>
        <w:rPr>
          <w:rFonts w:ascii="Arial" w:cs="Arial" w:eastAsia="Arial" w:hAnsi="Arial"/>
          <w:sz w:val="18"/>
          <w:szCs w:val="18"/>
          <w:i w:val="1"/>
          <w:iCs w:val="1"/>
          <w:color w:val="auto"/>
        </w:rPr>
        <w:t>The following discussion contains management’s discussion and analysis of our financial condition and results of operations and should be read together with the historical consolidated financial statements and the notes thereto included in Part II, Item 8 “Consolidated Financial Statements and Supplementary Data.” This discussion contains forward-looking statements that reflect our plans, estimates and beliefs and involve numerous risks and uncertainties, including but not limited to those described in the “Risk Factors” section of this Annual Report on Form 10-K. Actual results may differ materially from those contained in any forward-looking statements. You should carefully read “Special Note Regarding Forward-Looking Statements” and Part I, Item 1A, “Risk Factors.”</w:t>
      </w:r>
    </w:p>
    <w:p>
      <w:pPr>
        <w:spacing w:after="0" w:line="122" w:lineRule="exact"/>
        <w:rPr>
          <w:sz w:val="20"/>
          <w:szCs w:val="20"/>
          <w:color w:val="auto"/>
        </w:rPr>
      </w:pPr>
    </w:p>
    <w:p>
      <w:pPr>
        <w:spacing w:after="0"/>
        <w:rPr>
          <w:sz w:val="20"/>
          <w:szCs w:val="20"/>
          <w:color w:val="auto"/>
        </w:rPr>
      </w:pPr>
      <w:r>
        <w:rPr>
          <w:rFonts w:ascii="Arial" w:cs="Arial" w:eastAsia="Arial" w:hAnsi="Arial"/>
          <w:sz w:val="18"/>
          <w:szCs w:val="18"/>
          <w:b w:val="1"/>
          <w:bCs w:val="1"/>
          <w:color w:val="231F20"/>
        </w:rPr>
        <w:t>Overview</w:t>
      </w:r>
    </w:p>
    <w:p>
      <w:pPr>
        <w:spacing w:after="0" w:line="121" w:lineRule="exact"/>
        <w:rPr>
          <w:sz w:val="20"/>
          <w:szCs w:val="20"/>
          <w:color w:val="auto"/>
        </w:rPr>
      </w:pPr>
    </w:p>
    <w:p>
      <w:pPr>
        <w:spacing w:after="0" w:line="271" w:lineRule="auto"/>
        <w:rPr>
          <w:sz w:val="20"/>
          <w:szCs w:val="20"/>
          <w:color w:val="auto"/>
        </w:rPr>
      </w:pPr>
      <w:r>
        <w:rPr>
          <w:rFonts w:ascii="Arial" w:cs="Arial" w:eastAsia="Arial" w:hAnsi="Arial"/>
          <w:sz w:val="17"/>
          <w:szCs w:val="17"/>
          <w:color w:val="auto"/>
        </w:rPr>
        <w:t>We are a medical technology company developing and commercializing a robotic device, the ARTAS System, which assists physicians in performing many of the repetitive tasks that are a part of a follicular unit extraction, or FUE surgery, a type of hair restoration procedure. We believe the ARTAS System is the first and only physician assisted robotic system that can identify and dissect hair follicular units directly from the scalp and create recipient implant sites. In addition to the ARTAS System, we also offer the ARTAS Hair Studio application, an interactive three-dimensional patient consultation tool that enables a physician to create a simulated hair transplant model for use in patient consultations. We received clearance from the U.S. Food and Drug Administration, or FDA, in April 2011 to market the ARTAS System in the U.S., and we have sold the ARTAS System into 30 other countries. As of December 31, 2017, we have sold 94 ARTAS Systems in the U.S. and 159 internationally. As of December 31, 2017, the ARTAS System and ARTAS Hair Studio application are protected by over 81 patents in the U.S. and over 110 international patents.</w:t>
      </w:r>
    </w:p>
    <w:p>
      <w:pPr>
        <w:spacing w:after="0" w:line="71" w:lineRule="exact"/>
        <w:rPr>
          <w:sz w:val="20"/>
          <w:szCs w:val="20"/>
          <w:color w:val="auto"/>
        </w:rPr>
      </w:pPr>
    </w:p>
    <w:p>
      <w:pPr>
        <w:ind w:right="120"/>
        <w:spacing w:after="0" w:line="257" w:lineRule="auto"/>
        <w:rPr>
          <w:sz w:val="20"/>
          <w:szCs w:val="20"/>
          <w:color w:val="auto"/>
        </w:rPr>
      </w:pPr>
      <w:r>
        <w:rPr>
          <w:rFonts w:ascii="Arial" w:cs="Arial" w:eastAsia="Arial" w:hAnsi="Arial"/>
          <w:sz w:val="18"/>
          <w:szCs w:val="18"/>
          <w:color w:val="auto"/>
        </w:rPr>
        <w:t>On October 11, 2017, our Registration Statement on Form S-1 (File No. 333-220303) relating to our initial public offering (IPO) of its common stock was declared effective by the Securities and Exchange Commission (SEC). Pursuant to such Registration Statement, we sold an aggregate of 3,897,910 shares of its common stock (inclusive of 322,910 shares of common stock from the subsequent exercise of the over-allotment option granted to the underwriters) at a price of $7.00 per share for aggregate cash proceeds of approximately $22.1 million after deducting offering costs and commissions of $5.2 million.</w:t>
      </w:r>
    </w:p>
    <w:p>
      <w:pPr>
        <w:spacing w:after="0" w:line="80" w:lineRule="exact"/>
        <w:rPr>
          <w:sz w:val="20"/>
          <w:szCs w:val="20"/>
          <w:color w:val="auto"/>
        </w:rPr>
      </w:pPr>
    </w:p>
    <w:p>
      <w:pPr>
        <w:ind w:right="40"/>
        <w:spacing w:after="0" w:line="264" w:lineRule="auto"/>
        <w:rPr>
          <w:sz w:val="20"/>
          <w:szCs w:val="20"/>
          <w:color w:val="auto"/>
        </w:rPr>
      </w:pPr>
      <w:r>
        <w:rPr>
          <w:rFonts w:ascii="Arial" w:cs="Arial" w:eastAsia="Arial" w:hAnsi="Arial"/>
          <w:sz w:val="18"/>
          <w:szCs w:val="18"/>
          <w:color w:val="auto"/>
        </w:rPr>
        <w:t>We have funded our operations to date primarily from the issuance and sale of our common stock in our IPO, private placements of our equity securities and, to a lesser extent, through debt financings, exercises of our common stock warrants and payments from our customers. As of December 31, 2017, we had cash and cash equivalents of $23.5 million.</w:t>
      </w:r>
    </w:p>
    <w:p>
      <w:pPr>
        <w:spacing w:after="0" w:line="200" w:lineRule="exact"/>
        <w:rPr>
          <w:sz w:val="20"/>
          <w:szCs w:val="20"/>
          <w:color w:val="auto"/>
        </w:rPr>
      </w:pPr>
    </w:p>
    <w:p>
      <w:pPr>
        <w:spacing w:after="0" w:line="22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41" w:right="239" w:bottom="1440" w:gutter="0" w:footer="0" w:header="0"/>
        </w:sectPr>
      </w:pPr>
    </w:p>
    <w:bookmarkStart w:id="60" w:name="page61"/>
    <w:bookmarkEnd w:id="60"/>
    <w:p>
      <w:pPr>
        <w:spacing w:after="0"/>
        <w:rPr>
          <w:sz w:val="20"/>
          <w:szCs w:val="20"/>
          <w:color w:val="auto"/>
        </w:rPr>
      </w:pPr>
      <w:r>
        <w:rPr>
          <w:rFonts w:ascii="Arial" w:cs="Arial" w:eastAsia="Arial" w:hAnsi="Arial"/>
          <w:sz w:val="18"/>
          <w:szCs w:val="18"/>
          <w:b w:val="1"/>
          <w:bCs w:val="1"/>
          <w:color w:val="auto"/>
        </w:rPr>
        <w:t>Need for Additional Capital</w:t>
      </w:r>
    </w:p>
    <w:p>
      <w:pPr>
        <w:spacing w:after="0" w:line="121"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Our independent registered public accounting firm included an explanatory paragraph in its report on our consolidated financial statements as of and for the year ended December 31, 2017, raising substantial doubt about our ability to continue as a going concern. See “Liquidity and Capital Resources” and Note 1 to the consolidated financial statements for additional information describing the circumstances that led to the inclusion of this explanatory paragraph.</w:t>
      </w:r>
    </w:p>
    <w:p>
      <w:pPr>
        <w:spacing w:after="0" w:line="79" w:lineRule="exact"/>
        <w:rPr>
          <w:sz w:val="20"/>
          <w:szCs w:val="20"/>
          <w:color w:val="auto"/>
        </w:rPr>
      </w:pPr>
    </w:p>
    <w:p>
      <w:pPr>
        <w:jc w:val="both"/>
        <w:ind w:right="460"/>
        <w:spacing w:after="0" w:line="264" w:lineRule="auto"/>
        <w:rPr>
          <w:sz w:val="20"/>
          <w:szCs w:val="20"/>
          <w:color w:val="auto"/>
        </w:rPr>
      </w:pPr>
      <w:r>
        <w:rPr>
          <w:rFonts w:ascii="Arial" w:cs="Arial" w:eastAsia="Arial" w:hAnsi="Arial"/>
          <w:sz w:val="18"/>
          <w:szCs w:val="18"/>
          <w:color w:val="auto"/>
        </w:rPr>
        <w:t>To date, we have incurred significant net losses and negative cash flows from operations. Our net loss was $17.8 million, $21.8 million, and $23.0 million for the years ended December 31, 2017, 2016 and 2015. As of December 31, 2017, we had an accumulated deficit of $164.5 million. Our principal sources of liquidity as of December 31, 2017 were cash and cash equivalents of $23.5 million.</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Factors Affecting our Results of Operations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We believe there are several important factors that have impacted, and that we expect will impact, our results of operations.</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Adoption of the ARTAS System</w:t>
      </w:r>
    </w:p>
    <w:p>
      <w:pPr>
        <w:spacing w:after="0" w:line="117" w:lineRule="exact"/>
        <w:rPr>
          <w:sz w:val="20"/>
          <w:szCs w:val="20"/>
          <w:color w:val="auto"/>
        </w:rPr>
      </w:pPr>
    </w:p>
    <w:p>
      <w:pPr>
        <w:ind w:right="80"/>
        <w:spacing w:after="0" w:line="276" w:lineRule="auto"/>
        <w:rPr>
          <w:sz w:val="20"/>
          <w:szCs w:val="20"/>
          <w:color w:val="auto"/>
        </w:rPr>
      </w:pPr>
      <w:r>
        <w:rPr>
          <w:rFonts w:ascii="Arial" w:cs="Arial" w:eastAsia="Arial" w:hAnsi="Arial"/>
          <w:sz w:val="17"/>
          <w:szCs w:val="17"/>
          <w:color w:val="auto"/>
        </w:rPr>
        <w:t>The growth of our business depends on our ability to gain broader acceptance of the ARTAS System and the ARTAS procedure by successfully marketing and distributing the ARTAS System and the ARTAS procedure. If we are unable to successfully commercialize our ARTAS System and the ARTAS procedure, we may not be able to generate sufficient revenue to achieve or sustain profitability. In the near term, we expect we will continue to operate at a loss and we anticipate we will finance our operations principally through offerings of our capital stock and by incurring debt. If we are unable to raise adequate additional capital, we will be unable to maintain our commercialization efforts and our revenue could decline.</w:t>
      </w:r>
    </w:p>
    <w:p>
      <w:pPr>
        <w:spacing w:after="0" w:line="10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Significant Investment in our Sales and Marketing</w:t>
      </w:r>
    </w:p>
    <w:p>
      <w:pPr>
        <w:spacing w:after="0" w:line="117"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As a result of declining ARTAS System unit sales in the U.S. and other regions in the second half of 2015 and early 2016, we introduced a new leadership team, made certain strategic changes to and investments in our U.S. sales and global marketing organizations, which included terminating certain personnel and hiring new personnel and realigning our reporting and leadership structure in the sales organization. For example, we increased the size of our U.S. sales force by hiring sales professionals with extensive experience selling to physicians in the aesthetic market. Beginning with the fourth quarter of 2016, ARTAS System sales increased in the U.S. We also strategically revised our branding and consolidated our regional marketing teams to standardize our messaging and focus of our marketing spending with an aim to be more efficient and cost-effective. As a result, we have seen a reduction in and improved efficiency of our marketing spending.</w:t>
      </w:r>
    </w:p>
    <w:p>
      <w:pPr>
        <w:spacing w:after="0" w:line="81" w:lineRule="exact"/>
        <w:rPr>
          <w:sz w:val="20"/>
          <w:szCs w:val="20"/>
          <w:color w:val="auto"/>
        </w:rPr>
      </w:pPr>
    </w:p>
    <w:p>
      <w:pPr>
        <w:spacing w:after="0" w:line="264" w:lineRule="auto"/>
        <w:rPr>
          <w:sz w:val="20"/>
          <w:szCs w:val="20"/>
          <w:color w:val="auto"/>
        </w:rPr>
      </w:pPr>
      <w:r>
        <w:rPr>
          <w:rFonts w:ascii="Arial" w:cs="Arial" w:eastAsia="Arial" w:hAnsi="Arial"/>
          <w:sz w:val="18"/>
          <w:szCs w:val="18"/>
          <w:color w:val="auto"/>
        </w:rPr>
        <w:t>While we have increased revenue in 2017 as a result of increased unit sales, these sales initiatives have also increased our sales and marketing expenses. Furthermore, we anticipate as we continue to advance the commercialization of the ARTAS System, our sales and marketing expenses will continue to increase in the near term.</w:t>
      </w:r>
    </w:p>
    <w:p>
      <w:pPr>
        <w:spacing w:after="0" w:line="10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Revenue Composition and Trends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We derive our revenue from the sale and service of ARTAS Systems and procedure based fees, as follows:</w:t>
      </w:r>
    </w:p>
    <w:p>
      <w:pPr>
        <w:spacing w:after="0" w:line="284" w:lineRule="exact"/>
        <w:rPr>
          <w:sz w:val="20"/>
          <w:szCs w:val="20"/>
          <w:color w:val="auto"/>
        </w:rPr>
      </w:pPr>
    </w:p>
    <w:tbl>
      <w:tblPr>
        <w:tblLayout w:type="fixed"/>
        <w:tblInd w:w="1720" w:type="dxa"/>
        <w:tblCellMar>
          <w:top w:w="0" w:type="dxa"/>
          <w:left w:w="0" w:type="dxa"/>
          <w:bottom w:w="0" w:type="dxa"/>
          <w:right w:w="0" w:type="dxa"/>
        </w:tblCellMar>
      </w:tblPr>
      <w:tr>
        <w:trPr>
          <w:trHeight w:val="171"/>
        </w:trPr>
        <w:tc>
          <w:tcPr>
            <w:tcW w:w="274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2700" w:type="dxa"/>
            <w:vAlign w:val="bottom"/>
            <w:tcBorders>
              <w:bottom w:val="single" w:sz="8" w:color="auto"/>
            </w:tcBorders>
            <w:gridSpan w:val="6"/>
          </w:tcPr>
          <w:p>
            <w:pPr>
              <w:jc w:val="center"/>
              <w:ind w:left="536"/>
              <w:spacing w:after="0"/>
              <w:rPr>
                <w:sz w:val="20"/>
                <w:szCs w:val="20"/>
                <w:color w:val="auto"/>
              </w:rPr>
            </w:pPr>
            <w:r>
              <w:rPr>
                <w:rFonts w:ascii="Arial" w:cs="Arial" w:eastAsia="Arial" w:hAnsi="Arial"/>
                <w:sz w:val="14"/>
                <w:szCs w:val="14"/>
                <w:b w:val="1"/>
                <w:bCs w:val="1"/>
                <w:color w:val="auto"/>
                <w:w w:val="93"/>
              </w:rPr>
              <w:t>Year Ended December 31,</w:t>
            </w:r>
          </w:p>
        </w:tc>
        <w:tc>
          <w:tcPr>
            <w:tcW w:w="900" w:type="dxa"/>
            <w:vAlign w:val="bottom"/>
            <w:tcBorders>
              <w:bottom w:val="single" w:sz="8" w:color="auto"/>
            </w:tcBorders>
          </w:tcPr>
          <w:p>
            <w:pPr>
              <w:spacing w:after="0"/>
              <w:rPr>
                <w:sz w:val="14"/>
                <w:szCs w:val="14"/>
                <w:color w:val="auto"/>
              </w:rPr>
            </w:pPr>
          </w:p>
        </w:tc>
        <w:tc>
          <w:tcPr>
            <w:tcW w:w="60" w:type="dxa"/>
            <w:vAlign w:val="bottom"/>
          </w:tcPr>
          <w:p>
            <w:pPr>
              <w:spacing w:after="0"/>
              <w:rPr>
                <w:sz w:val="14"/>
                <w:szCs w:val="14"/>
                <w:color w:val="auto"/>
              </w:rPr>
            </w:pPr>
          </w:p>
        </w:tc>
      </w:tr>
      <w:tr>
        <w:trPr>
          <w:trHeight w:val="156"/>
        </w:trPr>
        <w:tc>
          <w:tcPr>
            <w:tcW w:w="2740" w:type="dxa"/>
            <w:vAlign w:val="bottom"/>
          </w:tcPr>
          <w:p>
            <w:pPr>
              <w:spacing w:after="0"/>
              <w:rPr>
                <w:sz w:val="13"/>
                <w:szCs w:val="13"/>
                <w:color w:val="auto"/>
              </w:rPr>
            </w:pPr>
          </w:p>
        </w:tc>
        <w:tc>
          <w:tcPr>
            <w:tcW w:w="1320" w:type="dxa"/>
            <w:vAlign w:val="bottom"/>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900" w:type="dxa"/>
            <w:vAlign w:val="bottom"/>
            <w:tcBorders>
              <w:bottom w:val="single" w:sz="8" w:color="auto"/>
            </w:tcBorders>
          </w:tcPr>
          <w:p>
            <w:pPr>
              <w:jc w:val="right"/>
              <w:ind w:right="356"/>
              <w:spacing w:after="0" w:line="155" w:lineRule="exact"/>
              <w:rPr>
                <w:sz w:val="20"/>
                <w:szCs w:val="20"/>
                <w:color w:val="auto"/>
              </w:rPr>
            </w:pPr>
            <w:r>
              <w:rPr>
                <w:rFonts w:ascii="Arial" w:cs="Arial" w:eastAsia="Arial" w:hAnsi="Arial"/>
                <w:sz w:val="14"/>
                <w:szCs w:val="14"/>
                <w:b w:val="1"/>
                <w:bCs w:val="1"/>
                <w:color w:val="auto"/>
              </w:rPr>
              <w:t>2017</w:t>
            </w:r>
          </w:p>
        </w:tc>
        <w:tc>
          <w:tcPr>
            <w:tcW w:w="20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1040" w:type="dxa"/>
            <w:vAlign w:val="bottom"/>
            <w:tcBorders>
              <w:bottom w:val="single" w:sz="8" w:color="auto"/>
            </w:tcBorders>
          </w:tcPr>
          <w:p>
            <w:pPr>
              <w:jc w:val="center"/>
              <w:ind w:right="16"/>
              <w:spacing w:after="0" w:line="155" w:lineRule="exact"/>
              <w:rPr>
                <w:sz w:val="20"/>
                <w:szCs w:val="20"/>
                <w:color w:val="auto"/>
              </w:rPr>
            </w:pPr>
            <w:r>
              <w:rPr>
                <w:rFonts w:ascii="Arial" w:cs="Arial" w:eastAsia="Arial" w:hAnsi="Arial"/>
                <w:sz w:val="14"/>
                <w:szCs w:val="14"/>
                <w:b w:val="1"/>
                <w:bCs w:val="1"/>
                <w:color w:val="auto"/>
                <w:w w:val="96"/>
              </w:rPr>
              <w:t>2016</w:t>
            </w:r>
          </w:p>
        </w:tc>
        <w:tc>
          <w:tcPr>
            <w:tcW w:w="200" w:type="dxa"/>
            <w:vAlign w:val="bottom"/>
            <w:tcBorders>
              <w:bottom w:val="single" w:sz="8" w:color="auto"/>
            </w:tcBorders>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900" w:type="dxa"/>
            <w:vAlign w:val="bottom"/>
            <w:tcBorders>
              <w:bottom w:val="single" w:sz="8" w:color="auto"/>
            </w:tcBorders>
          </w:tcPr>
          <w:p>
            <w:pPr>
              <w:jc w:val="right"/>
              <w:ind w:right="354"/>
              <w:spacing w:after="0" w:line="155" w:lineRule="exact"/>
              <w:rPr>
                <w:sz w:val="20"/>
                <w:szCs w:val="20"/>
                <w:color w:val="auto"/>
              </w:rPr>
            </w:pPr>
            <w:r>
              <w:rPr>
                <w:rFonts w:ascii="Arial" w:cs="Arial" w:eastAsia="Arial" w:hAnsi="Arial"/>
                <w:sz w:val="14"/>
                <w:szCs w:val="14"/>
                <w:b w:val="1"/>
                <w:bCs w:val="1"/>
                <w:color w:val="auto"/>
              </w:rPr>
              <w:t>2015</w:t>
            </w:r>
          </w:p>
        </w:tc>
        <w:tc>
          <w:tcPr>
            <w:tcW w:w="60" w:type="dxa"/>
            <w:vAlign w:val="bottom"/>
          </w:tcPr>
          <w:p>
            <w:pPr>
              <w:spacing w:after="0"/>
              <w:rPr>
                <w:sz w:val="13"/>
                <w:szCs w:val="13"/>
                <w:color w:val="auto"/>
              </w:rPr>
            </w:pPr>
          </w:p>
        </w:tc>
      </w:tr>
      <w:tr>
        <w:trPr>
          <w:trHeight w:val="156"/>
        </w:trPr>
        <w:tc>
          <w:tcPr>
            <w:tcW w:w="2740" w:type="dxa"/>
            <w:vAlign w:val="bottom"/>
          </w:tcPr>
          <w:p>
            <w:pPr>
              <w:spacing w:after="0"/>
              <w:rPr>
                <w:sz w:val="13"/>
                <w:szCs w:val="13"/>
                <w:color w:val="auto"/>
              </w:rPr>
            </w:pPr>
          </w:p>
        </w:tc>
        <w:tc>
          <w:tcPr>
            <w:tcW w:w="13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40" w:type="dxa"/>
            <w:vAlign w:val="bottom"/>
            <w:gridSpan w:val="2"/>
          </w:tcPr>
          <w:p>
            <w:pPr>
              <w:jc w:val="center"/>
              <w:ind w:right="320"/>
              <w:spacing w:after="0" w:line="155" w:lineRule="exact"/>
              <w:rPr>
                <w:sz w:val="20"/>
                <w:szCs w:val="20"/>
                <w:color w:val="auto"/>
              </w:rPr>
            </w:pPr>
            <w:r>
              <w:rPr>
                <w:rFonts w:ascii="Arial" w:cs="Arial" w:eastAsia="Arial" w:hAnsi="Arial"/>
                <w:sz w:val="14"/>
                <w:szCs w:val="14"/>
                <w:b w:val="1"/>
                <w:bCs w:val="1"/>
                <w:color w:val="auto"/>
                <w:w w:val="91"/>
              </w:rPr>
              <w:t>(in thousands)</w:t>
            </w:r>
          </w:p>
        </w:tc>
        <w:tc>
          <w:tcPr>
            <w:tcW w:w="26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60" w:type="dxa"/>
            <w:vAlign w:val="bottom"/>
          </w:tcPr>
          <w:p>
            <w:pPr>
              <w:spacing w:after="0"/>
              <w:rPr>
                <w:sz w:val="13"/>
                <w:szCs w:val="13"/>
                <w:color w:val="auto"/>
              </w:rPr>
            </w:pPr>
          </w:p>
        </w:tc>
      </w:tr>
      <w:tr>
        <w:trPr>
          <w:trHeight w:val="230"/>
        </w:trPr>
        <w:tc>
          <w:tcPr>
            <w:tcW w:w="2740" w:type="dxa"/>
            <w:vAlign w:val="bottom"/>
            <w:shd w:val="clear" w:color="auto" w:fill="CFF0FC"/>
          </w:tcPr>
          <w:p>
            <w:pPr>
              <w:spacing w:after="0"/>
              <w:rPr>
                <w:sz w:val="20"/>
                <w:szCs w:val="20"/>
                <w:color w:val="auto"/>
              </w:rPr>
            </w:pPr>
            <w:r>
              <w:rPr>
                <w:rFonts w:ascii="Arial" w:cs="Arial" w:eastAsia="Arial" w:hAnsi="Arial"/>
                <w:sz w:val="18"/>
                <w:szCs w:val="18"/>
                <w:color w:val="auto"/>
              </w:rPr>
              <w:t>Systems</w:t>
            </w:r>
          </w:p>
        </w:tc>
        <w:tc>
          <w:tcPr>
            <w:tcW w:w="1580" w:type="dxa"/>
            <w:vAlign w:val="bottom"/>
            <w:gridSpan w:val="2"/>
            <w:shd w:val="clear" w:color="auto" w:fill="CFF0FC"/>
          </w:tcPr>
          <w:p>
            <w:pPr>
              <w:jc w:val="right"/>
              <w:ind w:right="70"/>
              <w:spacing w:after="0"/>
              <w:rPr>
                <w:sz w:val="20"/>
                <w:szCs w:val="20"/>
                <w:color w:val="auto"/>
              </w:rPr>
            </w:pPr>
            <w:r>
              <w:rPr>
                <w:rFonts w:ascii="Arial" w:cs="Arial" w:eastAsia="Arial" w:hAnsi="Arial"/>
                <w:sz w:val="18"/>
                <w:szCs w:val="18"/>
                <w:color w:val="auto"/>
              </w:rPr>
              <w:t>$</w:t>
            </w: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11,405</w:t>
            </w:r>
          </w:p>
        </w:tc>
        <w:tc>
          <w:tcPr>
            <w:tcW w:w="30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7,193</w:t>
            </w:r>
          </w:p>
        </w:tc>
        <w:tc>
          <w:tcPr>
            <w:tcW w:w="200" w:type="dxa"/>
            <w:vAlign w:val="bottom"/>
            <w:shd w:val="clear" w:color="auto" w:fill="CFF0FC"/>
          </w:tcPr>
          <w:p>
            <w:pPr>
              <w:spacing w:after="0"/>
              <w:rPr>
                <w:sz w:val="19"/>
                <w:szCs w:val="19"/>
                <w:color w:val="auto"/>
              </w:rPr>
            </w:pPr>
          </w:p>
        </w:tc>
        <w:tc>
          <w:tcPr>
            <w:tcW w:w="260" w:type="dxa"/>
            <w:vAlign w:val="bottom"/>
            <w:shd w:val="clear" w:color="auto" w:fill="CFF0FC"/>
          </w:tcPr>
          <w:p>
            <w:pPr>
              <w:jc w:val="right"/>
              <w:ind w:right="70"/>
              <w:spacing w:after="0"/>
              <w:rPr>
                <w:sz w:val="20"/>
                <w:szCs w:val="20"/>
                <w:color w:val="auto"/>
              </w:rPr>
            </w:pPr>
            <w:r>
              <w:rPr>
                <w:rFonts w:ascii="Arial" w:cs="Arial" w:eastAsia="Arial" w:hAnsi="Arial"/>
                <w:sz w:val="18"/>
                <w:szCs w:val="18"/>
                <w:color w:val="auto"/>
                <w:w w:val="79"/>
              </w:rPr>
              <w:t>$</w:t>
            </w: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10,594</w:t>
            </w:r>
          </w:p>
        </w:tc>
        <w:tc>
          <w:tcPr>
            <w:tcW w:w="60" w:type="dxa"/>
            <w:vAlign w:val="bottom"/>
            <w:shd w:val="clear" w:color="auto" w:fill="CFF0FC"/>
          </w:tcPr>
          <w:p>
            <w:pPr>
              <w:spacing w:after="0"/>
              <w:rPr>
                <w:sz w:val="19"/>
                <w:szCs w:val="19"/>
                <w:color w:val="auto"/>
              </w:rPr>
            </w:pPr>
          </w:p>
        </w:tc>
      </w:tr>
      <w:tr>
        <w:trPr>
          <w:trHeight w:val="230"/>
        </w:trPr>
        <w:tc>
          <w:tcPr>
            <w:tcW w:w="2740" w:type="dxa"/>
            <w:vAlign w:val="bottom"/>
          </w:tcPr>
          <w:p>
            <w:pPr>
              <w:spacing w:after="0"/>
              <w:rPr>
                <w:sz w:val="20"/>
                <w:szCs w:val="20"/>
                <w:color w:val="auto"/>
              </w:rPr>
            </w:pPr>
            <w:r>
              <w:rPr>
                <w:rFonts w:ascii="Arial" w:cs="Arial" w:eastAsia="Arial" w:hAnsi="Arial"/>
                <w:sz w:val="18"/>
                <w:szCs w:val="18"/>
                <w:color w:val="auto"/>
              </w:rPr>
              <w:t>Procedure based</w:t>
            </w:r>
          </w:p>
        </w:tc>
        <w:tc>
          <w:tcPr>
            <w:tcW w:w="13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7,971</w:t>
            </w: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6,927</w:t>
            </w:r>
          </w:p>
        </w:tc>
        <w:tc>
          <w:tcPr>
            <w:tcW w:w="2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5,766</w:t>
            </w:r>
          </w:p>
        </w:tc>
        <w:tc>
          <w:tcPr>
            <w:tcW w:w="60" w:type="dxa"/>
            <w:vAlign w:val="bottom"/>
          </w:tcPr>
          <w:p>
            <w:pPr>
              <w:spacing w:after="0"/>
              <w:rPr>
                <w:sz w:val="19"/>
                <w:szCs w:val="19"/>
                <w:color w:val="auto"/>
              </w:rPr>
            </w:pPr>
          </w:p>
        </w:tc>
      </w:tr>
      <w:tr>
        <w:trPr>
          <w:trHeight w:val="230"/>
        </w:trPr>
        <w:tc>
          <w:tcPr>
            <w:tcW w:w="2740" w:type="dxa"/>
            <w:vAlign w:val="bottom"/>
            <w:shd w:val="clear" w:color="auto" w:fill="CFF0FC"/>
          </w:tcPr>
          <w:p>
            <w:pPr>
              <w:spacing w:after="0"/>
              <w:rPr>
                <w:sz w:val="20"/>
                <w:szCs w:val="20"/>
                <w:color w:val="auto"/>
              </w:rPr>
            </w:pPr>
            <w:r>
              <w:rPr>
                <w:rFonts w:ascii="Arial" w:cs="Arial" w:eastAsia="Arial" w:hAnsi="Arial"/>
                <w:sz w:val="18"/>
                <w:szCs w:val="18"/>
                <w:color w:val="auto"/>
              </w:rPr>
              <w:t>Service related fees</w:t>
            </w:r>
          </w:p>
        </w:tc>
        <w:tc>
          <w:tcPr>
            <w:tcW w:w="1320" w:type="dxa"/>
            <w:vAlign w:val="bottom"/>
            <w:shd w:val="clear" w:color="auto" w:fill="CFF0FC"/>
          </w:tcPr>
          <w:p>
            <w:pPr>
              <w:spacing w:after="0"/>
              <w:rPr>
                <w:sz w:val="19"/>
                <w:szCs w:val="19"/>
                <w:color w:val="auto"/>
              </w:rPr>
            </w:pPr>
          </w:p>
        </w:tc>
        <w:tc>
          <w:tcPr>
            <w:tcW w:w="260" w:type="dxa"/>
            <w:vAlign w:val="bottom"/>
            <w:tcBorders>
              <w:bottom w:val="single" w:sz="8" w:color="auto"/>
            </w:tcBorders>
            <w:shd w:val="clear" w:color="auto" w:fill="CFF0FC"/>
          </w:tcPr>
          <w:p>
            <w:pPr>
              <w:spacing w:after="0"/>
              <w:rPr>
                <w:sz w:val="19"/>
                <w:szCs w:val="19"/>
                <w:color w:val="auto"/>
              </w:rPr>
            </w:pPr>
          </w:p>
        </w:tc>
        <w:tc>
          <w:tcPr>
            <w:tcW w:w="9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1,921</w:t>
            </w:r>
          </w:p>
        </w:tc>
        <w:tc>
          <w:tcPr>
            <w:tcW w:w="200" w:type="dxa"/>
            <w:vAlign w:val="bottom"/>
            <w:shd w:val="clear" w:color="auto" w:fill="CFF0FC"/>
          </w:tcPr>
          <w:p>
            <w:pPr>
              <w:spacing w:after="0"/>
              <w:rPr>
                <w:sz w:val="19"/>
                <w:szCs w:val="19"/>
                <w:color w:val="auto"/>
              </w:rPr>
            </w:pPr>
          </w:p>
        </w:tc>
        <w:tc>
          <w:tcPr>
            <w:tcW w:w="100" w:type="dxa"/>
            <w:vAlign w:val="bottom"/>
            <w:tcBorders>
              <w:bottom w:val="single" w:sz="8" w:color="auto"/>
            </w:tcBorders>
            <w:shd w:val="clear" w:color="auto" w:fill="CFF0FC"/>
          </w:tcPr>
          <w:p>
            <w:pPr>
              <w:spacing w:after="0"/>
              <w:rPr>
                <w:sz w:val="19"/>
                <w:szCs w:val="19"/>
                <w:color w:val="auto"/>
              </w:rPr>
            </w:pPr>
          </w:p>
        </w:tc>
        <w:tc>
          <w:tcPr>
            <w:tcW w:w="10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1,480</w:t>
            </w:r>
          </w:p>
        </w:tc>
        <w:tc>
          <w:tcPr>
            <w:tcW w:w="200" w:type="dxa"/>
            <w:vAlign w:val="bottom"/>
            <w:shd w:val="clear" w:color="auto" w:fill="CFF0FC"/>
          </w:tcPr>
          <w:p>
            <w:pPr>
              <w:spacing w:after="0"/>
              <w:rPr>
                <w:sz w:val="19"/>
                <w:szCs w:val="19"/>
                <w:color w:val="auto"/>
              </w:rPr>
            </w:pPr>
          </w:p>
        </w:tc>
        <w:tc>
          <w:tcPr>
            <w:tcW w:w="260" w:type="dxa"/>
            <w:vAlign w:val="bottom"/>
            <w:tcBorders>
              <w:bottom w:val="single" w:sz="8" w:color="auto"/>
            </w:tcBorders>
            <w:shd w:val="clear" w:color="auto" w:fill="CFF0FC"/>
          </w:tcPr>
          <w:p>
            <w:pPr>
              <w:spacing w:after="0"/>
              <w:rPr>
                <w:sz w:val="19"/>
                <w:szCs w:val="19"/>
                <w:color w:val="auto"/>
              </w:rPr>
            </w:pPr>
          </w:p>
        </w:tc>
        <w:tc>
          <w:tcPr>
            <w:tcW w:w="9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870</w:t>
            </w:r>
          </w:p>
        </w:tc>
        <w:tc>
          <w:tcPr>
            <w:tcW w:w="60" w:type="dxa"/>
            <w:vAlign w:val="bottom"/>
            <w:shd w:val="clear" w:color="auto" w:fill="CFF0FC"/>
          </w:tcPr>
          <w:p>
            <w:pPr>
              <w:spacing w:after="0"/>
              <w:rPr>
                <w:sz w:val="19"/>
                <w:szCs w:val="19"/>
                <w:color w:val="auto"/>
              </w:rPr>
            </w:pPr>
          </w:p>
        </w:tc>
      </w:tr>
      <w:tr>
        <w:trPr>
          <w:trHeight w:val="223"/>
        </w:trPr>
        <w:tc>
          <w:tcPr>
            <w:tcW w:w="2740" w:type="dxa"/>
            <w:vAlign w:val="bottom"/>
          </w:tcPr>
          <w:p>
            <w:pPr>
              <w:ind w:left="120"/>
              <w:spacing w:after="0"/>
              <w:rPr>
                <w:sz w:val="20"/>
                <w:szCs w:val="20"/>
                <w:color w:val="auto"/>
              </w:rPr>
            </w:pPr>
            <w:r>
              <w:rPr>
                <w:rFonts w:ascii="Arial" w:cs="Arial" w:eastAsia="Arial" w:hAnsi="Arial"/>
                <w:sz w:val="18"/>
                <w:szCs w:val="18"/>
                <w:color w:val="auto"/>
              </w:rPr>
              <w:t>Total revenue</w:t>
            </w:r>
          </w:p>
        </w:tc>
        <w:tc>
          <w:tcPr>
            <w:tcW w:w="1320" w:type="dxa"/>
            <w:vAlign w:val="bottom"/>
          </w:tcPr>
          <w:p>
            <w:pPr>
              <w:spacing w:after="0"/>
              <w:rPr>
                <w:sz w:val="19"/>
                <w:szCs w:val="19"/>
                <w:color w:val="auto"/>
              </w:rPr>
            </w:pPr>
          </w:p>
        </w:tc>
        <w:tc>
          <w:tcPr>
            <w:tcW w:w="26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w w:val="79"/>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21,297</w:t>
            </w:r>
          </w:p>
        </w:tc>
        <w:tc>
          <w:tcPr>
            <w:tcW w:w="200" w:type="dxa"/>
            <w:vAlign w:val="bottom"/>
          </w:tcPr>
          <w:p>
            <w:pPr>
              <w:spacing w:after="0"/>
              <w:rPr>
                <w:sz w:val="19"/>
                <w:szCs w:val="19"/>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15,600</w:t>
            </w:r>
          </w:p>
        </w:tc>
        <w:tc>
          <w:tcPr>
            <w:tcW w:w="200" w:type="dxa"/>
            <w:vAlign w:val="bottom"/>
          </w:tcPr>
          <w:p>
            <w:pPr>
              <w:spacing w:after="0"/>
              <w:rPr>
                <w:sz w:val="19"/>
                <w:szCs w:val="19"/>
                <w:color w:val="auto"/>
              </w:rPr>
            </w:pPr>
          </w:p>
        </w:tc>
        <w:tc>
          <w:tcPr>
            <w:tcW w:w="26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w w:val="79"/>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17,230</w:t>
            </w:r>
          </w:p>
        </w:tc>
        <w:tc>
          <w:tcPr>
            <w:tcW w:w="60" w:type="dxa"/>
            <w:vAlign w:val="bottom"/>
          </w:tcPr>
          <w:p>
            <w:pPr>
              <w:spacing w:after="0"/>
              <w:rPr>
                <w:sz w:val="19"/>
                <w:szCs w:val="19"/>
                <w:color w:val="auto"/>
              </w:rPr>
            </w:pPr>
          </w:p>
        </w:tc>
      </w:tr>
      <w:tr>
        <w:trPr>
          <w:trHeight w:val="20"/>
        </w:trPr>
        <w:tc>
          <w:tcPr>
            <w:tcW w:w="274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96" w:lineRule="exact"/>
        <w:rPr>
          <w:sz w:val="20"/>
          <w:szCs w:val="20"/>
          <w:color w:val="auto"/>
        </w:rPr>
      </w:pPr>
    </w:p>
    <w:p>
      <w:pPr>
        <w:ind w:left="1100" w:right="260" w:hanging="363"/>
        <w:spacing w:after="0" w:line="264" w:lineRule="auto"/>
        <w:tabs>
          <w:tab w:leader="none" w:pos="1100" w:val="left"/>
        </w:tabs>
        <w:numPr>
          <w:ilvl w:val="0"/>
          <w:numId w:val="47"/>
        </w:numPr>
        <w:rPr>
          <w:rFonts w:ascii="Arial" w:cs="Arial" w:eastAsia="Arial" w:hAnsi="Arial"/>
          <w:sz w:val="18"/>
          <w:szCs w:val="18"/>
          <w:color w:val="231F20"/>
        </w:rPr>
      </w:pPr>
      <w:r>
        <w:rPr>
          <w:rFonts w:ascii="Arial" w:cs="Arial" w:eastAsia="Arial" w:hAnsi="Arial"/>
          <w:sz w:val="18"/>
          <w:szCs w:val="18"/>
          <w:color w:val="231F20"/>
        </w:rPr>
        <w:t>Systems revenue increased from 2016 to 2017 as a result of increased unit sales largely due to an increase in sales and marketing activities. Systems revenue decreased from 2015 to 2016 due to the implementation of certain strategic changes in our U.S. sales force in 2016 that included terminating</w:t>
      </w:r>
    </w:p>
    <w:p>
      <w:pPr>
        <w:spacing w:after="0" w:line="200" w:lineRule="exact"/>
        <w:rPr>
          <w:sz w:val="20"/>
          <w:szCs w:val="20"/>
          <w:color w:val="auto"/>
        </w:rPr>
      </w:pPr>
    </w:p>
    <w:p>
      <w:pPr>
        <w:spacing w:after="0" w:line="22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380"/>
          </w:cols>
          <w:pgMar w:left="240" w:top="486" w:right="279" w:bottom="1440" w:gutter="0" w:footer="0" w:header="0"/>
        </w:sectPr>
      </w:pPr>
    </w:p>
    <w:bookmarkStart w:id="61" w:name="page62"/>
    <w:bookmarkEnd w:id="61"/>
    <w:p>
      <w:pPr>
        <w:ind w:left="1100" w:right="120"/>
        <w:spacing w:after="0" w:line="277" w:lineRule="auto"/>
        <w:rPr>
          <w:sz w:val="20"/>
          <w:szCs w:val="20"/>
          <w:color w:val="auto"/>
        </w:rPr>
      </w:pPr>
      <w:r>
        <w:rPr>
          <w:rFonts w:ascii="Arial" w:cs="Arial" w:eastAsia="Arial" w:hAnsi="Arial"/>
          <w:sz w:val="18"/>
          <w:szCs w:val="18"/>
          <w:color w:val="231F20"/>
        </w:rPr>
        <w:t>certain personnel and realigning our reporting and leadership structure in the sales organization, each of which disrupted some sales activities during this period.</w:t>
      </w:r>
    </w:p>
    <w:p>
      <w:pPr>
        <w:spacing w:after="0" w:line="62" w:lineRule="exact"/>
        <w:rPr>
          <w:sz w:val="20"/>
          <w:szCs w:val="20"/>
          <w:color w:val="auto"/>
        </w:rPr>
      </w:pPr>
    </w:p>
    <w:p>
      <w:pPr>
        <w:ind w:left="1100" w:hanging="363"/>
        <w:spacing w:after="0" w:line="259" w:lineRule="auto"/>
        <w:tabs>
          <w:tab w:leader="none" w:pos="1100" w:val="left"/>
        </w:tabs>
        <w:numPr>
          <w:ilvl w:val="0"/>
          <w:numId w:val="48"/>
        </w:numPr>
        <w:rPr>
          <w:rFonts w:ascii="Arial" w:cs="Arial" w:eastAsia="Arial" w:hAnsi="Arial"/>
          <w:sz w:val="18"/>
          <w:szCs w:val="18"/>
          <w:color w:val="231F20"/>
        </w:rPr>
      </w:pPr>
      <w:r>
        <w:rPr>
          <w:rFonts w:ascii="Arial" w:cs="Arial" w:eastAsia="Arial" w:hAnsi="Arial"/>
          <w:sz w:val="18"/>
          <w:szCs w:val="18"/>
          <w:color w:val="231F20"/>
        </w:rPr>
        <w:t>Revenue from procedure based fees increased from 2015 to 2016 and increased again from 2016 to 2017. While the procedure based fees increased during these periods, the total number of procedures performed during these periods did not increase proportionally with the increase in the installed base of ARTAS Systems and we have experienced only a slight increase in the total number of procedures performed period-over-period.</w:t>
      </w:r>
    </w:p>
    <w:p>
      <w:pPr>
        <w:spacing w:after="0" w:line="78" w:lineRule="exact"/>
        <w:rPr>
          <w:rFonts w:ascii="Arial" w:cs="Arial" w:eastAsia="Arial" w:hAnsi="Arial"/>
          <w:sz w:val="18"/>
          <w:szCs w:val="18"/>
          <w:color w:val="231F20"/>
        </w:rPr>
      </w:pPr>
    </w:p>
    <w:p>
      <w:pPr>
        <w:ind w:left="1100" w:right="340" w:hanging="363"/>
        <w:spacing w:after="0" w:line="277" w:lineRule="auto"/>
        <w:tabs>
          <w:tab w:leader="none" w:pos="1100" w:val="left"/>
        </w:tabs>
        <w:numPr>
          <w:ilvl w:val="0"/>
          <w:numId w:val="48"/>
        </w:numPr>
        <w:rPr>
          <w:rFonts w:ascii="Arial" w:cs="Arial" w:eastAsia="Arial" w:hAnsi="Arial"/>
          <w:sz w:val="18"/>
          <w:szCs w:val="18"/>
          <w:color w:val="231F20"/>
        </w:rPr>
      </w:pPr>
      <w:r>
        <w:rPr>
          <w:rFonts w:ascii="Arial" w:cs="Arial" w:eastAsia="Arial" w:hAnsi="Arial"/>
          <w:sz w:val="18"/>
          <w:szCs w:val="18"/>
          <w:color w:val="231F20"/>
        </w:rPr>
        <w:t>Service-related fees increased from 2015 to 2016 and increased again from 2016 to 2017 primarily due to an increase in each period in the number of post-warranty maintenance contracts sold as a result of the larger installed base.</w:t>
      </w:r>
    </w:p>
    <w:p>
      <w:pPr>
        <w:spacing w:after="0" w:line="62" w:lineRule="exact"/>
        <w:rPr>
          <w:sz w:val="20"/>
          <w:szCs w:val="20"/>
          <w:color w:val="auto"/>
        </w:rPr>
      </w:pPr>
    </w:p>
    <w:p>
      <w:pPr>
        <w:ind w:right="140"/>
        <w:spacing w:after="0" w:line="293" w:lineRule="auto"/>
        <w:rPr>
          <w:sz w:val="20"/>
          <w:szCs w:val="20"/>
          <w:color w:val="auto"/>
        </w:rPr>
      </w:pPr>
      <w:r>
        <w:rPr>
          <w:rFonts w:ascii="Arial" w:cs="Arial" w:eastAsia="Arial" w:hAnsi="Arial"/>
          <w:sz w:val="16"/>
          <w:szCs w:val="16"/>
          <w:color w:val="231F20"/>
        </w:rPr>
        <w:t>Historically, the majority of our revenue and our revenue growth has been generated through system sales. While we would expect our procedure based fees to continue to increase as our installed base of ARTAS Systems grows worldwide, the total number of procedures has not increased proportionally with the increase in our installed base and the number of procedures performed tends to vary from quarter-to-quarter. We sold 47 ARTAS Systems and 32 ARTAS Systems in 2017 and 2016, representing an aggregate installed base growth of approximately 45% from December 31, 2015, or 174 to 253 systems, yet our procedure based fees have increased by approximately 38%, or $2.2 million, from 2015 to 2017. We believe that revenue from procedure based fees has not grown proportionally with the increase in our installed base and varies from quarter-to-quarter due to a number factors, including:</w:t>
      </w:r>
    </w:p>
    <w:p>
      <w:pPr>
        <w:spacing w:after="0" w:line="57" w:lineRule="exact"/>
        <w:rPr>
          <w:sz w:val="20"/>
          <w:szCs w:val="20"/>
          <w:color w:val="auto"/>
        </w:rPr>
      </w:pPr>
    </w:p>
    <w:p>
      <w:pPr>
        <w:ind w:left="1100" w:right="260" w:hanging="363"/>
        <w:spacing w:after="0" w:line="264" w:lineRule="auto"/>
        <w:tabs>
          <w:tab w:leader="none" w:pos="1100" w:val="left"/>
        </w:tabs>
        <w:numPr>
          <w:ilvl w:val="0"/>
          <w:numId w:val="49"/>
        </w:numPr>
        <w:rPr>
          <w:rFonts w:ascii="Arial" w:cs="Arial" w:eastAsia="Arial" w:hAnsi="Arial"/>
          <w:sz w:val="18"/>
          <w:szCs w:val="18"/>
          <w:color w:val="231F20"/>
        </w:rPr>
      </w:pPr>
      <w:r>
        <w:rPr>
          <w:rFonts w:ascii="Arial" w:cs="Arial" w:eastAsia="Arial" w:hAnsi="Arial"/>
          <w:sz w:val="18"/>
          <w:szCs w:val="18"/>
          <w:color w:val="231F20"/>
        </w:rPr>
        <w:t>physician uptake causing a slow ramp-up to utilizing the ARTAS System, which is particularly evident with physicians who are new to hair restoration procedures or physicians who do not operate a solely hair restoration focused practice who are commonly the profile we are targeting;</w:t>
      </w:r>
    </w:p>
    <w:p>
      <w:pPr>
        <w:spacing w:after="0" w:line="73" w:lineRule="exact"/>
        <w:rPr>
          <w:rFonts w:ascii="Arial" w:cs="Arial" w:eastAsia="Arial" w:hAnsi="Arial"/>
          <w:sz w:val="18"/>
          <w:szCs w:val="18"/>
          <w:color w:val="231F20"/>
        </w:rPr>
      </w:pPr>
    </w:p>
    <w:p>
      <w:pPr>
        <w:ind w:left="1100" w:right="320" w:hanging="363"/>
        <w:spacing w:after="0" w:line="342" w:lineRule="auto"/>
        <w:tabs>
          <w:tab w:leader="none" w:pos="1100" w:val="left"/>
        </w:tabs>
        <w:numPr>
          <w:ilvl w:val="0"/>
          <w:numId w:val="49"/>
        </w:numPr>
        <w:rPr>
          <w:rFonts w:ascii="Arial" w:cs="Arial" w:eastAsia="Arial" w:hAnsi="Arial"/>
          <w:sz w:val="16"/>
          <w:szCs w:val="16"/>
          <w:color w:val="231F20"/>
        </w:rPr>
      </w:pPr>
      <w:r>
        <w:rPr>
          <w:rFonts w:ascii="Arial" w:cs="Arial" w:eastAsia="Arial" w:hAnsi="Arial"/>
          <w:sz w:val="16"/>
          <w:szCs w:val="16"/>
          <w:color w:val="231F20"/>
        </w:rPr>
        <w:t>capacity limitations with the current installed base of ARTAS Systems, which can result in procedure based fees not growing as quickly as system sales, as high performing practitioners are limited in the number of procedures that can be performed in any given period;</w:t>
      </w:r>
    </w:p>
    <w:p>
      <w:pPr>
        <w:spacing w:after="0" w:line="15" w:lineRule="exact"/>
        <w:rPr>
          <w:rFonts w:ascii="Arial" w:cs="Arial" w:eastAsia="Arial" w:hAnsi="Arial"/>
          <w:sz w:val="16"/>
          <w:szCs w:val="16"/>
          <w:color w:val="231F20"/>
        </w:rPr>
      </w:pPr>
    </w:p>
    <w:p>
      <w:pPr>
        <w:ind w:left="1100" w:hanging="363"/>
        <w:spacing w:after="0"/>
        <w:tabs>
          <w:tab w:leader="none" w:pos="1100" w:val="left"/>
        </w:tabs>
        <w:numPr>
          <w:ilvl w:val="0"/>
          <w:numId w:val="49"/>
        </w:numPr>
        <w:rPr>
          <w:rFonts w:ascii="Arial" w:cs="Arial" w:eastAsia="Arial" w:hAnsi="Arial"/>
          <w:sz w:val="18"/>
          <w:szCs w:val="18"/>
          <w:color w:val="231F20"/>
        </w:rPr>
      </w:pPr>
      <w:r>
        <w:rPr>
          <w:rFonts w:ascii="Arial" w:cs="Arial" w:eastAsia="Arial" w:hAnsi="Arial"/>
          <w:sz w:val="18"/>
          <w:szCs w:val="18"/>
          <w:color w:val="231F20"/>
        </w:rPr>
        <w:t>limited or no utilization of the ARTAS System after purchase as a result of a change in physician preference or practice; and</w:t>
      </w:r>
    </w:p>
    <w:p>
      <w:pPr>
        <w:spacing w:after="0" w:line="117" w:lineRule="exact"/>
        <w:rPr>
          <w:rFonts w:ascii="Arial" w:cs="Arial" w:eastAsia="Arial" w:hAnsi="Arial"/>
          <w:sz w:val="18"/>
          <w:szCs w:val="18"/>
          <w:color w:val="231F20"/>
        </w:rPr>
      </w:pPr>
    </w:p>
    <w:p>
      <w:pPr>
        <w:ind w:left="1100" w:right="20" w:hanging="363"/>
        <w:spacing w:after="0" w:line="342" w:lineRule="auto"/>
        <w:tabs>
          <w:tab w:leader="none" w:pos="1100" w:val="left"/>
        </w:tabs>
        <w:numPr>
          <w:ilvl w:val="0"/>
          <w:numId w:val="49"/>
        </w:numPr>
        <w:rPr>
          <w:rFonts w:ascii="Arial" w:cs="Arial" w:eastAsia="Arial" w:hAnsi="Arial"/>
          <w:sz w:val="16"/>
          <w:szCs w:val="16"/>
          <w:color w:val="231F20"/>
        </w:rPr>
      </w:pPr>
      <w:r>
        <w:rPr>
          <w:rFonts w:ascii="Arial" w:cs="Arial" w:eastAsia="Arial" w:hAnsi="Arial"/>
          <w:sz w:val="16"/>
          <w:szCs w:val="16"/>
          <w:color w:val="231F20"/>
        </w:rPr>
        <w:t>the concentration of ARTAS procedures being performed on a limited number of ARTAS Systems leading to volatility between periods if particular high volume practitioners perform a smaller number of procedures in a given period which often happens during the summer period.</w:t>
      </w:r>
    </w:p>
    <w:p>
      <w:pPr>
        <w:spacing w:after="0" w:line="16" w:lineRule="exact"/>
        <w:rPr>
          <w:sz w:val="20"/>
          <w:szCs w:val="20"/>
          <w:color w:val="auto"/>
        </w:rPr>
      </w:pPr>
    </w:p>
    <w:p>
      <w:pPr>
        <w:ind w:right="160"/>
        <w:spacing w:after="0" w:line="302" w:lineRule="auto"/>
        <w:rPr>
          <w:sz w:val="20"/>
          <w:szCs w:val="20"/>
          <w:color w:val="auto"/>
        </w:rPr>
      </w:pPr>
      <w:r>
        <w:rPr>
          <w:rFonts w:ascii="Arial" w:cs="Arial" w:eastAsia="Arial" w:hAnsi="Arial"/>
          <w:sz w:val="16"/>
          <w:szCs w:val="16"/>
          <w:color w:val="231F20"/>
        </w:rPr>
        <w:t>In order to increase the number of procedures performed per ARTAS System unit, and in turn increase revenue from procedure based fees, we have, in connection with the leadership and sales and marketing changes implemented in the second half of 2016, initiated programs to assist certain physicians in marketing efforts, patient education and practice optimization to increase utilization of the ARTAS System. If these efforts are successful, we anticipate that the growth in procedure based fees will increase and that quarterly fluctuations in the number of total procedures performed will be reduced.</w:t>
      </w:r>
    </w:p>
    <w:p>
      <w:pPr>
        <w:spacing w:after="0" w:line="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231F20"/>
        </w:rPr>
        <w:t>Growth in Revenue from Markets Outside the U.S.</w:t>
      </w:r>
    </w:p>
    <w:p>
      <w:pPr>
        <w:spacing w:after="0" w:line="117" w:lineRule="exact"/>
        <w:rPr>
          <w:sz w:val="20"/>
          <w:szCs w:val="20"/>
          <w:color w:val="auto"/>
        </w:rPr>
      </w:pPr>
    </w:p>
    <w:p>
      <w:pPr>
        <w:ind w:right="180"/>
        <w:spacing w:after="0" w:line="259" w:lineRule="auto"/>
        <w:rPr>
          <w:sz w:val="20"/>
          <w:szCs w:val="20"/>
          <w:color w:val="auto"/>
        </w:rPr>
      </w:pPr>
      <w:r>
        <w:rPr>
          <w:rFonts w:ascii="Arial" w:cs="Arial" w:eastAsia="Arial" w:hAnsi="Arial"/>
          <w:sz w:val="18"/>
          <w:szCs w:val="18"/>
          <w:color w:val="231F20"/>
        </w:rPr>
        <w:t>Since launching the ARTAS System in 2011, we have obtained clearance to sell our products in a total of 61 countries. In June 2012, we obtained our CE mark to sell our product into the European Economic Area, or EEA. We have sold into 37 countries and sell directly into the U.S., Korea, Hong Kong, Singapore, Spain, Poland, Benelux and Scandinavia, and through distributors in the other countries. Most recently, we obtained clearance to sell in China in September 2016.</w:t>
      </w:r>
    </w:p>
    <w:p>
      <w:pPr>
        <w:spacing w:after="0" w:line="200" w:lineRule="exact"/>
        <w:rPr>
          <w:sz w:val="20"/>
          <w:szCs w:val="20"/>
          <w:color w:val="auto"/>
        </w:rPr>
      </w:pPr>
    </w:p>
    <w:p>
      <w:pPr>
        <w:spacing w:after="0" w:line="23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449" w:right="259" w:bottom="1440" w:gutter="0" w:footer="0" w:header="0"/>
        </w:sectPr>
      </w:pPr>
    </w:p>
    <w:bookmarkStart w:id="62" w:name="page63"/>
    <w:bookmarkEnd w:id="62"/>
    <w:p>
      <w:pPr>
        <w:ind w:right="60"/>
        <w:spacing w:after="0" w:line="342" w:lineRule="auto"/>
        <w:rPr>
          <w:sz w:val="20"/>
          <w:szCs w:val="20"/>
          <w:color w:val="auto"/>
        </w:rPr>
      </w:pPr>
      <w:r>
        <w:rPr>
          <w:rFonts w:ascii="Arial" w:cs="Arial" w:eastAsia="Arial" w:hAnsi="Arial"/>
          <w:sz w:val="16"/>
          <w:szCs w:val="16"/>
          <w:color w:val="231F20"/>
        </w:rPr>
        <w:t>A significant portion of our revenue come from markets outside of the U.S. We believe that this trend will continue as a result of increased penetration in the countries where we sell the ARTAS System, as well as expansion into new international markets. The percentages of our revenue by region are as follows:</w:t>
      </w:r>
    </w:p>
    <w:p>
      <w:pPr>
        <w:spacing w:after="0" w:line="116" w:lineRule="exact"/>
        <w:rPr>
          <w:sz w:val="20"/>
          <w:szCs w:val="20"/>
          <w:color w:val="auto"/>
        </w:rPr>
      </w:pPr>
    </w:p>
    <w:p>
      <w:pPr>
        <w:ind w:left="7080"/>
        <w:spacing w:after="0"/>
        <w:rPr>
          <w:sz w:val="20"/>
          <w:szCs w:val="20"/>
          <w:color w:val="auto"/>
        </w:rPr>
      </w:pPr>
      <w:r>
        <w:rPr>
          <w:rFonts w:ascii="Arial" w:cs="Arial" w:eastAsia="Arial" w:hAnsi="Arial"/>
          <w:sz w:val="14"/>
          <w:szCs w:val="14"/>
          <w:b w:val="1"/>
          <w:bCs w:val="1"/>
          <w:color w:val="auto"/>
        </w:rPr>
        <w:t>Year Ended December 31,</w:t>
      </w:r>
    </w:p>
    <w:p>
      <w:pPr>
        <w:spacing w:after="0" w:line="10" w:lineRule="exact"/>
        <w:rPr>
          <w:sz w:val="20"/>
          <w:szCs w:val="20"/>
          <w:color w:val="auto"/>
        </w:rPr>
      </w:pPr>
    </w:p>
    <w:tbl>
      <w:tblPr>
        <w:tblLayout w:type="fixed"/>
        <w:tblInd w:w="1720" w:type="dxa"/>
        <w:tblCellMar>
          <w:top w:w="0" w:type="dxa"/>
          <w:left w:w="0" w:type="dxa"/>
          <w:bottom w:w="0" w:type="dxa"/>
          <w:right w:w="0" w:type="dxa"/>
        </w:tblCellMar>
      </w:tblPr>
      <w:tr>
        <w:trPr>
          <w:trHeight w:val="156"/>
        </w:trPr>
        <w:tc>
          <w:tcPr>
            <w:tcW w:w="4560" w:type="dxa"/>
            <w:vAlign w:val="bottom"/>
            <w:tcBorders>
              <w:bottom w:val="single" w:sz="8" w:color="CFF0FC"/>
            </w:tcBorders>
          </w:tcPr>
          <w:p>
            <w:pPr>
              <w:spacing w:after="0"/>
              <w:rPr>
                <w:sz w:val="13"/>
                <w:szCs w:val="13"/>
                <w:color w:val="auto"/>
              </w:rPr>
            </w:pPr>
          </w:p>
        </w:tc>
        <w:tc>
          <w:tcPr>
            <w:tcW w:w="60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b w:val="1"/>
                <w:bCs w:val="1"/>
                <w:color w:val="auto"/>
              </w:rPr>
              <w:t>2017</w:t>
            </w:r>
          </w:p>
        </w:tc>
        <w:tc>
          <w:tcPr>
            <w:tcW w:w="280" w:type="dxa"/>
            <w:vAlign w:val="bottom"/>
            <w:tcBorders>
              <w:top w:val="single" w:sz="8" w:color="auto"/>
              <w:bottom w:val="single" w:sz="8" w:color="auto"/>
            </w:tcBorders>
          </w:tcPr>
          <w:p>
            <w:pPr>
              <w:spacing w:after="0"/>
              <w:rPr>
                <w:sz w:val="13"/>
                <w:szCs w:val="13"/>
                <w:color w:val="auto"/>
              </w:rPr>
            </w:pPr>
          </w:p>
        </w:tc>
        <w:tc>
          <w:tcPr>
            <w:tcW w:w="280" w:type="dxa"/>
            <w:vAlign w:val="bottom"/>
            <w:tcBorders>
              <w:top w:val="single" w:sz="8" w:color="auto"/>
              <w:bottom w:val="single" w:sz="8" w:color="CFF0FC"/>
            </w:tcBorders>
          </w:tcPr>
          <w:p>
            <w:pPr>
              <w:spacing w:after="0"/>
              <w:rPr>
                <w:sz w:val="13"/>
                <w:szCs w:val="13"/>
                <w:color w:val="auto"/>
              </w:rPr>
            </w:pPr>
          </w:p>
        </w:tc>
        <w:tc>
          <w:tcPr>
            <w:tcW w:w="880" w:type="dxa"/>
            <w:vAlign w:val="bottom"/>
            <w:tcBorders>
              <w:top w:val="single" w:sz="8" w:color="auto"/>
              <w:bottom w:val="single" w:sz="8" w:color="auto"/>
            </w:tcBorders>
          </w:tcPr>
          <w:p>
            <w:pPr>
              <w:jc w:val="right"/>
              <w:ind w:right="213"/>
              <w:spacing w:after="0" w:line="155" w:lineRule="exact"/>
              <w:rPr>
                <w:sz w:val="20"/>
                <w:szCs w:val="20"/>
                <w:color w:val="auto"/>
              </w:rPr>
            </w:pPr>
            <w:r>
              <w:rPr>
                <w:rFonts w:ascii="Arial" w:cs="Arial" w:eastAsia="Arial" w:hAnsi="Arial"/>
                <w:sz w:val="14"/>
                <w:szCs w:val="14"/>
                <w:b w:val="1"/>
                <w:bCs w:val="1"/>
                <w:color w:val="auto"/>
              </w:rPr>
              <w:t>2016</w:t>
            </w:r>
          </w:p>
        </w:tc>
        <w:tc>
          <w:tcPr>
            <w:tcW w:w="300" w:type="dxa"/>
            <w:vAlign w:val="bottom"/>
            <w:tcBorders>
              <w:top w:val="single" w:sz="8" w:color="auto"/>
              <w:bottom w:val="single" w:sz="8" w:color="CFF0FC"/>
            </w:tcBorders>
          </w:tcPr>
          <w:p>
            <w:pPr>
              <w:spacing w:after="0"/>
              <w:rPr>
                <w:sz w:val="13"/>
                <w:szCs w:val="13"/>
                <w:color w:val="auto"/>
              </w:rPr>
            </w:pPr>
          </w:p>
        </w:tc>
        <w:tc>
          <w:tcPr>
            <w:tcW w:w="860" w:type="dxa"/>
            <w:vAlign w:val="bottom"/>
            <w:tcBorders>
              <w:top w:val="single" w:sz="8" w:color="auto"/>
              <w:bottom w:val="single" w:sz="8" w:color="auto"/>
            </w:tcBorders>
          </w:tcPr>
          <w:p>
            <w:pPr>
              <w:jc w:val="right"/>
              <w:ind w:right="213"/>
              <w:spacing w:after="0" w:line="155" w:lineRule="exact"/>
              <w:rPr>
                <w:sz w:val="20"/>
                <w:szCs w:val="20"/>
                <w:color w:val="auto"/>
              </w:rPr>
            </w:pPr>
            <w:r>
              <w:rPr>
                <w:rFonts w:ascii="Arial" w:cs="Arial" w:eastAsia="Arial" w:hAnsi="Arial"/>
                <w:sz w:val="14"/>
                <w:szCs w:val="14"/>
                <w:b w:val="1"/>
                <w:bCs w:val="1"/>
                <w:color w:val="auto"/>
              </w:rPr>
              <w:t>2015</w:t>
            </w:r>
          </w:p>
        </w:tc>
        <w:tc>
          <w:tcPr>
            <w:tcW w:w="220" w:type="dxa"/>
            <w:vAlign w:val="bottom"/>
            <w:tcBorders>
              <w:bottom w:val="single" w:sz="8" w:color="CFF0FC"/>
            </w:tcBorders>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4560" w:type="dxa"/>
            <w:vAlign w:val="bottom"/>
            <w:shd w:val="clear" w:color="auto" w:fill="CFF0FC"/>
          </w:tcPr>
          <w:p>
            <w:pPr>
              <w:spacing w:after="0"/>
              <w:rPr>
                <w:sz w:val="20"/>
                <w:szCs w:val="20"/>
                <w:color w:val="auto"/>
              </w:rPr>
            </w:pPr>
            <w:r>
              <w:rPr>
                <w:rFonts w:ascii="Arial" w:cs="Arial" w:eastAsia="Arial" w:hAnsi="Arial"/>
                <w:sz w:val="18"/>
                <w:szCs w:val="18"/>
                <w:color w:val="auto"/>
              </w:rPr>
              <w:t>United States</w:t>
            </w:r>
          </w:p>
        </w:tc>
        <w:tc>
          <w:tcPr>
            <w:tcW w:w="600" w:type="dxa"/>
            <w:vAlign w:val="bottom"/>
            <w:shd w:val="clear" w:color="auto" w:fill="CFF0FC"/>
          </w:tcPr>
          <w:p>
            <w:pPr>
              <w:spacing w:after="0"/>
              <w:rPr>
                <w:sz w:val="19"/>
                <w:szCs w:val="19"/>
                <w:color w:val="auto"/>
              </w:rPr>
            </w:pPr>
          </w:p>
        </w:tc>
        <w:tc>
          <w:tcPr>
            <w:tcW w:w="56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42%</w:t>
            </w:r>
          </w:p>
        </w:tc>
        <w:tc>
          <w:tcPr>
            <w:tcW w:w="118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43%</w:t>
            </w:r>
          </w:p>
        </w:tc>
        <w:tc>
          <w:tcPr>
            <w:tcW w:w="108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48%</w:t>
            </w:r>
          </w:p>
        </w:tc>
        <w:tc>
          <w:tcPr>
            <w:tcW w:w="0" w:type="dxa"/>
            <w:vAlign w:val="bottom"/>
          </w:tcPr>
          <w:p>
            <w:pPr>
              <w:spacing w:after="0"/>
              <w:rPr>
                <w:sz w:val="1"/>
                <w:szCs w:val="1"/>
                <w:color w:val="auto"/>
              </w:rPr>
            </w:pPr>
          </w:p>
        </w:tc>
      </w:tr>
      <w:tr>
        <w:trPr>
          <w:trHeight w:val="230"/>
        </w:trPr>
        <w:tc>
          <w:tcPr>
            <w:tcW w:w="5160" w:type="dxa"/>
            <w:vAlign w:val="bottom"/>
            <w:gridSpan w:val="2"/>
          </w:tcPr>
          <w:p>
            <w:pPr>
              <w:spacing w:after="0"/>
              <w:rPr>
                <w:sz w:val="20"/>
                <w:szCs w:val="20"/>
                <w:color w:val="auto"/>
              </w:rPr>
            </w:pPr>
            <w:r>
              <w:rPr>
                <w:rFonts w:ascii="Arial" w:cs="Arial" w:eastAsia="Arial" w:hAnsi="Arial"/>
                <w:sz w:val="18"/>
                <w:szCs w:val="18"/>
                <w:color w:val="auto"/>
              </w:rPr>
              <w:t>Europe and Middle East</w:t>
            </w:r>
          </w:p>
        </w:tc>
        <w:tc>
          <w:tcPr>
            <w:tcW w:w="560" w:type="dxa"/>
            <w:vAlign w:val="bottom"/>
            <w:gridSpan w:val="2"/>
          </w:tcPr>
          <w:p>
            <w:pPr>
              <w:jc w:val="right"/>
              <w:ind w:right="120"/>
              <w:spacing w:after="0"/>
              <w:rPr>
                <w:sz w:val="20"/>
                <w:szCs w:val="20"/>
                <w:color w:val="auto"/>
              </w:rPr>
            </w:pPr>
            <w:r>
              <w:rPr>
                <w:rFonts w:ascii="Arial" w:cs="Arial" w:eastAsia="Arial" w:hAnsi="Arial"/>
                <w:sz w:val="18"/>
                <w:szCs w:val="18"/>
                <w:color w:val="auto"/>
              </w:rPr>
              <w:t>27%</w:t>
            </w:r>
          </w:p>
        </w:tc>
        <w:tc>
          <w:tcPr>
            <w:tcW w:w="1180" w:type="dxa"/>
            <w:vAlign w:val="bottom"/>
            <w:gridSpan w:val="2"/>
          </w:tcPr>
          <w:p>
            <w:pPr>
              <w:jc w:val="right"/>
              <w:ind w:right="140"/>
              <w:spacing w:after="0"/>
              <w:rPr>
                <w:sz w:val="20"/>
                <w:szCs w:val="20"/>
                <w:color w:val="auto"/>
              </w:rPr>
            </w:pPr>
            <w:r>
              <w:rPr>
                <w:rFonts w:ascii="Arial" w:cs="Arial" w:eastAsia="Arial" w:hAnsi="Arial"/>
                <w:sz w:val="18"/>
                <w:szCs w:val="18"/>
                <w:color w:val="auto"/>
              </w:rPr>
              <w:t>20%</w:t>
            </w:r>
          </w:p>
        </w:tc>
        <w:tc>
          <w:tcPr>
            <w:tcW w:w="1080" w:type="dxa"/>
            <w:vAlign w:val="bottom"/>
            <w:gridSpan w:val="2"/>
          </w:tcPr>
          <w:p>
            <w:pPr>
              <w:jc w:val="right"/>
              <w:ind w:right="60"/>
              <w:spacing w:after="0"/>
              <w:rPr>
                <w:sz w:val="20"/>
                <w:szCs w:val="20"/>
                <w:color w:val="auto"/>
              </w:rPr>
            </w:pPr>
            <w:r>
              <w:rPr>
                <w:rFonts w:ascii="Arial" w:cs="Arial" w:eastAsia="Arial" w:hAnsi="Arial"/>
                <w:sz w:val="18"/>
                <w:szCs w:val="18"/>
                <w:color w:val="auto"/>
              </w:rPr>
              <w:t>17%</w:t>
            </w:r>
          </w:p>
        </w:tc>
        <w:tc>
          <w:tcPr>
            <w:tcW w:w="0" w:type="dxa"/>
            <w:vAlign w:val="bottom"/>
          </w:tcPr>
          <w:p>
            <w:pPr>
              <w:spacing w:after="0"/>
              <w:rPr>
                <w:sz w:val="1"/>
                <w:szCs w:val="1"/>
                <w:color w:val="auto"/>
              </w:rPr>
            </w:pPr>
          </w:p>
        </w:tc>
      </w:tr>
      <w:tr>
        <w:trPr>
          <w:trHeight w:val="230"/>
        </w:trPr>
        <w:tc>
          <w:tcPr>
            <w:tcW w:w="516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Asia Pacific</w:t>
            </w:r>
          </w:p>
        </w:tc>
        <w:tc>
          <w:tcPr>
            <w:tcW w:w="56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20%</w:t>
            </w:r>
          </w:p>
        </w:tc>
        <w:tc>
          <w:tcPr>
            <w:tcW w:w="118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23%</w:t>
            </w:r>
          </w:p>
        </w:tc>
        <w:tc>
          <w:tcPr>
            <w:tcW w:w="108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17%</w:t>
            </w:r>
          </w:p>
        </w:tc>
        <w:tc>
          <w:tcPr>
            <w:tcW w:w="0" w:type="dxa"/>
            <w:vAlign w:val="bottom"/>
          </w:tcPr>
          <w:p>
            <w:pPr>
              <w:spacing w:after="0"/>
              <w:rPr>
                <w:sz w:val="1"/>
                <w:szCs w:val="1"/>
                <w:color w:val="auto"/>
              </w:rPr>
            </w:pPr>
          </w:p>
        </w:tc>
      </w:tr>
      <w:tr>
        <w:trPr>
          <w:trHeight w:val="230"/>
        </w:trPr>
        <w:tc>
          <w:tcPr>
            <w:tcW w:w="4560" w:type="dxa"/>
            <w:vAlign w:val="bottom"/>
          </w:tcPr>
          <w:p>
            <w:pPr>
              <w:spacing w:after="0"/>
              <w:rPr>
                <w:sz w:val="20"/>
                <w:szCs w:val="20"/>
                <w:color w:val="auto"/>
              </w:rPr>
            </w:pPr>
            <w:r>
              <w:rPr>
                <w:rFonts w:ascii="Arial" w:cs="Arial" w:eastAsia="Arial" w:hAnsi="Arial"/>
                <w:sz w:val="18"/>
                <w:szCs w:val="18"/>
                <w:color w:val="auto"/>
              </w:rPr>
              <w:t>Rest of World</w:t>
            </w:r>
          </w:p>
        </w:tc>
        <w:tc>
          <w:tcPr>
            <w:tcW w:w="600" w:type="dxa"/>
            <w:vAlign w:val="bottom"/>
          </w:tcPr>
          <w:p>
            <w:pPr>
              <w:spacing w:after="0"/>
              <w:rPr>
                <w:sz w:val="19"/>
                <w:szCs w:val="19"/>
                <w:color w:val="auto"/>
              </w:rPr>
            </w:pPr>
          </w:p>
        </w:tc>
        <w:tc>
          <w:tcPr>
            <w:tcW w:w="560" w:type="dxa"/>
            <w:vAlign w:val="bottom"/>
            <w:gridSpan w:val="2"/>
          </w:tcPr>
          <w:p>
            <w:pPr>
              <w:jc w:val="right"/>
              <w:ind w:right="120"/>
              <w:spacing w:after="0"/>
              <w:rPr>
                <w:sz w:val="20"/>
                <w:szCs w:val="20"/>
                <w:color w:val="auto"/>
              </w:rPr>
            </w:pPr>
            <w:r>
              <w:rPr>
                <w:rFonts w:ascii="Arial" w:cs="Arial" w:eastAsia="Arial" w:hAnsi="Arial"/>
                <w:sz w:val="18"/>
                <w:szCs w:val="18"/>
                <w:color w:val="auto"/>
              </w:rPr>
              <w:t>11%</w:t>
            </w:r>
          </w:p>
        </w:tc>
        <w:tc>
          <w:tcPr>
            <w:tcW w:w="1180" w:type="dxa"/>
            <w:vAlign w:val="bottom"/>
            <w:gridSpan w:val="2"/>
          </w:tcPr>
          <w:p>
            <w:pPr>
              <w:jc w:val="right"/>
              <w:ind w:right="140"/>
              <w:spacing w:after="0"/>
              <w:rPr>
                <w:sz w:val="20"/>
                <w:szCs w:val="20"/>
                <w:color w:val="auto"/>
              </w:rPr>
            </w:pPr>
            <w:r>
              <w:rPr>
                <w:rFonts w:ascii="Arial" w:cs="Arial" w:eastAsia="Arial" w:hAnsi="Arial"/>
                <w:sz w:val="18"/>
                <w:szCs w:val="18"/>
                <w:color w:val="auto"/>
              </w:rPr>
              <w:t>14%</w:t>
            </w:r>
          </w:p>
        </w:tc>
        <w:tc>
          <w:tcPr>
            <w:tcW w:w="1080" w:type="dxa"/>
            <w:vAlign w:val="bottom"/>
            <w:gridSpan w:val="2"/>
          </w:tcPr>
          <w:p>
            <w:pPr>
              <w:jc w:val="right"/>
              <w:ind w:right="60"/>
              <w:spacing w:after="0"/>
              <w:rPr>
                <w:sz w:val="20"/>
                <w:szCs w:val="20"/>
                <w:color w:val="auto"/>
              </w:rPr>
            </w:pPr>
            <w:r>
              <w:rPr>
                <w:rFonts w:ascii="Arial" w:cs="Arial" w:eastAsia="Arial" w:hAnsi="Arial"/>
                <w:sz w:val="18"/>
                <w:szCs w:val="18"/>
                <w:color w:val="auto"/>
              </w:rPr>
              <w:t>18%</w:t>
            </w:r>
          </w:p>
        </w:tc>
        <w:tc>
          <w:tcPr>
            <w:tcW w:w="0" w:type="dxa"/>
            <w:vAlign w:val="bottom"/>
          </w:tcPr>
          <w:p>
            <w:pPr>
              <w:spacing w:after="0"/>
              <w:rPr>
                <w:sz w:val="1"/>
                <w:szCs w:val="1"/>
                <w:color w:val="auto"/>
              </w:rPr>
            </w:pPr>
          </w:p>
        </w:tc>
      </w:tr>
      <w:tr>
        <w:trPr>
          <w:trHeight w:val="20"/>
        </w:trPr>
        <w:tc>
          <w:tcPr>
            <w:tcW w:w="4560" w:type="dxa"/>
            <w:vAlign w:val="bottom"/>
            <w:vMerge w:val="restart"/>
            <w:shd w:val="clear" w:color="auto" w:fill="CFF0FC"/>
          </w:tcPr>
          <w:p>
            <w:pPr>
              <w:ind w:left="120"/>
              <w:spacing w:after="0"/>
              <w:rPr>
                <w:sz w:val="20"/>
                <w:szCs w:val="20"/>
                <w:color w:val="auto"/>
              </w:rPr>
            </w:pPr>
            <w:r>
              <w:rPr>
                <w:rFonts w:ascii="Arial" w:cs="Arial" w:eastAsia="Arial" w:hAnsi="Arial"/>
                <w:sz w:val="18"/>
                <w:szCs w:val="18"/>
                <w:color w:val="auto"/>
              </w:rPr>
              <w:t>Total revenue</w:t>
            </w:r>
          </w:p>
        </w:tc>
        <w:tc>
          <w:tcPr>
            <w:tcW w:w="600" w:type="dxa"/>
            <w:vAlign w:val="bottom"/>
            <w:shd w:val="clear" w:color="auto" w:fill="000000"/>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280" w:type="dxa"/>
            <w:vAlign w:val="bottom"/>
            <w:shd w:val="clear" w:color="auto" w:fill="CFF0FC"/>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300" w:type="dxa"/>
            <w:vAlign w:val="bottom"/>
            <w:shd w:val="clear" w:color="auto" w:fill="CFF0FC"/>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4560" w:type="dxa"/>
            <w:vAlign w:val="bottom"/>
            <w:vMerge w:val="continue"/>
            <w:shd w:val="clear" w:color="auto" w:fill="CFF0FC"/>
          </w:tcPr>
          <w:p>
            <w:pPr>
              <w:spacing w:after="0"/>
              <w:rPr>
                <w:sz w:val="19"/>
                <w:szCs w:val="19"/>
                <w:color w:val="auto"/>
              </w:rPr>
            </w:pPr>
          </w:p>
        </w:tc>
        <w:tc>
          <w:tcPr>
            <w:tcW w:w="600" w:type="dxa"/>
            <w:vAlign w:val="bottom"/>
            <w:shd w:val="clear" w:color="auto" w:fill="CFF0FC"/>
          </w:tcPr>
          <w:p>
            <w:pPr>
              <w:spacing w:after="0"/>
              <w:rPr>
                <w:sz w:val="19"/>
                <w:szCs w:val="19"/>
                <w:color w:val="auto"/>
              </w:rPr>
            </w:pPr>
          </w:p>
        </w:tc>
        <w:tc>
          <w:tcPr>
            <w:tcW w:w="56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w w:val="91"/>
              </w:rPr>
              <w:t>100%</w:t>
            </w:r>
          </w:p>
        </w:tc>
        <w:tc>
          <w:tcPr>
            <w:tcW w:w="118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100%</w:t>
            </w:r>
          </w:p>
        </w:tc>
        <w:tc>
          <w:tcPr>
            <w:tcW w:w="108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r>
        <w:trPr>
          <w:trHeight w:val="20"/>
        </w:trPr>
        <w:tc>
          <w:tcPr>
            <w:tcW w:w="4560" w:type="dxa"/>
            <w:vAlign w:val="bottom"/>
            <w:tcBorders>
              <w:top w:val="single" w:sz="8" w:color="CFF0FC"/>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CFF0FC"/>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CFF0FC"/>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FF0F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88" w:lineRule="exact"/>
        <w:rPr>
          <w:sz w:val="20"/>
          <w:szCs w:val="20"/>
          <w:color w:val="auto"/>
        </w:rPr>
      </w:pPr>
    </w:p>
    <w:p>
      <w:pPr>
        <w:ind w:right="240"/>
        <w:spacing w:after="0" w:line="259" w:lineRule="auto"/>
        <w:rPr>
          <w:sz w:val="20"/>
          <w:szCs w:val="20"/>
          <w:color w:val="auto"/>
        </w:rPr>
      </w:pPr>
      <w:r>
        <w:rPr>
          <w:rFonts w:ascii="Arial" w:cs="Arial" w:eastAsia="Arial" w:hAnsi="Arial"/>
          <w:sz w:val="18"/>
          <w:szCs w:val="18"/>
          <w:color w:val="231F20"/>
        </w:rPr>
        <w:t>The ARTAS System unit sales declined from 2015 to 2016 as a result of decreased unit sales in the U.S. and the Rest of World region, partially offset by increased units in the Europe and Middle East and Asia Pacific region as well as increased procedure-based fees throughout the Rest of World region. The ARTAS System unit sales increased in 2017 compared to 2016 in the U.S., Europe and Middle East and Asia Pacific regions, partially offset by decreased unit sales in the Rest of the World region.</w:t>
      </w:r>
    </w:p>
    <w:p>
      <w:pPr>
        <w:spacing w:after="0" w:line="79" w:lineRule="exact"/>
        <w:rPr>
          <w:sz w:val="20"/>
          <w:szCs w:val="20"/>
          <w:color w:val="auto"/>
        </w:rPr>
      </w:pPr>
    </w:p>
    <w:p>
      <w:pPr>
        <w:ind w:right="180"/>
        <w:spacing w:after="0" w:line="277" w:lineRule="auto"/>
        <w:rPr>
          <w:sz w:val="20"/>
          <w:szCs w:val="20"/>
          <w:color w:val="auto"/>
        </w:rPr>
      </w:pPr>
      <w:r>
        <w:rPr>
          <w:rFonts w:ascii="Arial" w:cs="Arial" w:eastAsia="Arial" w:hAnsi="Arial"/>
          <w:sz w:val="18"/>
          <w:szCs w:val="18"/>
          <w:color w:val="231F20"/>
        </w:rPr>
        <w:t>We expect our operating expenses to increase as a result of increased sales and marketing activity to promote penetration in markets outside the U.S. where we already sell the ARTAS System and geographic expansion into new markets.</w:t>
      </w:r>
    </w:p>
    <w:p>
      <w:pPr>
        <w:spacing w:after="0" w:line="99" w:lineRule="exact"/>
        <w:rPr>
          <w:sz w:val="20"/>
          <w:szCs w:val="20"/>
          <w:color w:val="auto"/>
        </w:rPr>
      </w:pPr>
    </w:p>
    <w:p>
      <w:pPr>
        <w:spacing w:after="0"/>
        <w:rPr>
          <w:sz w:val="20"/>
          <w:szCs w:val="20"/>
          <w:color w:val="auto"/>
        </w:rPr>
      </w:pPr>
      <w:r>
        <w:rPr>
          <w:rFonts w:ascii="Arial" w:cs="Arial" w:eastAsia="Arial" w:hAnsi="Arial"/>
          <w:sz w:val="18"/>
          <w:szCs w:val="18"/>
          <w:b w:val="1"/>
          <w:bCs w:val="1"/>
          <w:color w:val="231F20"/>
        </w:rPr>
        <w:t>Factors Affecting Comparability</w:t>
      </w:r>
    </w:p>
    <w:p>
      <w:pPr>
        <w:spacing w:after="0" w:line="121" w:lineRule="exact"/>
        <w:rPr>
          <w:sz w:val="20"/>
          <w:szCs w:val="20"/>
          <w:color w:val="auto"/>
        </w:rPr>
      </w:pPr>
    </w:p>
    <w:p>
      <w:pPr>
        <w:ind w:right="160"/>
        <w:spacing w:after="0" w:line="259" w:lineRule="auto"/>
        <w:rPr>
          <w:sz w:val="20"/>
          <w:szCs w:val="20"/>
          <w:color w:val="auto"/>
        </w:rPr>
      </w:pPr>
      <w:r>
        <w:rPr>
          <w:rFonts w:ascii="Arial" w:cs="Arial" w:eastAsia="Arial" w:hAnsi="Arial"/>
          <w:sz w:val="18"/>
          <w:szCs w:val="18"/>
          <w:color w:val="231F20"/>
        </w:rPr>
        <w:t>We anticipate that our quarterly results of operations may fluctuate for the foreseeable future due to several factors, including the performance of our direct sales force and international distributors and unanticipated interruptions and expenses related to our operations. In addition, due to the long lead time to finalize ARTAS System unit sales with our physician customers, and the significant impact each unit sale has on a period’s revenue due to the price of each unit, our quarterly revenue may not be comparable from one period to another.</w:t>
      </w:r>
    </w:p>
    <w:p>
      <w:pPr>
        <w:spacing w:after="0" w:line="79" w:lineRule="exact"/>
        <w:rPr>
          <w:sz w:val="20"/>
          <w:szCs w:val="20"/>
          <w:color w:val="auto"/>
        </w:rPr>
      </w:pPr>
    </w:p>
    <w:p>
      <w:pPr>
        <w:ind w:right="220"/>
        <w:spacing w:after="0" w:line="264" w:lineRule="auto"/>
        <w:rPr>
          <w:sz w:val="20"/>
          <w:szCs w:val="20"/>
          <w:color w:val="auto"/>
        </w:rPr>
      </w:pPr>
      <w:r>
        <w:rPr>
          <w:rFonts w:ascii="Arial" w:cs="Arial" w:eastAsia="Arial" w:hAnsi="Arial"/>
          <w:sz w:val="18"/>
          <w:szCs w:val="18"/>
          <w:color w:val="231F20"/>
        </w:rPr>
        <w:t>Furthermore, our industry is characterized by seasonally lower demand during the third calendar quarter of the year, when both physicians and prospective patients take summer vacations. A detailed discussion of these and other factors that impact our business is provided in the “Risk Factors” section in this Annual Report on Form 10-K.</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b w:val="1"/>
          <w:bCs w:val="1"/>
          <w:color w:val="231F20"/>
        </w:rPr>
        <w:t>Components of Results of Operations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231F20"/>
        </w:rPr>
        <w:t>Revenue, Net</w:t>
      </w:r>
    </w:p>
    <w:p>
      <w:pPr>
        <w:spacing w:after="0" w:line="121" w:lineRule="exact"/>
        <w:rPr>
          <w:sz w:val="20"/>
          <w:szCs w:val="20"/>
          <w:color w:val="auto"/>
        </w:rPr>
      </w:pPr>
    </w:p>
    <w:p>
      <w:pPr>
        <w:jc w:val="both"/>
        <w:ind w:right="40"/>
        <w:spacing w:after="0" w:line="259" w:lineRule="auto"/>
        <w:rPr>
          <w:sz w:val="20"/>
          <w:szCs w:val="20"/>
          <w:color w:val="auto"/>
        </w:rPr>
      </w:pPr>
      <w:r>
        <w:rPr>
          <w:rFonts w:ascii="Arial" w:cs="Arial" w:eastAsia="Arial" w:hAnsi="Arial"/>
          <w:sz w:val="18"/>
          <w:szCs w:val="18"/>
          <w:color w:val="auto"/>
        </w:rPr>
        <w:t>We generate revenue from the sale and service of ARTAS Systems and procedure based fees. For procedure based fees, our physician customers in the U.S. generally pay in advance on a per follicle-basis for the follicles to be harvested, and on a per procedure basis for Site Making. Outside of the U.S., physician customers pay in advance, generally on a per procedure basis for both follicle extraction and Site Making. Our revenue has historically been net of discounts. In the year ended December 31, 2017 there were de minimis discounts.</w:t>
      </w:r>
    </w:p>
    <w:p>
      <w:pPr>
        <w:spacing w:after="0" w:line="115" w:lineRule="exact"/>
        <w:rPr>
          <w:sz w:val="20"/>
          <w:szCs w:val="20"/>
          <w:color w:val="auto"/>
        </w:rPr>
      </w:pPr>
    </w:p>
    <w:p>
      <w:pPr>
        <w:spacing w:after="0"/>
        <w:rPr>
          <w:sz w:val="20"/>
          <w:szCs w:val="20"/>
          <w:color w:val="auto"/>
        </w:rPr>
      </w:pPr>
      <w:r>
        <w:rPr>
          <w:rFonts w:ascii="Arial" w:cs="Arial" w:eastAsia="Arial" w:hAnsi="Arial"/>
          <w:sz w:val="18"/>
          <w:szCs w:val="18"/>
          <w:b w:val="1"/>
          <w:bCs w:val="1"/>
          <w:color w:val="231F20"/>
        </w:rPr>
        <w:t>Cost of Revenue</w:t>
      </w:r>
    </w:p>
    <w:p>
      <w:pPr>
        <w:spacing w:after="0" w:line="121"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Cost of revenue primarily consists of product, fulfillment, and customer service costs. Product costs include the cost of systems, upgrades, disposable and reusable kits, and personnel-related costs, including salaries and benefits, bonuses, and stock-based compensation related to management of our contract manufacturer, and allocated shared costs (including rent and information technology). Fulfillment costs primarily consist of costs incurred in the shipping and handling of inventory, including shipping costs to our customers, and personnel-related costs, including salaries and benefits, bonuses, and stock-based compensation related to receiving, inspecting, warehousing, and preparing systems and kits for shipment. Customer service costs primarily consists of personnel-related costs, including salaries and benefits, bonuses, and stock-based compensation associated with service contracts, travel costs, and allocated shared costs (including rent and information technology). Cost of revenue also includes depreciation of property and equipment associated with cost of revenue activities.</w:t>
      </w:r>
    </w:p>
    <w:p>
      <w:pPr>
        <w:spacing w:after="0" w:line="200" w:lineRule="exact"/>
        <w:rPr>
          <w:sz w:val="20"/>
          <w:szCs w:val="20"/>
          <w:color w:val="auto"/>
        </w:rPr>
      </w:pPr>
    </w:p>
    <w:p>
      <w:pPr>
        <w:spacing w:after="0" w:line="235"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360"/>
          </w:cols>
          <w:pgMar w:left="240" w:top="449" w:right="299" w:bottom="1440" w:gutter="0" w:footer="0" w:header="0"/>
        </w:sectPr>
      </w:pPr>
    </w:p>
    <w:bookmarkStart w:id="63" w:name="page64"/>
    <w:bookmarkEnd w:id="63"/>
    <w:p>
      <w:pPr>
        <w:spacing w:after="0"/>
        <w:rPr>
          <w:sz w:val="20"/>
          <w:szCs w:val="20"/>
          <w:color w:val="auto"/>
        </w:rPr>
      </w:pPr>
      <w:r>
        <w:rPr>
          <w:rFonts w:ascii="Arial" w:cs="Arial" w:eastAsia="Arial" w:hAnsi="Arial"/>
          <w:sz w:val="18"/>
          <w:szCs w:val="18"/>
          <w:b w:val="1"/>
          <w:bCs w:val="1"/>
          <w:color w:val="231F20"/>
        </w:rPr>
        <w:t>Research and Development</w:t>
      </w:r>
    </w:p>
    <w:p>
      <w:pPr>
        <w:spacing w:after="0" w:line="121" w:lineRule="exact"/>
        <w:rPr>
          <w:sz w:val="20"/>
          <w:szCs w:val="20"/>
          <w:color w:val="auto"/>
        </w:rPr>
      </w:pPr>
    </w:p>
    <w:p>
      <w:pPr>
        <w:jc w:val="both"/>
        <w:ind w:right="140"/>
        <w:spacing w:after="0" w:line="264" w:lineRule="auto"/>
        <w:rPr>
          <w:sz w:val="20"/>
          <w:szCs w:val="20"/>
          <w:color w:val="auto"/>
        </w:rPr>
      </w:pPr>
      <w:r>
        <w:rPr>
          <w:rFonts w:ascii="Arial" w:cs="Arial" w:eastAsia="Arial" w:hAnsi="Arial"/>
          <w:sz w:val="18"/>
          <w:szCs w:val="18"/>
          <w:color w:val="auto"/>
        </w:rPr>
        <w:t>Research and development expenses primarily consist of personnel-related costs, including salaries and benefits, bonuses, and stock-based compensation for our research and development employees, consulting services, clinical studies, supplies, allocated shared costs (including rent and information technology), and depreciation of equipment associated with research and development activities.</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b w:val="1"/>
          <w:bCs w:val="1"/>
          <w:color w:val="231F20"/>
        </w:rPr>
        <w:t>Sales and Marketing</w:t>
      </w:r>
    </w:p>
    <w:p>
      <w:pPr>
        <w:spacing w:after="0" w:line="121" w:lineRule="exact"/>
        <w:rPr>
          <w:sz w:val="20"/>
          <w:szCs w:val="20"/>
          <w:color w:val="auto"/>
        </w:rPr>
      </w:pPr>
    </w:p>
    <w:p>
      <w:pPr>
        <w:ind w:right="20"/>
        <w:spacing w:after="0" w:line="312" w:lineRule="auto"/>
        <w:rPr>
          <w:sz w:val="20"/>
          <w:szCs w:val="20"/>
          <w:color w:val="auto"/>
        </w:rPr>
      </w:pPr>
      <w:r>
        <w:rPr>
          <w:rFonts w:ascii="Arial" w:cs="Arial" w:eastAsia="Arial" w:hAnsi="Arial"/>
          <w:sz w:val="16"/>
          <w:szCs w:val="16"/>
          <w:color w:val="auto"/>
        </w:rPr>
        <w:t>Sales and marketing expenses primarily consist of personnel-related costs, including salaries and benefits, bonuses, sales commissions, travel expenses, and stock-based compensation for our sales and marketing employees, consulting services, advertising, direct marketing, tradeshow, and promotional expenses, allocated shared costs (including rent and information technology), and depreciation of property and equipment associated with sales and marketing activities.</w:t>
      </w:r>
    </w:p>
    <w:p>
      <w:pPr>
        <w:spacing w:after="0" w:line="75" w:lineRule="exact"/>
        <w:rPr>
          <w:sz w:val="20"/>
          <w:szCs w:val="20"/>
          <w:color w:val="auto"/>
        </w:rPr>
      </w:pPr>
    </w:p>
    <w:p>
      <w:pPr>
        <w:spacing w:after="0"/>
        <w:rPr>
          <w:sz w:val="20"/>
          <w:szCs w:val="20"/>
          <w:color w:val="auto"/>
        </w:rPr>
      </w:pPr>
      <w:r>
        <w:rPr>
          <w:rFonts w:ascii="Arial" w:cs="Arial" w:eastAsia="Arial" w:hAnsi="Arial"/>
          <w:sz w:val="18"/>
          <w:szCs w:val="18"/>
          <w:b w:val="1"/>
          <w:bCs w:val="1"/>
          <w:color w:val="231F20"/>
        </w:rPr>
        <w:t>General and Administrative</w:t>
      </w:r>
    </w:p>
    <w:p>
      <w:pPr>
        <w:spacing w:after="0" w:line="121" w:lineRule="exact"/>
        <w:rPr>
          <w:sz w:val="20"/>
          <w:szCs w:val="20"/>
          <w:color w:val="auto"/>
        </w:rPr>
      </w:pPr>
    </w:p>
    <w:p>
      <w:pPr>
        <w:ind w:right="220"/>
        <w:spacing w:after="0" w:line="257" w:lineRule="auto"/>
        <w:rPr>
          <w:sz w:val="20"/>
          <w:szCs w:val="20"/>
          <w:color w:val="auto"/>
        </w:rPr>
      </w:pPr>
      <w:r>
        <w:rPr>
          <w:rFonts w:ascii="Arial" w:cs="Arial" w:eastAsia="Arial" w:hAnsi="Arial"/>
          <w:sz w:val="18"/>
          <w:szCs w:val="18"/>
          <w:color w:val="auto"/>
        </w:rPr>
        <w:t>General and administrative expenses primarily consist of personnel-related costs, including salaries and benefits, bonuses, travel expenses, and stock-based compensation for our executive, finance, legal, human resources, information technology and other administrative employees. In addition, general and administrative expenses include fees for third party professional services, including consulting, legal and accounting services and other corporate expenses, allocated shared costs (including rent and information technology), and depreciation of property and equipment associated with general and administrative activities.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231F20"/>
        </w:rPr>
        <w:t>Interest Expense</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Interest expense consists of interest related to borrowings under our debt obligations.</w:t>
      </w:r>
    </w:p>
    <w:p>
      <w:pPr>
        <w:spacing w:after="0" w:line="140" w:lineRule="exact"/>
        <w:rPr>
          <w:sz w:val="20"/>
          <w:szCs w:val="20"/>
          <w:color w:val="auto"/>
        </w:rPr>
      </w:pPr>
    </w:p>
    <w:p>
      <w:pPr>
        <w:spacing w:after="0"/>
        <w:rPr>
          <w:sz w:val="20"/>
          <w:szCs w:val="20"/>
          <w:color w:val="auto"/>
        </w:rPr>
      </w:pPr>
      <w:r>
        <w:rPr>
          <w:rFonts w:ascii="Arial" w:cs="Arial" w:eastAsia="Arial" w:hAnsi="Arial"/>
          <w:sz w:val="18"/>
          <w:szCs w:val="18"/>
          <w:b w:val="1"/>
          <w:bCs w:val="1"/>
          <w:color w:val="231F20"/>
        </w:rPr>
        <w:t>Other Income (Expense), Net</w:t>
      </w:r>
    </w:p>
    <w:p>
      <w:pPr>
        <w:spacing w:after="0" w:line="121" w:lineRule="exact"/>
        <w:rPr>
          <w:sz w:val="20"/>
          <w:szCs w:val="20"/>
          <w:color w:val="auto"/>
        </w:rPr>
      </w:pPr>
    </w:p>
    <w:p>
      <w:pPr>
        <w:spacing w:after="0"/>
        <w:rPr>
          <w:sz w:val="20"/>
          <w:szCs w:val="20"/>
          <w:color w:val="auto"/>
        </w:rPr>
      </w:pPr>
      <w:r>
        <w:rPr>
          <w:rFonts w:ascii="Arial" w:cs="Arial" w:eastAsia="Arial" w:hAnsi="Arial"/>
          <w:sz w:val="16"/>
          <w:szCs w:val="16"/>
          <w:color w:val="auto"/>
        </w:rPr>
        <w:t>Other income (expense), net primarily consists of income and expense related to the change in fair value of convertible preferred stock warrant liabilities.</w:t>
      </w:r>
    </w:p>
    <w:p>
      <w:pPr>
        <w:spacing w:after="0" w:line="46" w:lineRule="exact"/>
        <w:rPr>
          <w:sz w:val="20"/>
          <w:szCs w:val="20"/>
          <w:color w:val="auto"/>
        </w:rPr>
      </w:pPr>
    </w:p>
    <w:p>
      <w:pPr>
        <w:spacing w:after="0"/>
        <w:rPr>
          <w:sz w:val="20"/>
          <w:szCs w:val="20"/>
          <w:color w:val="auto"/>
        </w:rPr>
      </w:pPr>
      <w:r>
        <w:rPr>
          <w:rFonts w:ascii="Arial" w:cs="Arial" w:eastAsia="Arial" w:hAnsi="Arial"/>
          <w:sz w:val="17"/>
          <w:szCs w:val="17"/>
          <w:color w:val="auto"/>
        </w:rPr>
        <w:t>Upon the completion of the IPO, the liability on the preferred stock warrants was reclassified to additional paid-in capital in stockholders’ equity (deficit).</w:t>
      </w:r>
    </w:p>
    <w:p>
      <w:pPr>
        <w:spacing w:after="0" w:line="151" w:lineRule="exact"/>
        <w:rPr>
          <w:sz w:val="20"/>
          <w:szCs w:val="20"/>
          <w:color w:val="auto"/>
        </w:rPr>
      </w:pPr>
    </w:p>
    <w:p>
      <w:pPr>
        <w:spacing w:after="0"/>
        <w:rPr>
          <w:sz w:val="20"/>
          <w:szCs w:val="20"/>
          <w:color w:val="auto"/>
        </w:rPr>
      </w:pPr>
      <w:r>
        <w:rPr>
          <w:rFonts w:ascii="Arial" w:cs="Arial" w:eastAsia="Arial" w:hAnsi="Arial"/>
          <w:sz w:val="18"/>
          <w:szCs w:val="18"/>
          <w:b w:val="1"/>
          <w:bCs w:val="1"/>
          <w:color w:val="231F20"/>
        </w:rPr>
        <w:t>Provision for Income Taxes</w:t>
      </w:r>
    </w:p>
    <w:p>
      <w:pPr>
        <w:spacing w:after="0" w:line="121" w:lineRule="exact"/>
        <w:rPr>
          <w:sz w:val="20"/>
          <w:szCs w:val="20"/>
          <w:color w:val="auto"/>
        </w:rPr>
      </w:pPr>
    </w:p>
    <w:p>
      <w:pPr>
        <w:ind w:right="220"/>
        <w:spacing w:after="0" w:line="264" w:lineRule="auto"/>
        <w:rPr>
          <w:sz w:val="20"/>
          <w:szCs w:val="20"/>
          <w:color w:val="auto"/>
        </w:rPr>
      </w:pPr>
      <w:r>
        <w:rPr>
          <w:rFonts w:ascii="Arial" w:cs="Arial" w:eastAsia="Arial" w:hAnsi="Arial"/>
          <w:sz w:val="18"/>
          <w:szCs w:val="18"/>
          <w:color w:val="auto"/>
        </w:rPr>
        <w:t>Provision for income taxes primarily consists of state and foreign income taxes. Due to cumulative losses, we maintain a valuation allowance against our deferred tax assets. We consider all available evidence, both positive and negative, in assessing the extent to which a valuation allowance should be applied against our deferred tax assets.</w:t>
      </w:r>
    </w:p>
    <w:p>
      <w:pPr>
        <w:spacing w:after="0" w:line="73" w:lineRule="exact"/>
        <w:rPr>
          <w:sz w:val="20"/>
          <w:szCs w:val="20"/>
          <w:color w:val="auto"/>
        </w:rPr>
      </w:pPr>
    </w:p>
    <w:p>
      <w:pPr>
        <w:spacing w:after="0" w:line="312" w:lineRule="auto"/>
        <w:rPr>
          <w:sz w:val="20"/>
          <w:szCs w:val="20"/>
          <w:color w:val="auto"/>
        </w:rPr>
      </w:pPr>
      <w:r>
        <w:rPr>
          <w:rFonts w:ascii="Arial" w:cs="Arial" w:eastAsia="Arial" w:hAnsi="Arial"/>
          <w:sz w:val="16"/>
          <w:szCs w:val="16"/>
          <w:color w:val="auto"/>
        </w:rPr>
        <w:t>In December 2017, the United States enacted the 2017 U.S. Tax Cuts and Jobs Act, which among other things reduced the U.S. federal corporate tax rate from 35% to 21% for tax years beginning after December 31, 2017. As a result of the reduction in the federal corporate tax rate, we recorded a non-cash deferred tax expense of $20.7 million related to the remeasurement of our deferred tax assets, with corresponding reduction in the valuation allowance.</w:t>
      </w:r>
    </w:p>
    <w:p>
      <w:pPr>
        <w:spacing w:after="0" w:line="39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486" w:right="239" w:bottom="1440" w:gutter="0" w:footer="0" w:header="0"/>
        </w:sectPr>
      </w:pPr>
    </w:p>
    <w:bookmarkStart w:id="64" w:name="page65"/>
    <w:bookmarkEnd w:id="64"/>
    <w:p>
      <w:pPr>
        <w:spacing w:after="0"/>
        <w:rPr>
          <w:sz w:val="20"/>
          <w:szCs w:val="20"/>
          <w:color w:val="auto"/>
        </w:rPr>
      </w:pPr>
      <w:r>
        <w:rPr>
          <w:rFonts w:ascii="Arial" w:cs="Arial" w:eastAsia="Arial" w:hAnsi="Arial"/>
          <w:sz w:val="18"/>
          <w:szCs w:val="18"/>
          <w:b w:val="1"/>
          <w:bCs w:val="1"/>
          <w:color w:val="auto"/>
        </w:rPr>
        <w:t>Results of Operations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Year Ended December 31, 2017 Compared to Year Ended December 31, 2016</w:t>
      </w:r>
    </w:p>
    <w:p>
      <w:pPr>
        <w:spacing w:after="0" w:line="204" w:lineRule="exact"/>
        <w:rPr>
          <w:sz w:val="20"/>
          <w:szCs w:val="20"/>
          <w:color w:val="auto"/>
        </w:rPr>
      </w:pPr>
    </w:p>
    <w:tbl>
      <w:tblPr>
        <w:tblLayout w:type="fixed"/>
        <w:tblInd w:w="580" w:type="dxa"/>
        <w:tblCellMar>
          <w:top w:w="0" w:type="dxa"/>
          <w:left w:w="0" w:type="dxa"/>
          <w:bottom w:w="0" w:type="dxa"/>
          <w:right w:w="0" w:type="dxa"/>
        </w:tblCellMar>
      </w:tblPr>
      <w:tr>
        <w:trPr>
          <w:trHeight w:val="161"/>
        </w:trPr>
        <w:tc>
          <w:tcPr>
            <w:tcW w:w="40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420" w:type="dxa"/>
            <w:vAlign w:val="bottom"/>
            <w:gridSpan w:val="4"/>
          </w:tcPr>
          <w:p>
            <w:pPr>
              <w:jc w:val="center"/>
              <w:ind w:left="394"/>
              <w:spacing w:after="0"/>
              <w:rPr>
                <w:sz w:val="20"/>
                <w:szCs w:val="20"/>
                <w:color w:val="auto"/>
              </w:rPr>
            </w:pPr>
            <w:r>
              <w:rPr>
                <w:rFonts w:ascii="Arial" w:cs="Arial" w:eastAsia="Arial" w:hAnsi="Arial"/>
                <w:sz w:val="14"/>
                <w:szCs w:val="14"/>
                <w:b w:val="1"/>
                <w:bCs w:val="1"/>
                <w:color w:val="auto"/>
                <w:w w:val="96"/>
              </w:rPr>
              <w:t>Year Ended</w:t>
            </w:r>
          </w:p>
        </w:tc>
        <w:tc>
          <w:tcPr>
            <w:tcW w:w="7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240" w:type="dxa"/>
            <w:vAlign w:val="bottom"/>
            <w:gridSpan w:val="3"/>
            <w:vMerge w:val="restart"/>
          </w:tcPr>
          <w:p>
            <w:pPr>
              <w:ind w:left="600"/>
              <w:spacing w:after="0"/>
              <w:rPr>
                <w:sz w:val="20"/>
                <w:szCs w:val="20"/>
                <w:color w:val="auto"/>
              </w:rPr>
            </w:pPr>
            <w:r>
              <w:rPr>
                <w:rFonts w:ascii="Arial" w:cs="Arial" w:eastAsia="Arial" w:hAnsi="Arial"/>
                <w:sz w:val="14"/>
                <w:szCs w:val="14"/>
                <w:b w:val="1"/>
                <w:bCs w:val="1"/>
                <w:color w:val="auto"/>
              </w:rPr>
              <w:t>Change</w:t>
            </w:r>
          </w:p>
        </w:tc>
        <w:tc>
          <w:tcPr>
            <w:tcW w:w="7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40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420" w:type="dxa"/>
            <w:vAlign w:val="bottom"/>
            <w:tcBorders>
              <w:bottom w:val="single" w:sz="8" w:color="auto"/>
            </w:tcBorders>
            <w:gridSpan w:val="4"/>
          </w:tcPr>
          <w:p>
            <w:pPr>
              <w:jc w:val="center"/>
              <w:ind w:left="394"/>
              <w:spacing w:after="0"/>
              <w:rPr>
                <w:sz w:val="20"/>
                <w:szCs w:val="20"/>
                <w:color w:val="auto"/>
              </w:rPr>
            </w:pPr>
            <w:r>
              <w:rPr>
                <w:rFonts w:ascii="Arial" w:cs="Arial" w:eastAsia="Arial" w:hAnsi="Arial"/>
                <w:sz w:val="14"/>
                <w:szCs w:val="14"/>
                <w:b w:val="1"/>
                <w:bCs w:val="1"/>
                <w:color w:val="auto"/>
                <w:w w:val="90"/>
              </w:rPr>
              <w:t>December 31,</w:t>
            </w:r>
          </w:p>
        </w:tc>
        <w:tc>
          <w:tcPr>
            <w:tcW w:w="740" w:type="dxa"/>
            <w:vAlign w:val="bottom"/>
            <w:tcBorders>
              <w:bottom w:val="single" w:sz="8" w:color="auto"/>
            </w:tcBorders>
          </w:tcPr>
          <w:p>
            <w:pPr>
              <w:spacing w:after="0"/>
              <w:rPr>
                <w:sz w:val="14"/>
                <w:szCs w:val="14"/>
                <w:color w:val="auto"/>
              </w:rPr>
            </w:pPr>
          </w:p>
        </w:tc>
        <w:tc>
          <w:tcPr>
            <w:tcW w:w="2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1240" w:type="dxa"/>
            <w:vAlign w:val="bottom"/>
            <w:tcBorders>
              <w:bottom w:val="single" w:sz="8" w:color="auto"/>
            </w:tcBorders>
            <w:gridSpan w:val="3"/>
            <w:vMerge w:val="continue"/>
          </w:tcPr>
          <w:p>
            <w:pPr>
              <w:spacing w:after="0"/>
              <w:rPr>
                <w:sz w:val="14"/>
                <w:szCs w:val="14"/>
                <w:color w:val="auto"/>
              </w:rPr>
            </w:pPr>
          </w:p>
        </w:tc>
        <w:tc>
          <w:tcPr>
            <w:tcW w:w="740" w:type="dxa"/>
            <w:vAlign w:val="bottom"/>
            <w:tcBorders>
              <w:bottom w:val="single" w:sz="8" w:color="auto"/>
            </w:tcBorders>
          </w:tcPr>
          <w:p>
            <w:pPr>
              <w:spacing w:after="0"/>
              <w:rPr>
                <w:sz w:val="14"/>
                <w:szCs w:val="14"/>
                <w:color w:val="auto"/>
              </w:rPr>
            </w:pPr>
          </w:p>
        </w:tc>
        <w:tc>
          <w:tcPr>
            <w:tcW w:w="2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408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820" w:type="dxa"/>
            <w:vAlign w:val="bottom"/>
            <w:tcBorders>
              <w:bottom w:val="single" w:sz="8" w:color="auto"/>
            </w:tcBorders>
          </w:tcPr>
          <w:p>
            <w:pPr>
              <w:jc w:val="right"/>
              <w:ind w:right="314"/>
              <w:spacing w:after="0" w:line="155" w:lineRule="exact"/>
              <w:rPr>
                <w:sz w:val="20"/>
                <w:szCs w:val="20"/>
                <w:color w:val="auto"/>
              </w:rPr>
            </w:pPr>
            <w:r>
              <w:rPr>
                <w:rFonts w:ascii="Arial" w:cs="Arial" w:eastAsia="Arial" w:hAnsi="Arial"/>
                <w:sz w:val="14"/>
                <w:szCs w:val="14"/>
                <w:b w:val="1"/>
                <w:bCs w:val="1"/>
                <w:color w:val="auto"/>
              </w:rPr>
              <w:t>2017</w:t>
            </w:r>
          </w:p>
        </w:tc>
        <w:tc>
          <w:tcPr>
            <w:tcW w:w="22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300" w:type="dxa"/>
            <w:vAlign w:val="bottom"/>
            <w:tcBorders>
              <w:bottom w:val="single" w:sz="8" w:color="auto"/>
            </w:tcBorders>
          </w:tcPr>
          <w:p>
            <w:pPr>
              <w:spacing w:after="0"/>
              <w:rPr>
                <w:sz w:val="13"/>
                <w:szCs w:val="13"/>
                <w:color w:val="auto"/>
              </w:rPr>
            </w:pPr>
          </w:p>
        </w:tc>
        <w:tc>
          <w:tcPr>
            <w:tcW w:w="740" w:type="dxa"/>
            <w:vAlign w:val="bottom"/>
            <w:tcBorders>
              <w:bottom w:val="single" w:sz="8" w:color="auto"/>
            </w:tcBorders>
          </w:tcPr>
          <w:p>
            <w:pPr>
              <w:jc w:val="right"/>
              <w:ind w:right="311"/>
              <w:spacing w:after="0" w:line="155" w:lineRule="exact"/>
              <w:rPr>
                <w:sz w:val="20"/>
                <w:szCs w:val="20"/>
                <w:color w:val="auto"/>
              </w:rPr>
            </w:pPr>
            <w:r>
              <w:rPr>
                <w:rFonts w:ascii="Arial" w:cs="Arial" w:eastAsia="Arial" w:hAnsi="Arial"/>
                <w:sz w:val="14"/>
                <w:szCs w:val="14"/>
                <w:b w:val="1"/>
                <w:bCs w:val="1"/>
                <w:color w:val="auto"/>
              </w:rPr>
              <w:t>2016</w:t>
            </w:r>
          </w:p>
        </w:tc>
        <w:tc>
          <w:tcPr>
            <w:tcW w:w="2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760" w:type="dxa"/>
            <w:vAlign w:val="bottom"/>
            <w:tcBorders>
              <w:bottom w:val="single" w:sz="8" w:color="auto"/>
            </w:tcBorders>
          </w:tcPr>
          <w:p>
            <w:pPr>
              <w:jc w:val="right"/>
              <w:ind w:right="412"/>
              <w:spacing w:after="0" w:line="155" w:lineRule="exact"/>
              <w:rPr>
                <w:sz w:val="20"/>
                <w:szCs w:val="20"/>
                <w:color w:val="auto"/>
              </w:rPr>
            </w:pPr>
            <w:r>
              <w:rPr>
                <w:rFonts w:ascii="Arial" w:cs="Arial" w:eastAsia="Arial" w:hAnsi="Arial"/>
                <w:sz w:val="14"/>
                <w:szCs w:val="14"/>
                <w:b w:val="1"/>
                <w:bCs w:val="1"/>
                <w:color w:val="auto"/>
              </w:rPr>
              <w:t>$</w:t>
            </w:r>
          </w:p>
        </w:tc>
        <w:tc>
          <w:tcPr>
            <w:tcW w:w="220" w:type="dxa"/>
            <w:vAlign w:val="bottom"/>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740" w:type="dxa"/>
            <w:vAlign w:val="bottom"/>
            <w:tcBorders>
              <w:bottom w:val="single" w:sz="8" w:color="auto"/>
            </w:tcBorders>
          </w:tcPr>
          <w:p>
            <w:pPr>
              <w:jc w:val="right"/>
              <w:ind w:right="351"/>
              <w:spacing w:after="0" w:line="155" w:lineRule="exact"/>
              <w:rPr>
                <w:sz w:val="20"/>
                <w:szCs w:val="20"/>
                <w:color w:val="auto"/>
              </w:rPr>
            </w:pPr>
            <w:r>
              <w:rPr>
                <w:rFonts w:ascii="Arial" w:cs="Arial" w:eastAsia="Arial" w:hAnsi="Arial"/>
                <w:sz w:val="14"/>
                <w:szCs w:val="14"/>
                <w:b w:val="1"/>
                <w:bCs w:val="1"/>
                <w:color w:val="auto"/>
              </w:rPr>
              <w:t>%</w:t>
            </w:r>
          </w:p>
        </w:tc>
        <w:tc>
          <w:tcPr>
            <w:tcW w:w="2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408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160" w:type="dxa"/>
            <w:vAlign w:val="bottom"/>
            <w:gridSpan w:val="5"/>
          </w:tcPr>
          <w:p>
            <w:pPr>
              <w:jc w:val="center"/>
              <w:ind w:right="171"/>
              <w:spacing w:after="0" w:line="155" w:lineRule="exact"/>
              <w:rPr>
                <w:sz w:val="20"/>
                <w:szCs w:val="20"/>
                <w:color w:val="auto"/>
              </w:rPr>
            </w:pPr>
            <w:r>
              <w:rPr>
                <w:rFonts w:ascii="Arial" w:cs="Arial" w:eastAsia="Arial" w:hAnsi="Arial"/>
                <w:sz w:val="14"/>
                <w:szCs w:val="14"/>
                <w:b w:val="1"/>
                <w:bCs w:val="1"/>
                <w:i w:val="1"/>
                <w:iCs w:val="1"/>
                <w:color w:val="auto"/>
                <w:w w:val="88"/>
              </w:rPr>
              <w:t>(dollars in thousands)</w:t>
            </w:r>
          </w:p>
        </w:tc>
        <w:tc>
          <w:tcPr>
            <w:tcW w:w="2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30"/>
        </w:trPr>
        <w:tc>
          <w:tcPr>
            <w:tcW w:w="4080" w:type="dxa"/>
            <w:vAlign w:val="bottom"/>
            <w:shd w:val="clear" w:color="auto" w:fill="CFF0FC"/>
          </w:tcPr>
          <w:p>
            <w:pPr>
              <w:spacing w:after="0"/>
              <w:rPr>
                <w:sz w:val="20"/>
                <w:szCs w:val="20"/>
                <w:color w:val="auto"/>
              </w:rPr>
            </w:pPr>
            <w:r>
              <w:rPr>
                <w:rFonts w:ascii="Arial" w:cs="Arial" w:eastAsia="Arial" w:hAnsi="Arial"/>
                <w:sz w:val="18"/>
                <w:szCs w:val="18"/>
                <w:color w:val="auto"/>
              </w:rPr>
              <w:t>Revenue, net</w:t>
            </w:r>
          </w:p>
        </w:tc>
        <w:tc>
          <w:tcPr>
            <w:tcW w:w="1260" w:type="dxa"/>
            <w:vAlign w:val="bottom"/>
            <w:gridSpan w:val="2"/>
            <w:shd w:val="clear" w:color="auto" w:fill="CFF0FC"/>
          </w:tcPr>
          <w:p>
            <w:pPr>
              <w:jc w:val="right"/>
              <w:ind w:right="65"/>
              <w:spacing w:after="0"/>
              <w:rPr>
                <w:sz w:val="20"/>
                <w:szCs w:val="20"/>
                <w:color w:val="auto"/>
              </w:rPr>
            </w:pPr>
            <w:r>
              <w:rPr>
                <w:rFonts w:ascii="Arial" w:cs="Arial" w:eastAsia="Arial" w:hAnsi="Arial"/>
                <w:sz w:val="18"/>
                <w:szCs w:val="18"/>
                <w:color w:val="auto"/>
              </w:rPr>
              <w:t>$</w:t>
            </w: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21,297</w:t>
            </w:r>
          </w:p>
        </w:tc>
        <w:tc>
          <w:tcPr>
            <w:tcW w:w="220" w:type="dxa"/>
            <w:vAlign w:val="bottom"/>
            <w:shd w:val="clear" w:color="auto" w:fill="CFF0FC"/>
          </w:tcPr>
          <w:p>
            <w:pPr>
              <w:spacing w:after="0"/>
              <w:rPr>
                <w:sz w:val="19"/>
                <w:szCs w:val="19"/>
                <w:color w:val="auto"/>
              </w:rPr>
            </w:pPr>
          </w:p>
        </w:tc>
        <w:tc>
          <w:tcPr>
            <w:tcW w:w="380" w:type="dxa"/>
            <w:vAlign w:val="bottom"/>
            <w:gridSpan w:val="2"/>
            <w:shd w:val="clear" w:color="auto" w:fill="CFF0FC"/>
          </w:tcPr>
          <w:p>
            <w:pPr>
              <w:jc w:val="right"/>
              <w:ind w:right="145"/>
              <w:spacing w:after="0"/>
              <w:rPr>
                <w:sz w:val="20"/>
                <w:szCs w:val="20"/>
                <w:color w:val="auto"/>
              </w:rPr>
            </w:pPr>
            <w:r>
              <w:rPr>
                <w:rFonts w:ascii="Arial" w:cs="Arial" w:eastAsia="Arial" w:hAnsi="Arial"/>
                <w:sz w:val="18"/>
                <w:szCs w:val="18"/>
                <w:color w:val="auto"/>
              </w:rPr>
              <w:t>$</w:t>
            </w:r>
          </w:p>
        </w:tc>
        <w:tc>
          <w:tcPr>
            <w:tcW w:w="7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15,600</w:t>
            </w:r>
          </w:p>
        </w:tc>
        <w:tc>
          <w:tcPr>
            <w:tcW w:w="280" w:type="dxa"/>
            <w:vAlign w:val="bottom"/>
            <w:shd w:val="clear" w:color="auto" w:fill="CFF0FC"/>
          </w:tcPr>
          <w:p>
            <w:pPr>
              <w:spacing w:after="0"/>
              <w:rPr>
                <w:sz w:val="19"/>
                <w:szCs w:val="19"/>
                <w:color w:val="auto"/>
              </w:rPr>
            </w:pPr>
          </w:p>
        </w:tc>
        <w:tc>
          <w:tcPr>
            <w:tcW w:w="280" w:type="dxa"/>
            <w:vAlign w:val="bottom"/>
            <w:gridSpan w:val="2"/>
            <w:shd w:val="clear" w:color="auto" w:fill="CFF0FC"/>
          </w:tcPr>
          <w:p>
            <w:pPr>
              <w:jc w:val="right"/>
              <w:ind w:right="105"/>
              <w:spacing w:after="0"/>
              <w:rPr>
                <w:sz w:val="20"/>
                <w:szCs w:val="20"/>
                <w:color w:val="auto"/>
              </w:rPr>
            </w:pPr>
            <w:r>
              <w:rPr>
                <w:rFonts w:ascii="Arial" w:cs="Arial" w:eastAsia="Arial" w:hAnsi="Arial"/>
                <w:sz w:val="18"/>
                <w:szCs w:val="18"/>
                <w:color w:val="auto"/>
                <w:w w:val="79"/>
              </w:rPr>
              <w:t>$</w:t>
            </w:r>
          </w:p>
        </w:tc>
        <w:tc>
          <w:tcPr>
            <w:tcW w:w="7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5,697</w:t>
            </w:r>
          </w:p>
        </w:tc>
        <w:tc>
          <w:tcPr>
            <w:tcW w:w="22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98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37%</w:t>
            </w:r>
          </w:p>
        </w:tc>
        <w:tc>
          <w:tcPr>
            <w:tcW w:w="0" w:type="dxa"/>
            <w:vAlign w:val="bottom"/>
          </w:tcPr>
          <w:p>
            <w:pPr>
              <w:spacing w:after="0"/>
              <w:rPr>
                <w:sz w:val="1"/>
                <w:szCs w:val="1"/>
                <w:color w:val="auto"/>
              </w:rPr>
            </w:pPr>
          </w:p>
        </w:tc>
      </w:tr>
      <w:tr>
        <w:trPr>
          <w:trHeight w:val="230"/>
        </w:trPr>
        <w:tc>
          <w:tcPr>
            <w:tcW w:w="408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Cost of revenue</w:t>
            </w:r>
          </w:p>
        </w:tc>
        <w:tc>
          <w:tcPr>
            <w:tcW w:w="1040" w:type="dxa"/>
            <w:vAlign w:val="bottom"/>
            <w:tcBorders>
              <w:bottom w:val="single" w:sz="8" w:color="CFF0FC"/>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12,150</w:t>
            </w:r>
          </w:p>
        </w:tc>
        <w:tc>
          <w:tcPr>
            <w:tcW w:w="220" w:type="dxa"/>
            <w:vAlign w:val="bottom"/>
            <w:tcBorders>
              <w:bottom w:val="single" w:sz="8" w:color="CFF0FC"/>
            </w:tcBorders>
          </w:tcPr>
          <w:p>
            <w:pPr>
              <w:spacing w:after="0"/>
              <w:rPr>
                <w:sz w:val="19"/>
                <w:szCs w:val="19"/>
                <w:color w:val="auto"/>
              </w:rPr>
            </w:pPr>
          </w:p>
        </w:tc>
        <w:tc>
          <w:tcPr>
            <w:tcW w:w="80" w:type="dxa"/>
            <w:vAlign w:val="bottom"/>
            <w:tcBorders>
              <w:bottom w:val="single" w:sz="8" w:color="CFF0FC"/>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10,431</w:t>
            </w:r>
          </w:p>
        </w:tc>
        <w:tc>
          <w:tcPr>
            <w:tcW w:w="280" w:type="dxa"/>
            <w:vAlign w:val="bottom"/>
            <w:tcBorders>
              <w:bottom w:val="single" w:sz="8" w:color="CFF0FC"/>
            </w:tcBorders>
          </w:tcPr>
          <w:p>
            <w:pPr>
              <w:spacing w:after="0"/>
              <w:rPr>
                <w:sz w:val="19"/>
                <w:szCs w:val="19"/>
                <w:color w:val="auto"/>
              </w:rPr>
            </w:pPr>
          </w:p>
        </w:tc>
        <w:tc>
          <w:tcPr>
            <w:tcW w:w="20" w:type="dxa"/>
            <w:vAlign w:val="bottom"/>
            <w:tcBorders>
              <w:bottom w:val="single" w:sz="8" w:color="CFF0FC"/>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1,719</w:t>
            </w:r>
          </w:p>
        </w:tc>
        <w:tc>
          <w:tcPr>
            <w:tcW w:w="220" w:type="dxa"/>
            <w:vAlign w:val="bottom"/>
            <w:tcBorders>
              <w:bottom w:val="single" w:sz="8" w:color="CFF0FC"/>
            </w:tcBorders>
          </w:tcPr>
          <w:p>
            <w:pPr>
              <w:spacing w:after="0"/>
              <w:rPr>
                <w:sz w:val="19"/>
                <w:szCs w:val="19"/>
                <w:color w:val="auto"/>
              </w:rPr>
            </w:pPr>
          </w:p>
        </w:tc>
        <w:tc>
          <w:tcPr>
            <w:tcW w:w="260" w:type="dxa"/>
            <w:vAlign w:val="bottom"/>
            <w:tcBorders>
              <w:bottom w:val="single" w:sz="8" w:color="CFF0FC"/>
            </w:tcBorders>
          </w:tcPr>
          <w:p>
            <w:pPr>
              <w:spacing w:after="0"/>
              <w:rPr>
                <w:sz w:val="19"/>
                <w:szCs w:val="19"/>
                <w:color w:val="auto"/>
              </w:rPr>
            </w:pPr>
          </w:p>
        </w:tc>
        <w:tc>
          <w:tcPr>
            <w:tcW w:w="740" w:type="dxa"/>
            <w:vAlign w:val="bottom"/>
            <w:tcBorders>
              <w:bottom w:val="single" w:sz="8" w:color="CFF0FC"/>
            </w:tcBorders>
          </w:tcPr>
          <w:p>
            <w:pPr>
              <w:jc w:val="right"/>
              <w:spacing w:after="0"/>
              <w:rPr>
                <w:sz w:val="20"/>
                <w:szCs w:val="20"/>
                <w:color w:val="auto"/>
              </w:rPr>
            </w:pPr>
            <w:r>
              <w:rPr>
                <w:rFonts w:ascii="Arial" w:cs="Arial" w:eastAsia="Arial" w:hAnsi="Arial"/>
                <w:sz w:val="18"/>
                <w:szCs w:val="18"/>
                <w:color w:val="auto"/>
              </w:rPr>
              <w:t>16</w:t>
            </w:r>
          </w:p>
        </w:tc>
        <w:tc>
          <w:tcPr>
            <w:tcW w:w="24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080" w:type="dxa"/>
            <w:vAlign w:val="bottom"/>
            <w:shd w:val="clear" w:color="auto" w:fill="CFF0FC"/>
          </w:tcPr>
          <w:p>
            <w:pPr>
              <w:spacing w:after="0"/>
              <w:rPr>
                <w:sz w:val="20"/>
                <w:szCs w:val="20"/>
                <w:color w:val="auto"/>
              </w:rPr>
            </w:pPr>
            <w:r>
              <w:rPr>
                <w:rFonts w:ascii="Arial" w:cs="Arial" w:eastAsia="Arial" w:hAnsi="Arial"/>
                <w:sz w:val="18"/>
                <w:szCs w:val="18"/>
                <w:color w:val="auto"/>
              </w:rPr>
              <w:t>Gross profit</w:t>
            </w:r>
          </w:p>
        </w:tc>
        <w:tc>
          <w:tcPr>
            <w:tcW w:w="104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9,147</w:t>
            </w:r>
          </w:p>
        </w:tc>
        <w:tc>
          <w:tcPr>
            <w:tcW w:w="2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5,169</w:t>
            </w:r>
          </w:p>
        </w:tc>
        <w:tc>
          <w:tcPr>
            <w:tcW w:w="2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3,978</w:t>
            </w:r>
          </w:p>
        </w:tc>
        <w:tc>
          <w:tcPr>
            <w:tcW w:w="22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77</w:t>
            </w:r>
          </w:p>
        </w:tc>
        <w:tc>
          <w:tcPr>
            <w:tcW w:w="24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080" w:type="dxa"/>
            <w:vAlign w:val="bottom"/>
          </w:tcPr>
          <w:p>
            <w:pPr>
              <w:spacing w:after="0"/>
              <w:rPr>
                <w:sz w:val="20"/>
                <w:szCs w:val="20"/>
                <w:color w:val="auto"/>
              </w:rPr>
            </w:pPr>
            <w:r>
              <w:rPr>
                <w:rFonts w:ascii="Arial" w:cs="Arial" w:eastAsia="Arial" w:hAnsi="Arial"/>
                <w:sz w:val="18"/>
                <w:szCs w:val="18"/>
                <w:i w:val="1"/>
                <w:iCs w:val="1"/>
                <w:color w:val="auto"/>
              </w:rPr>
              <w:t>Gross margin</w:t>
            </w:r>
          </w:p>
        </w:tc>
        <w:tc>
          <w:tcPr>
            <w:tcW w:w="10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40" w:type="dxa"/>
            <w:vAlign w:val="bottom"/>
            <w:gridSpan w:val="2"/>
          </w:tcPr>
          <w:p>
            <w:pPr>
              <w:jc w:val="right"/>
              <w:ind w:right="80"/>
              <w:spacing w:after="0"/>
              <w:rPr>
                <w:sz w:val="20"/>
                <w:szCs w:val="20"/>
                <w:color w:val="auto"/>
              </w:rPr>
            </w:pPr>
            <w:r>
              <w:rPr>
                <w:rFonts w:ascii="Arial" w:cs="Arial" w:eastAsia="Arial" w:hAnsi="Arial"/>
                <w:sz w:val="18"/>
                <w:szCs w:val="18"/>
                <w:color w:val="auto"/>
              </w:rPr>
              <w:t>43%</w:t>
            </w:r>
          </w:p>
        </w:tc>
        <w:tc>
          <w:tcPr>
            <w:tcW w:w="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gridSpan w:val="2"/>
          </w:tcPr>
          <w:p>
            <w:pPr>
              <w:jc w:val="right"/>
              <w:ind w:right="140"/>
              <w:spacing w:after="0"/>
              <w:rPr>
                <w:sz w:val="20"/>
                <w:szCs w:val="20"/>
                <w:color w:val="auto"/>
              </w:rPr>
            </w:pPr>
            <w:r>
              <w:rPr>
                <w:rFonts w:ascii="Arial" w:cs="Arial" w:eastAsia="Arial" w:hAnsi="Arial"/>
                <w:sz w:val="18"/>
                <w:szCs w:val="18"/>
                <w:color w:val="auto"/>
              </w:rPr>
              <w:t>33%</w:t>
            </w:r>
          </w:p>
        </w:tc>
        <w:tc>
          <w:tcPr>
            <w:tcW w:w="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080" w:type="dxa"/>
            <w:vAlign w:val="bottom"/>
            <w:shd w:val="clear" w:color="auto" w:fill="CFF0FC"/>
          </w:tcPr>
          <w:p>
            <w:pPr>
              <w:spacing w:after="0"/>
              <w:rPr>
                <w:sz w:val="20"/>
                <w:szCs w:val="20"/>
                <w:color w:val="auto"/>
              </w:rPr>
            </w:pPr>
            <w:r>
              <w:rPr>
                <w:rFonts w:ascii="Arial" w:cs="Arial" w:eastAsia="Arial" w:hAnsi="Arial"/>
                <w:sz w:val="18"/>
                <w:szCs w:val="18"/>
                <w:color w:val="auto"/>
              </w:rPr>
              <w:t>Operating expenses:</w:t>
            </w:r>
          </w:p>
        </w:tc>
        <w:tc>
          <w:tcPr>
            <w:tcW w:w="104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8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74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76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74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080" w:type="dxa"/>
            <w:vAlign w:val="bottom"/>
          </w:tcPr>
          <w:p>
            <w:pPr>
              <w:ind w:left="240"/>
              <w:spacing w:after="0"/>
              <w:rPr>
                <w:sz w:val="20"/>
                <w:szCs w:val="20"/>
                <w:color w:val="auto"/>
              </w:rPr>
            </w:pPr>
            <w:r>
              <w:rPr>
                <w:rFonts w:ascii="Arial" w:cs="Arial" w:eastAsia="Arial" w:hAnsi="Arial"/>
                <w:sz w:val="18"/>
                <w:szCs w:val="18"/>
                <w:color w:val="auto"/>
              </w:rPr>
              <w:t>Research and development</w:t>
            </w:r>
          </w:p>
        </w:tc>
        <w:tc>
          <w:tcPr>
            <w:tcW w:w="10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7,135</w:t>
            </w:r>
          </w:p>
        </w:tc>
        <w:tc>
          <w:tcPr>
            <w:tcW w:w="2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7,474</w:t>
            </w:r>
          </w:p>
        </w:tc>
        <w:tc>
          <w:tcPr>
            <w:tcW w:w="2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80" w:type="dxa"/>
            <w:vAlign w:val="bottom"/>
            <w:gridSpan w:val="2"/>
          </w:tcPr>
          <w:p>
            <w:pPr>
              <w:jc w:val="right"/>
              <w:ind w:right="180"/>
              <w:spacing w:after="0"/>
              <w:rPr>
                <w:sz w:val="20"/>
                <w:szCs w:val="20"/>
                <w:color w:val="auto"/>
              </w:rPr>
            </w:pPr>
            <w:r>
              <w:rPr>
                <w:rFonts w:ascii="Arial" w:cs="Arial" w:eastAsia="Arial" w:hAnsi="Arial"/>
                <w:sz w:val="18"/>
                <w:szCs w:val="18"/>
                <w:color w:val="auto"/>
              </w:rPr>
              <w:t>(339)</w:t>
            </w:r>
          </w:p>
        </w:tc>
        <w:tc>
          <w:tcPr>
            <w:tcW w:w="260" w:type="dxa"/>
            <w:vAlign w:val="bottom"/>
          </w:tcPr>
          <w:p>
            <w:pPr>
              <w:spacing w:after="0"/>
              <w:rPr>
                <w:sz w:val="19"/>
                <w:szCs w:val="19"/>
                <w:color w:val="auto"/>
              </w:rPr>
            </w:pPr>
          </w:p>
        </w:tc>
        <w:tc>
          <w:tcPr>
            <w:tcW w:w="980" w:type="dxa"/>
            <w:vAlign w:val="bottom"/>
            <w:gridSpan w:val="2"/>
          </w:tcPr>
          <w:p>
            <w:pPr>
              <w:jc w:val="right"/>
              <w:ind w:right="180"/>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30"/>
        </w:trPr>
        <w:tc>
          <w:tcPr>
            <w:tcW w:w="4080" w:type="dxa"/>
            <w:vAlign w:val="bottom"/>
            <w:shd w:val="clear" w:color="auto" w:fill="CFF0FC"/>
          </w:tcPr>
          <w:p>
            <w:pPr>
              <w:ind w:left="240"/>
              <w:spacing w:after="0"/>
              <w:rPr>
                <w:sz w:val="20"/>
                <w:szCs w:val="20"/>
                <w:color w:val="auto"/>
              </w:rPr>
            </w:pPr>
            <w:r>
              <w:rPr>
                <w:rFonts w:ascii="Arial" w:cs="Arial" w:eastAsia="Arial" w:hAnsi="Arial"/>
                <w:sz w:val="18"/>
                <w:szCs w:val="18"/>
                <w:color w:val="auto"/>
              </w:rPr>
              <w:t>Sales and marketing</w:t>
            </w:r>
          </w:p>
        </w:tc>
        <w:tc>
          <w:tcPr>
            <w:tcW w:w="104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14,390</w:t>
            </w:r>
          </w:p>
        </w:tc>
        <w:tc>
          <w:tcPr>
            <w:tcW w:w="2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12,483</w:t>
            </w:r>
          </w:p>
        </w:tc>
        <w:tc>
          <w:tcPr>
            <w:tcW w:w="2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1,907</w:t>
            </w:r>
          </w:p>
        </w:tc>
        <w:tc>
          <w:tcPr>
            <w:tcW w:w="22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w:t>
            </w:r>
          </w:p>
        </w:tc>
        <w:tc>
          <w:tcPr>
            <w:tcW w:w="24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080" w:type="dxa"/>
            <w:vAlign w:val="bottom"/>
            <w:tcBorders>
              <w:bottom w:val="single" w:sz="8" w:color="CFF0FC"/>
            </w:tcBorders>
          </w:tcPr>
          <w:p>
            <w:pPr>
              <w:ind w:left="240"/>
              <w:spacing w:after="0"/>
              <w:rPr>
                <w:sz w:val="20"/>
                <w:szCs w:val="20"/>
                <w:color w:val="auto"/>
              </w:rPr>
            </w:pPr>
            <w:r>
              <w:rPr>
                <w:rFonts w:ascii="Arial" w:cs="Arial" w:eastAsia="Arial" w:hAnsi="Arial"/>
                <w:sz w:val="18"/>
                <w:szCs w:val="18"/>
                <w:color w:val="auto"/>
              </w:rPr>
              <w:t>General and administrative</w:t>
            </w:r>
          </w:p>
        </w:tc>
        <w:tc>
          <w:tcPr>
            <w:tcW w:w="1040" w:type="dxa"/>
            <w:vAlign w:val="bottom"/>
            <w:tcBorders>
              <w:bottom w:val="single" w:sz="8" w:color="CFF0FC"/>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4,904</w:t>
            </w:r>
          </w:p>
        </w:tc>
        <w:tc>
          <w:tcPr>
            <w:tcW w:w="220" w:type="dxa"/>
            <w:vAlign w:val="bottom"/>
            <w:tcBorders>
              <w:bottom w:val="single" w:sz="8" w:color="CFF0FC"/>
            </w:tcBorders>
          </w:tcPr>
          <w:p>
            <w:pPr>
              <w:spacing w:after="0"/>
              <w:rPr>
                <w:sz w:val="19"/>
                <w:szCs w:val="19"/>
                <w:color w:val="auto"/>
              </w:rPr>
            </w:pPr>
          </w:p>
        </w:tc>
        <w:tc>
          <w:tcPr>
            <w:tcW w:w="80" w:type="dxa"/>
            <w:vAlign w:val="bottom"/>
            <w:tcBorders>
              <w:bottom w:val="single" w:sz="8" w:color="CFF0FC"/>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4,144</w:t>
            </w:r>
          </w:p>
        </w:tc>
        <w:tc>
          <w:tcPr>
            <w:tcW w:w="280" w:type="dxa"/>
            <w:vAlign w:val="bottom"/>
            <w:tcBorders>
              <w:bottom w:val="single" w:sz="8" w:color="CFF0FC"/>
            </w:tcBorders>
          </w:tcPr>
          <w:p>
            <w:pPr>
              <w:spacing w:after="0"/>
              <w:rPr>
                <w:sz w:val="19"/>
                <w:szCs w:val="19"/>
                <w:color w:val="auto"/>
              </w:rPr>
            </w:pPr>
          </w:p>
        </w:tc>
        <w:tc>
          <w:tcPr>
            <w:tcW w:w="20" w:type="dxa"/>
            <w:vAlign w:val="bottom"/>
            <w:tcBorders>
              <w:bottom w:val="single" w:sz="8" w:color="CFF0FC"/>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760</w:t>
            </w:r>
          </w:p>
        </w:tc>
        <w:tc>
          <w:tcPr>
            <w:tcW w:w="220" w:type="dxa"/>
            <w:vAlign w:val="bottom"/>
            <w:tcBorders>
              <w:bottom w:val="single" w:sz="8" w:color="CFF0FC"/>
            </w:tcBorders>
          </w:tcPr>
          <w:p>
            <w:pPr>
              <w:spacing w:after="0"/>
              <w:rPr>
                <w:sz w:val="19"/>
                <w:szCs w:val="19"/>
                <w:color w:val="auto"/>
              </w:rPr>
            </w:pPr>
          </w:p>
        </w:tc>
        <w:tc>
          <w:tcPr>
            <w:tcW w:w="260" w:type="dxa"/>
            <w:vAlign w:val="bottom"/>
            <w:tcBorders>
              <w:bottom w:val="single" w:sz="8" w:color="CFF0FC"/>
            </w:tcBorders>
          </w:tcPr>
          <w:p>
            <w:pPr>
              <w:spacing w:after="0"/>
              <w:rPr>
                <w:sz w:val="19"/>
                <w:szCs w:val="19"/>
                <w:color w:val="auto"/>
              </w:rPr>
            </w:pPr>
          </w:p>
        </w:tc>
        <w:tc>
          <w:tcPr>
            <w:tcW w:w="740" w:type="dxa"/>
            <w:vAlign w:val="bottom"/>
            <w:tcBorders>
              <w:bottom w:val="single" w:sz="8" w:color="CFF0FC"/>
            </w:tcBorders>
          </w:tcPr>
          <w:p>
            <w:pPr>
              <w:jc w:val="right"/>
              <w:spacing w:after="0"/>
              <w:rPr>
                <w:sz w:val="20"/>
                <w:szCs w:val="20"/>
                <w:color w:val="auto"/>
              </w:rPr>
            </w:pPr>
            <w:r>
              <w:rPr>
                <w:rFonts w:ascii="Arial" w:cs="Arial" w:eastAsia="Arial" w:hAnsi="Arial"/>
                <w:sz w:val="18"/>
                <w:szCs w:val="18"/>
                <w:color w:val="auto"/>
              </w:rPr>
              <w:t>18</w:t>
            </w:r>
          </w:p>
        </w:tc>
        <w:tc>
          <w:tcPr>
            <w:tcW w:w="24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080" w:type="dxa"/>
            <w:vAlign w:val="bottom"/>
            <w:shd w:val="clear" w:color="auto" w:fill="CFF0FC"/>
          </w:tcPr>
          <w:p>
            <w:pPr>
              <w:spacing w:after="0"/>
              <w:rPr>
                <w:sz w:val="20"/>
                <w:szCs w:val="20"/>
                <w:color w:val="auto"/>
              </w:rPr>
            </w:pPr>
            <w:r>
              <w:rPr>
                <w:rFonts w:ascii="Arial" w:cs="Arial" w:eastAsia="Arial" w:hAnsi="Arial"/>
                <w:sz w:val="18"/>
                <w:szCs w:val="18"/>
                <w:color w:val="auto"/>
              </w:rPr>
              <w:t>Total operating expenses</w:t>
            </w:r>
          </w:p>
        </w:tc>
        <w:tc>
          <w:tcPr>
            <w:tcW w:w="1040" w:type="dxa"/>
            <w:vAlign w:val="bottom"/>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spacing w:after="0"/>
              <w:rPr>
                <w:sz w:val="19"/>
                <w:szCs w:val="19"/>
                <w:color w:val="auto"/>
              </w:rPr>
            </w:pPr>
          </w:p>
        </w:tc>
        <w:tc>
          <w:tcPr>
            <w:tcW w:w="8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26,429</w:t>
            </w:r>
          </w:p>
        </w:tc>
        <w:tc>
          <w:tcPr>
            <w:tcW w:w="2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300" w:type="dxa"/>
            <w:vAlign w:val="bottom"/>
            <w:tcBorders>
              <w:bottom w:val="single" w:sz="8" w:color="auto"/>
            </w:tcBorders>
            <w:shd w:val="clear" w:color="auto" w:fill="CFF0FC"/>
          </w:tcPr>
          <w:p>
            <w:pPr>
              <w:spacing w:after="0"/>
              <w:rPr>
                <w:sz w:val="19"/>
                <w:szCs w:val="19"/>
                <w:color w:val="auto"/>
              </w:rPr>
            </w:pPr>
          </w:p>
        </w:tc>
        <w:tc>
          <w:tcPr>
            <w:tcW w:w="7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24,101</w:t>
            </w:r>
          </w:p>
        </w:tc>
        <w:tc>
          <w:tcPr>
            <w:tcW w:w="2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60" w:type="dxa"/>
            <w:vAlign w:val="bottom"/>
            <w:tcBorders>
              <w:bottom w:val="single" w:sz="8" w:color="auto"/>
            </w:tcBorders>
            <w:shd w:val="clear" w:color="auto" w:fill="CFF0FC"/>
          </w:tcPr>
          <w:p>
            <w:pPr>
              <w:spacing w:after="0"/>
              <w:rPr>
                <w:sz w:val="19"/>
                <w:szCs w:val="19"/>
                <w:color w:val="auto"/>
              </w:rPr>
            </w:pPr>
          </w:p>
        </w:tc>
        <w:tc>
          <w:tcPr>
            <w:tcW w:w="7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2,328</w:t>
            </w:r>
          </w:p>
        </w:tc>
        <w:tc>
          <w:tcPr>
            <w:tcW w:w="22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w:t>
            </w:r>
          </w:p>
        </w:tc>
        <w:tc>
          <w:tcPr>
            <w:tcW w:w="24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080" w:type="dxa"/>
            <w:vAlign w:val="bottom"/>
          </w:tcPr>
          <w:p>
            <w:pPr>
              <w:spacing w:after="0"/>
              <w:rPr>
                <w:sz w:val="20"/>
                <w:szCs w:val="20"/>
                <w:color w:val="auto"/>
              </w:rPr>
            </w:pPr>
            <w:r>
              <w:rPr>
                <w:rFonts w:ascii="Arial" w:cs="Arial" w:eastAsia="Arial" w:hAnsi="Arial"/>
                <w:sz w:val="18"/>
                <w:szCs w:val="18"/>
                <w:color w:val="auto"/>
              </w:rPr>
              <w:t>Loss from operations</w:t>
            </w:r>
          </w:p>
        </w:tc>
        <w:tc>
          <w:tcPr>
            <w:tcW w:w="10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(17,282)</w:t>
            </w:r>
          </w:p>
        </w:tc>
        <w:tc>
          <w:tcPr>
            <w:tcW w:w="2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(18,932)</w:t>
            </w:r>
          </w:p>
        </w:tc>
        <w:tc>
          <w:tcPr>
            <w:tcW w:w="2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1,650</w:t>
            </w:r>
          </w:p>
        </w:tc>
        <w:tc>
          <w:tcPr>
            <w:tcW w:w="2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80" w:type="dxa"/>
            <w:vAlign w:val="bottom"/>
            <w:gridSpan w:val="2"/>
          </w:tcPr>
          <w:p>
            <w:pPr>
              <w:jc w:val="right"/>
              <w:ind w:right="180"/>
              <w:spacing w:after="0"/>
              <w:rPr>
                <w:sz w:val="20"/>
                <w:szCs w:val="20"/>
                <w:color w:val="auto"/>
              </w:rPr>
            </w:pPr>
            <w:r>
              <w:rPr>
                <w:rFonts w:ascii="Arial" w:cs="Arial" w:eastAsia="Arial" w:hAnsi="Arial"/>
                <w:sz w:val="18"/>
                <w:szCs w:val="18"/>
                <w:color w:val="auto"/>
              </w:rPr>
              <w:t>(9)</w:t>
            </w:r>
          </w:p>
        </w:tc>
        <w:tc>
          <w:tcPr>
            <w:tcW w:w="0" w:type="dxa"/>
            <w:vAlign w:val="bottom"/>
          </w:tcPr>
          <w:p>
            <w:pPr>
              <w:spacing w:after="0"/>
              <w:rPr>
                <w:sz w:val="1"/>
                <w:szCs w:val="1"/>
                <w:color w:val="auto"/>
              </w:rPr>
            </w:pPr>
          </w:p>
        </w:tc>
      </w:tr>
      <w:tr>
        <w:trPr>
          <w:trHeight w:val="230"/>
        </w:trPr>
        <w:tc>
          <w:tcPr>
            <w:tcW w:w="4080" w:type="dxa"/>
            <w:vAlign w:val="bottom"/>
            <w:shd w:val="clear" w:color="auto" w:fill="CFF0FC"/>
          </w:tcPr>
          <w:p>
            <w:pPr>
              <w:spacing w:after="0"/>
              <w:rPr>
                <w:sz w:val="20"/>
                <w:szCs w:val="20"/>
                <w:color w:val="auto"/>
              </w:rPr>
            </w:pPr>
            <w:r>
              <w:rPr>
                <w:rFonts w:ascii="Arial" w:cs="Arial" w:eastAsia="Arial" w:hAnsi="Arial"/>
                <w:sz w:val="18"/>
                <w:szCs w:val="18"/>
                <w:color w:val="auto"/>
              </w:rPr>
              <w:t>Other income (expense), net:</w:t>
            </w:r>
          </w:p>
        </w:tc>
        <w:tc>
          <w:tcPr>
            <w:tcW w:w="104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8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74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76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74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080" w:type="dxa"/>
            <w:vAlign w:val="bottom"/>
          </w:tcPr>
          <w:p>
            <w:pPr>
              <w:ind w:left="240"/>
              <w:spacing w:after="0"/>
              <w:rPr>
                <w:sz w:val="20"/>
                <w:szCs w:val="20"/>
                <w:color w:val="auto"/>
              </w:rPr>
            </w:pPr>
            <w:r>
              <w:rPr>
                <w:rFonts w:ascii="Arial" w:cs="Arial" w:eastAsia="Arial" w:hAnsi="Arial"/>
                <w:sz w:val="18"/>
                <w:szCs w:val="18"/>
                <w:color w:val="auto"/>
              </w:rPr>
              <w:t>Interest expense</w:t>
            </w:r>
          </w:p>
        </w:tc>
        <w:tc>
          <w:tcPr>
            <w:tcW w:w="10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40" w:type="dxa"/>
            <w:vAlign w:val="bottom"/>
            <w:gridSpan w:val="2"/>
          </w:tcPr>
          <w:p>
            <w:pPr>
              <w:jc w:val="right"/>
              <w:ind w:right="180"/>
              <w:spacing w:after="0"/>
              <w:rPr>
                <w:sz w:val="20"/>
                <w:szCs w:val="20"/>
                <w:color w:val="auto"/>
              </w:rPr>
            </w:pPr>
            <w:r>
              <w:rPr>
                <w:rFonts w:ascii="Arial" w:cs="Arial" w:eastAsia="Arial" w:hAnsi="Arial"/>
                <w:sz w:val="18"/>
                <w:szCs w:val="18"/>
                <w:color w:val="auto"/>
              </w:rPr>
              <w:t>(2,027)</w:t>
            </w:r>
          </w:p>
        </w:tc>
        <w:tc>
          <w:tcPr>
            <w:tcW w:w="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gridSpan w:val="2"/>
          </w:tcPr>
          <w:p>
            <w:pPr>
              <w:jc w:val="right"/>
              <w:ind w:right="240"/>
              <w:spacing w:after="0"/>
              <w:rPr>
                <w:sz w:val="20"/>
                <w:szCs w:val="20"/>
                <w:color w:val="auto"/>
              </w:rPr>
            </w:pPr>
            <w:r>
              <w:rPr>
                <w:rFonts w:ascii="Arial" w:cs="Arial" w:eastAsia="Arial" w:hAnsi="Arial"/>
                <w:sz w:val="18"/>
                <w:szCs w:val="18"/>
                <w:color w:val="auto"/>
              </w:rPr>
              <w:t>(2,483)</w:t>
            </w:r>
          </w:p>
        </w:tc>
        <w:tc>
          <w:tcPr>
            <w:tcW w:w="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456</w:t>
            </w:r>
          </w:p>
        </w:tc>
        <w:tc>
          <w:tcPr>
            <w:tcW w:w="2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80" w:type="dxa"/>
            <w:vAlign w:val="bottom"/>
            <w:gridSpan w:val="2"/>
          </w:tcPr>
          <w:p>
            <w:pPr>
              <w:jc w:val="right"/>
              <w:ind w:right="180"/>
              <w:spacing w:after="0"/>
              <w:rPr>
                <w:sz w:val="20"/>
                <w:szCs w:val="20"/>
                <w:color w:val="auto"/>
              </w:rPr>
            </w:pPr>
            <w:r>
              <w:rPr>
                <w:rFonts w:ascii="Arial" w:cs="Arial" w:eastAsia="Arial" w:hAnsi="Arial"/>
                <w:sz w:val="18"/>
                <w:szCs w:val="18"/>
                <w:color w:val="auto"/>
              </w:rPr>
              <w:t>(18)</w:t>
            </w:r>
          </w:p>
        </w:tc>
        <w:tc>
          <w:tcPr>
            <w:tcW w:w="0" w:type="dxa"/>
            <w:vAlign w:val="bottom"/>
          </w:tcPr>
          <w:p>
            <w:pPr>
              <w:spacing w:after="0"/>
              <w:rPr>
                <w:sz w:val="1"/>
                <w:szCs w:val="1"/>
                <w:color w:val="auto"/>
              </w:rPr>
            </w:pPr>
          </w:p>
        </w:tc>
      </w:tr>
      <w:tr>
        <w:trPr>
          <w:trHeight w:val="230"/>
        </w:trPr>
        <w:tc>
          <w:tcPr>
            <w:tcW w:w="4080" w:type="dxa"/>
            <w:vAlign w:val="bottom"/>
            <w:shd w:val="clear" w:color="auto" w:fill="CFF0FC"/>
          </w:tcPr>
          <w:p>
            <w:pPr>
              <w:ind w:left="240"/>
              <w:spacing w:after="0"/>
              <w:rPr>
                <w:sz w:val="20"/>
                <w:szCs w:val="20"/>
                <w:color w:val="auto"/>
              </w:rPr>
            </w:pPr>
            <w:r>
              <w:rPr>
                <w:rFonts w:ascii="Arial" w:cs="Arial" w:eastAsia="Arial" w:hAnsi="Arial"/>
                <w:sz w:val="18"/>
                <w:szCs w:val="18"/>
                <w:color w:val="auto"/>
              </w:rPr>
              <w:t>Gain on sale of investment</w:t>
            </w:r>
          </w:p>
        </w:tc>
        <w:tc>
          <w:tcPr>
            <w:tcW w:w="104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1,851</w:t>
            </w:r>
          </w:p>
        </w:tc>
        <w:tc>
          <w:tcPr>
            <w:tcW w:w="2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020" w:type="dxa"/>
            <w:vAlign w:val="bottom"/>
            <w:gridSpan w:val="2"/>
            <w:shd w:val="clear" w:color="auto" w:fill="CFF0FC"/>
          </w:tcPr>
          <w:p>
            <w:pPr>
              <w:jc w:val="right"/>
              <w:ind w:right="300"/>
              <w:spacing w:after="0"/>
              <w:rPr>
                <w:sz w:val="20"/>
                <w:szCs w:val="20"/>
                <w:color w:val="auto"/>
              </w:rPr>
            </w:pPr>
            <w:r>
              <w:rPr>
                <w:rFonts w:ascii="Arial" w:cs="Arial" w:eastAsia="Arial" w:hAnsi="Arial"/>
                <w:sz w:val="18"/>
                <w:szCs w:val="18"/>
                <w:color w:val="auto"/>
              </w:rPr>
              <w:t>—</w:t>
            </w:r>
          </w:p>
        </w:tc>
        <w:tc>
          <w:tcPr>
            <w:tcW w:w="2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1,851</w:t>
            </w:r>
          </w:p>
        </w:tc>
        <w:tc>
          <w:tcPr>
            <w:tcW w:w="22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980" w:type="dxa"/>
            <w:vAlign w:val="bottom"/>
            <w:gridSpan w:val="2"/>
            <w:shd w:val="clear" w:color="auto" w:fill="CFF0FC"/>
          </w:tcPr>
          <w:p>
            <w:pPr>
              <w:jc w:val="right"/>
              <w:ind w:right="2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4080" w:type="dxa"/>
            <w:vAlign w:val="bottom"/>
          </w:tcPr>
          <w:p>
            <w:pPr>
              <w:ind w:left="240"/>
              <w:spacing w:after="0"/>
              <w:rPr>
                <w:sz w:val="20"/>
                <w:szCs w:val="20"/>
                <w:color w:val="auto"/>
              </w:rPr>
            </w:pPr>
            <w:r>
              <w:rPr>
                <w:rFonts w:ascii="Arial" w:cs="Arial" w:eastAsia="Arial" w:hAnsi="Arial"/>
                <w:sz w:val="18"/>
                <w:szCs w:val="18"/>
                <w:color w:val="auto"/>
              </w:rPr>
              <w:t>Other income (expense), net</w:t>
            </w:r>
          </w:p>
        </w:tc>
        <w:tc>
          <w:tcPr>
            <w:tcW w:w="10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40" w:type="dxa"/>
            <w:vAlign w:val="bottom"/>
            <w:gridSpan w:val="2"/>
          </w:tcPr>
          <w:p>
            <w:pPr>
              <w:jc w:val="right"/>
              <w:ind w:right="180"/>
              <w:spacing w:after="0"/>
              <w:rPr>
                <w:sz w:val="20"/>
                <w:szCs w:val="20"/>
                <w:color w:val="auto"/>
              </w:rPr>
            </w:pPr>
            <w:r>
              <w:rPr>
                <w:rFonts w:ascii="Arial" w:cs="Arial" w:eastAsia="Arial" w:hAnsi="Arial"/>
                <w:sz w:val="18"/>
                <w:szCs w:val="18"/>
                <w:color w:val="auto"/>
              </w:rPr>
              <w:t>(328)</w:t>
            </w:r>
          </w:p>
        </w:tc>
        <w:tc>
          <w:tcPr>
            <w:tcW w:w="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gridSpan w:val="2"/>
          </w:tcPr>
          <w:p>
            <w:pPr>
              <w:jc w:val="right"/>
              <w:ind w:right="240"/>
              <w:spacing w:after="0"/>
              <w:rPr>
                <w:sz w:val="20"/>
                <w:szCs w:val="20"/>
                <w:color w:val="auto"/>
              </w:rPr>
            </w:pPr>
            <w:r>
              <w:rPr>
                <w:rFonts w:ascii="Arial" w:cs="Arial" w:eastAsia="Arial" w:hAnsi="Arial"/>
                <w:sz w:val="18"/>
                <w:szCs w:val="18"/>
                <w:color w:val="auto"/>
              </w:rPr>
              <w:t>(431)</w:t>
            </w:r>
          </w:p>
        </w:tc>
        <w:tc>
          <w:tcPr>
            <w:tcW w:w="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103</w:t>
            </w:r>
          </w:p>
        </w:tc>
        <w:tc>
          <w:tcPr>
            <w:tcW w:w="2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80" w:type="dxa"/>
            <w:vAlign w:val="bottom"/>
            <w:gridSpan w:val="2"/>
          </w:tcPr>
          <w:p>
            <w:pPr>
              <w:jc w:val="right"/>
              <w:ind w:right="180"/>
              <w:spacing w:after="0"/>
              <w:rPr>
                <w:sz w:val="20"/>
                <w:szCs w:val="20"/>
                <w:color w:val="auto"/>
              </w:rPr>
            </w:pPr>
            <w:r>
              <w:rPr>
                <w:rFonts w:ascii="Arial" w:cs="Arial" w:eastAsia="Arial" w:hAnsi="Arial"/>
                <w:sz w:val="18"/>
                <w:szCs w:val="18"/>
                <w:color w:val="auto"/>
              </w:rPr>
              <w:t>(24)</w:t>
            </w:r>
          </w:p>
        </w:tc>
        <w:tc>
          <w:tcPr>
            <w:tcW w:w="0" w:type="dxa"/>
            <w:vAlign w:val="bottom"/>
          </w:tcPr>
          <w:p>
            <w:pPr>
              <w:spacing w:after="0"/>
              <w:rPr>
                <w:sz w:val="1"/>
                <w:szCs w:val="1"/>
                <w:color w:val="auto"/>
              </w:rPr>
            </w:pPr>
          </w:p>
        </w:tc>
      </w:tr>
      <w:tr>
        <w:trPr>
          <w:trHeight w:val="223"/>
        </w:trPr>
        <w:tc>
          <w:tcPr>
            <w:tcW w:w="408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Total other income (expense)</w:t>
            </w:r>
          </w:p>
        </w:tc>
        <w:tc>
          <w:tcPr>
            <w:tcW w:w="1040" w:type="dxa"/>
            <w:vAlign w:val="bottom"/>
            <w:tcBorders>
              <w:top w:val="single" w:sz="8" w:color="CFF0FC"/>
            </w:tcBorders>
            <w:shd w:val="clear" w:color="auto" w:fill="CFF0FC"/>
          </w:tcPr>
          <w:p>
            <w:pPr>
              <w:spacing w:after="0"/>
              <w:rPr>
                <w:sz w:val="19"/>
                <w:szCs w:val="19"/>
                <w:color w:val="auto"/>
              </w:rPr>
            </w:pPr>
          </w:p>
        </w:tc>
        <w:tc>
          <w:tcPr>
            <w:tcW w:w="220" w:type="dxa"/>
            <w:vAlign w:val="bottom"/>
            <w:tcBorders>
              <w:top w:val="single" w:sz="8" w:color="auto"/>
              <w:bottom w:val="single" w:sz="8" w:color="auto"/>
            </w:tcBorders>
            <w:shd w:val="clear" w:color="auto" w:fill="CFF0FC"/>
          </w:tcPr>
          <w:p>
            <w:pPr>
              <w:spacing w:after="0"/>
              <w:rPr>
                <w:sz w:val="19"/>
                <w:szCs w:val="19"/>
                <w:color w:val="auto"/>
              </w:rPr>
            </w:pPr>
          </w:p>
        </w:tc>
        <w:tc>
          <w:tcPr>
            <w:tcW w:w="8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(504)</w:t>
            </w:r>
          </w:p>
        </w:tc>
        <w:tc>
          <w:tcPr>
            <w:tcW w:w="220" w:type="dxa"/>
            <w:vAlign w:val="bottom"/>
            <w:tcBorders>
              <w:top w:val="single" w:sz="8" w:color="CFF0FC"/>
            </w:tcBorders>
            <w:shd w:val="clear" w:color="auto" w:fill="CFF0FC"/>
          </w:tcPr>
          <w:p>
            <w:pPr>
              <w:spacing w:after="0"/>
              <w:rPr>
                <w:sz w:val="19"/>
                <w:szCs w:val="19"/>
                <w:color w:val="auto"/>
              </w:rPr>
            </w:pPr>
          </w:p>
        </w:tc>
        <w:tc>
          <w:tcPr>
            <w:tcW w:w="80" w:type="dxa"/>
            <w:vAlign w:val="bottom"/>
            <w:tcBorders>
              <w:top w:val="single" w:sz="8" w:color="CFF0FC"/>
            </w:tcBorders>
            <w:shd w:val="clear" w:color="auto" w:fill="CFF0FC"/>
          </w:tcPr>
          <w:p>
            <w:pPr>
              <w:spacing w:after="0"/>
              <w:rPr>
                <w:sz w:val="19"/>
                <w:szCs w:val="19"/>
                <w:color w:val="auto"/>
              </w:rPr>
            </w:pPr>
          </w:p>
        </w:tc>
        <w:tc>
          <w:tcPr>
            <w:tcW w:w="300" w:type="dxa"/>
            <w:vAlign w:val="bottom"/>
            <w:tcBorders>
              <w:top w:val="single" w:sz="8" w:color="auto"/>
              <w:bottom w:val="single" w:sz="8" w:color="auto"/>
            </w:tcBorders>
            <w:shd w:val="clear" w:color="auto" w:fill="CFF0FC"/>
          </w:tcPr>
          <w:p>
            <w:pPr>
              <w:spacing w:after="0"/>
              <w:rPr>
                <w:sz w:val="19"/>
                <w:szCs w:val="19"/>
                <w:color w:val="auto"/>
              </w:rPr>
            </w:pPr>
          </w:p>
        </w:tc>
        <w:tc>
          <w:tcPr>
            <w:tcW w:w="7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(2,914)</w:t>
            </w:r>
          </w:p>
        </w:tc>
        <w:tc>
          <w:tcPr>
            <w:tcW w:w="280" w:type="dxa"/>
            <w:vAlign w:val="bottom"/>
            <w:tcBorders>
              <w:top w:val="single" w:sz="8" w:color="CFF0FC"/>
            </w:tcBorders>
            <w:shd w:val="clear" w:color="auto" w:fill="CFF0FC"/>
          </w:tcPr>
          <w:p>
            <w:pPr>
              <w:spacing w:after="0"/>
              <w:rPr>
                <w:sz w:val="19"/>
                <w:szCs w:val="19"/>
                <w:color w:val="auto"/>
              </w:rPr>
            </w:pPr>
          </w:p>
        </w:tc>
        <w:tc>
          <w:tcPr>
            <w:tcW w:w="20" w:type="dxa"/>
            <w:vAlign w:val="bottom"/>
            <w:tcBorders>
              <w:top w:val="single" w:sz="8" w:color="CFF0FC"/>
            </w:tcBorders>
            <w:shd w:val="clear" w:color="auto" w:fill="CFF0FC"/>
          </w:tcPr>
          <w:p>
            <w:pPr>
              <w:spacing w:after="0"/>
              <w:rPr>
                <w:sz w:val="19"/>
                <w:szCs w:val="19"/>
                <w:color w:val="auto"/>
              </w:rPr>
            </w:pPr>
          </w:p>
        </w:tc>
        <w:tc>
          <w:tcPr>
            <w:tcW w:w="260" w:type="dxa"/>
            <w:vAlign w:val="bottom"/>
            <w:tcBorders>
              <w:top w:val="single" w:sz="8" w:color="auto"/>
              <w:bottom w:val="single" w:sz="8" w:color="auto"/>
            </w:tcBorders>
            <w:shd w:val="clear" w:color="auto" w:fill="CFF0FC"/>
          </w:tcPr>
          <w:p>
            <w:pPr>
              <w:spacing w:after="0"/>
              <w:rPr>
                <w:sz w:val="19"/>
                <w:szCs w:val="19"/>
                <w:color w:val="auto"/>
              </w:rPr>
            </w:pPr>
          </w:p>
        </w:tc>
        <w:tc>
          <w:tcPr>
            <w:tcW w:w="7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2,410</w:t>
            </w:r>
          </w:p>
        </w:tc>
        <w:tc>
          <w:tcPr>
            <w:tcW w:w="220" w:type="dxa"/>
            <w:vAlign w:val="bottom"/>
            <w:tcBorders>
              <w:top w:val="single" w:sz="8" w:color="CFF0FC"/>
            </w:tcBorders>
            <w:shd w:val="clear" w:color="auto" w:fill="CFF0FC"/>
          </w:tcPr>
          <w:p>
            <w:pPr>
              <w:spacing w:after="0"/>
              <w:rPr>
                <w:sz w:val="19"/>
                <w:szCs w:val="19"/>
                <w:color w:val="auto"/>
              </w:rPr>
            </w:pPr>
          </w:p>
        </w:tc>
        <w:tc>
          <w:tcPr>
            <w:tcW w:w="260" w:type="dxa"/>
            <w:vAlign w:val="bottom"/>
            <w:tcBorders>
              <w:top w:val="single" w:sz="8" w:color="CFF0FC"/>
            </w:tcBorders>
            <w:shd w:val="clear" w:color="auto" w:fill="CFF0FC"/>
          </w:tcPr>
          <w:p>
            <w:pPr>
              <w:spacing w:after="0"/>
              <w:rPr>
                <w:sz w:val="19"/>
                <w:szCs w:val="19"/>
                <w:color w:val="auto"/>
              </w:rPr>
            </w:pPr>
          </w:p>
        </w:tc>
        <w:tc>
          <w:tcPr>
            <w:tcW w:w="980" w:type="dxa"/>
            <w:vAlign w:val="bottom"/>
            <w:tcBorders>
              <w:top w:val="single" w:sz="8" w:color="CFF0FC"/>
            </w:tcBorders>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(83)</w:t>
            </w:r>
          </w:p>
        </w:tc>
        <w:tc>
          <w:tcPr>
            <w:tcW w:w="0" w:type="dxa"/>
            <w:vAlign w:val="bottom"/>
          </w:tcPr>
          <w:p>
            <w:pPr>
              <w:spacing w:after="0"/>
              <w:rPr>
                <w:sz w:val="1"/>
                <w:szCs w:val="1"/>
                <w:color w:val="auto"/>
              </w:rPr>
            </w:pPr>
          </w:p>
        </w:tc>
      </w:tr>
      <w:tr>
        <w:trPr>
          <w:trHeight w:val="223"/>
        </w:trPr>
        <w:tc>
          <w:tcPr>
            <w:tcW w:w="4080" w:type="dxa"/>
            <w:vAlign w:val="bottom"/>
          </w:tcPr>
          <w:p>
            <w:pPr>
              <w:spacing w:after="0"/>
              <w:rPr>
                <w:sz w:val="20"/>
                <w:szCs w:val="20"/>
                <w:color w:val="auto"/>
              </w:rPr>
            </w:pPr>
            <w:r>
              <w:rPr>
                <w:rFonts w:ascii="Arial" w:cs="Arial" w:eastAsia="Arial" w:hAnsi="Arial"/>
                <w:sz w:val="18"/>
                <w:szCs w:val="18"/>
                <w:color w:val="auto"/>
              </w:rPr>
              <w:t>Net loss before provision for income taxes</w:t>
            </w:r>
          </w:p>
        </w:tc>
        <w:tc>
          <w:tcPr>
            <w:tcW w:w="10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(17,786)</w:t>
            </w:r>
          </w:p>
        </w:tc>
        <w:tc>
          <w:tcPr>
            <w:tcW w:w="2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(21,846)</w:t>
            </w:r>
          </w:p>
        </w:tc>
        <w:tc>
          <w:tcPr>
            <w:tcW w:w="2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4,060</w:t>
            </w:r>
          </w:p>
        </w:tc>
        <w:tc>
          <w:tcPr>
            <w:tcW w:w="2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80" w:type="dxa"/>
            <w:vAlign w:val="bottom"/>
            <w:gridSpan w:val="2"/>
          </w:tcPr>
          <w:p>
            <w:pPr>
              <w:jc w:val="right"/>
              <w:ind w:right="180"/>
              <w:spacing w:after="0"/>
              <w:rPr>
                <w:sz w:val="20"/>
                <w:szCs w:val="20"/>
                <w:color w:val="auto"/>
              </w:rPr>
            </w:pPr>
            <w:r>
              <w:rPr>
                <w:rFonts w:ascii="Arial" w:cs="Arial" w:eastAsia="Arial" w:hAnsi="Arial"/>
                <w:sz w:val="18"/>
                <w:szCs w:val="18"/>
                <w:color w:val="auto"/>
              </w:rPr>
              <w:t>(19)</w:t>
            </w:r>
          </w:p>
        </w:tc>
        <w:tc>
          <w:tcPr>
            <w:tcW w:w="0" w:type="dxa"/>
            <w:vAlign w:val="bottom"/>
          </w:tcPr>
          <w:p>
            <w:pPr>
              <w:spacing w:after="0"/>
              <w:rPr>
                <w:sz w:val="1"/>
                <w:szCs w:val="1"/>
                <w:color w:val="auto"/>
              </w:rPr>
            </w:pPr>
          </w:p>
        </w:tc>
      </w:tr>
      <w:tr>
        <w:trPr>
          <w:trHeight w:val="230"/>
        </w:trPr>
        <w:tc>
          <w:tcPr>
            <w:tcW w:w="4080" w:type="dxa"/>
            <w:vAlign w:val="bottom"/>
            <w:shd w:val="clear" w:color="auto" w:fill="CFF0FC"/>
          </w:tcPr>
          <w:p>
            <w:pPr>
              <w:spacing w:after="0"/>
              <w:rPr>
                <w:sz w:val="20"/>
                <w:szCs w:val="20"/>
                <w:color w:val="auto"/>
              </w:rPr>
            </w:pPr>
            <w:r>
              <w:rPr>
                <w:rFonts w:ascii="Arial" w:cs="Arial" w:eastAsia="Arial" w:hAnsi="Arial"/>
                <w:sz w:val="18"/>
                <w:szCs w:val="18"/>
                <w:color w:val="auto"/>
              </w:rPr>
              <w:t>Provision for income taxes</w:t>
            </w:r>
          </w:p>
        </w:tc>
        <w:tc>
          <w:tcPr>
            <w:tcW w:w="104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56</w:t>
            </w:r>
          </w:p>
        </w:tc>
        <w:tc>
          <w:tcPr>
            <w:tcW w:w="2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020" w:type="dxa"/>
            <w:vAlign w:val="bottom"/>
            <w:gridSpan w:val="2"/>
            <w:shd w:val="clear" w:color="auto" w:fill="CFF0FC"/>
          </w:tcPr>
          <w:p>
            <w:pPr>
              <w:jc w:val="right"/>
              <w:ind w:right="300"/>
              <w:spacing w:after="0"/>
              <w:rPr>
                <w:sz w:val="20"/>
                <w:szCs w:val="20"/>
                <w:color w:val="auto"/>
              </w:rPr>
            </w:pPr>
            <w:r>
              <w:rPr>
                <w:rFonts w:ascii="Arial" w:cs="Arial" w:eastAsia="Arial" w:hAnsi="Arial"/>
                <w:sz w:val="18"/>
                <w:szCs w:val="18"/>
                <w:color w:val="auto"/>
              </w:rPr>
              <w:t>—</w:t>
            </w:r>
          </w:p>
        </w:tc>
        <w:tc>
          <w:tcPr>
            <w:tcW w:w="2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56</w:t>
            </w:r>
          </w:p>
        </w:tc>
        <w:tc>
          <w:tcPr>
            <w:tcW w:w="22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980" w:type="dxa"/>
            <w:vAlign w:val="bottom"/>
            <w:gridSpan w:val="2"/>
            <w:shd w:val="clear" w:color="auto" w:fill="CFF0FC"/>
          </w:tcPr>
          <w:p>
            <w:pPr>
              <w:jc w:val="right"/>
              <w:ind w:right="2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4080" w:type="dxa"/>
            <w:vAlign w:val="bottom"/>
          </w:tcPr>
          <w:p>
            <w:pPr>
              <w:spacing w:after="0"/>
              <w:rPr>
                <w:sz w:val="20"/>
                <w:szCs w:val="20"/>
                <w:color w:val="auto"/>
              </w:rPr>
            </w:pPr>
            <w:r>
              <w:rPr>
                <w:rFonts w:ascii="Arial" w:cs="Arial" w:eastAsia="Arial" w:hAnsi="Arial"/>
                <w:sz w:val="18"/>
                <w:szCs w:val="18"/>
                <w:color w:val="auto"/>
              </w:rPr>
              <w:t>Net loss</w:t>
            </w:r>
          </w:p>
        </w:tc>
        <w:tc>
          <w:tcPr>
            <w:tcW w:w="1040" w:type="dxa"/>
            <w:vAlign w:val="bottom"/>
          </w:tcPr>
          <w:p>
            <w:pPr>
              <w:spacing w:after="0"/>
              <w:rPr>
                <w:sz w:val="19"/>
                <w:szCs w:val="19"/>
                <w:color w:val="auto"/>
              </w:rPr>
            </w:pPr>
          </w:p>
        </w:tc>
        <w:tc>
          <w:tcPr>
            <w:tcW w:w="220" w:type="dxa"/>
            <w:vAlign w:val="bottom"/>
            <w:tcBorders>
              <w:top w:val="single" w:sz="8" w:color="auto"/>
              <w:bottom w:val="single" w:sz="8" w:color="auto"/>
            </w:tcBorders>
          </w:tcPr>
          <w:p>
            <w:pPr>
              <w:jc w:val="right"/>
              <w:ind w:right="65"/>
              <w:spacing w:after="0"/>
              <w:rPr>
                <w:sz w:val="20"/>
                <w:szCs w:val="20"/>
                <w:color w:val="auto"/>
              </w:rPr>
            </w:pPr>
            <w:r>
              <w:rPr>
                <w:rFonts w:ascii="Arial" w:cs="Arial" w:eastAsia="Arial" w:hAnsi="Arial"/>
                <w:sz w:val="15"/>
                <w:szCs w:val="15"/>
                <w:color w:val="auto"/>
                <w:w w:val="71"/>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(17,842)</w:t>
            </w:r>
          </w:p>
        </w:tc>
        <w:tc>
          <w:tcPr>
            <w:tcW w:w="2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00" w:type="dxa"/>
            <w:vAlign w:val="bottom"/>
            <w:tcBorders>
              <w:top w:val="single" w:sz="8" w:color="auto"/>
              <w:bottom w:val="single" w:sz="8" w:color="auto"/>
            </w:tcBorders>
          </w:tcPr>
          <w:p>
            <w:pPr>
              <w:jc w:val="right"/>
              <w:ind w:right="145"/>
              <w:spacing w:after="0"/>
              <w:rPr>
                <w:sz w:val="20"/>
                <w:szCs w:val="20"/>
                <w:color w:val="auto"/>
              </w:rPr>
            </w:pPr>
            <w:r>
              <w:rPr>
                <w:rFonts w:ascii="Arial" w:cs="Arial" w:eastAsia="Arial" w:hAnsi="Arial"/>
                <w:sz w:val="15"/>
                <w:szCs w:val="15"/>
                <w:color w:val="auto"/>
                <w:w w:val="71"/>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(21,846)</w:t>
            </w:r>
          </w:p>
        </w:tc>
        <w:tc>
          <w:tcPr>
            <w:tcW w:w="28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260" w:type="dxa"/>
            <w:vAlign w:val="bottom"/>
            <w:tcBorders>
              <w:top w:val="single" w:sz="8" w:color="auto"/>
              <w:bottom w:val="single" w:sz="8" w:color="auto"/>
            </w:tcBorders>
          </w:tcPr>
          <w:p>
            <w:pPr>
              <w:jc w:val="right"/>
              <w:ind w:right="105"/>
              <w:spacing w:after="0"/>
              <w:rPr>
                <w:sz w:val="20"/>
                <w:szCs w:val="20"/>
                <w:color w:val="auto"/>
              </w:rPr>
            </w:pPr>
            <w:r>
              <w:rPr>
                <w:rFonts w:ascii="Arial" w:cs="Arial" w:eastAsia="Arial" w:hAnsi="Arial"/>
                <w:sz w:val="15"/>
                <w:szCs w:val="15"/>
                <w:color w:val="auto"/>
                <w:w w:val="71"/>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4,004</w:t>
            </w:r>
          </w:p>
        </w:tc>
        <w:tc>
          <w:tcPr>
            <w:tcW w:w="2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80" w:type="dxa"/>
            <w:vAlign w:val="bottom"/>
            <w:gridSpan w:val="2"/>
          </w:tcPr>
          <w:p>
            <w:pPr>
              <w:jc w:val="right"/>
              <w:ind w:right="40"/>
              <w:spacing w:after="0"/>
              <w:rPr>
                <w:sz w:val="20"/>
                <w:szCs w:val="20"/>
                <w:color w:val="auto"/>
              </w:rPr>
            </w:pPr>
            <w:r>
              <w:rPr>
                <w:rFonts w:ascii="Arial" w:cs="Arial" w:eastAsia="Arial" w:hAnsi="Arial"/>
                <w:sz w:val="18"/>
                <w:szCs w:val="18"/>
                <w:color w:val="auto"/>
              </w:rPr>
              <w:t>(18)%</w:t>
            </w:r>
          </w:p>
        </w:tc>
        <w:tc>
          <w:tcPr>
            <w:tcW w:w="0" w:type="dxa"/>
            <w:vAlign w:val="bottom"/>
          </w:tcPr>
          <w:p>
            <w:pPr>
              <w:spacing w:after="0"/>
              <w:rPr>
                <w:sz w:val="1"/>
                <w:szCs w:val="1"/>
                <w:color w:val="auto"/>
              </w:rPr>
            </w:pPr>
          </w:p>
        </w:tc>
      </w:tr>
      <w:tr>
        <w:trPr>
          <w:trHeight w:val="20"/>
        </w:trPr>
        <w:tc>
          <w:tcPr>
            <w:tcW w:w="408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231F20"/>
        </w:rPr>
        <w:t>Revenue, Net</w:t>
      </w:r>
    </w:p>
    <w:p>
      <w:pPr>
        <w:spacing w:after="0" w:line="117" w:lineRule="exact"/>
        <w:rPr>
          <w:sz w:val="20"/>
          <w:szCs w:val="20"/>
          <w:color w:val="auto"/>
        </w:rPr>
      </w:pPr>
    </w:p>
    <w:p>
      <w:pPr>
        <w:spacing w:after="0" w:line="297" w:lineRule="auto"/>
        <w:rPr>
          <w:sz w:val="20"/>
          <w:szCs w:val="20"/>
          <w:color w:val="auto"/>
        </w:rPr>
      </w:pPr>
      <w:r>
        <w:rPr>
          <w:rFonts w:ascii="Arial" w:cs="Arial" w:eastAsia="Arial" w:hAnsi="Arial"/>
          <w:sz w:val="16"/>
          <w:szCs w:val="16"/>
          <w:color w:val="auto"/>
        </w:rPr>
        <w:t>Revenue increased $5.7 million, or 37%, to $21.3 million in 2017, compared to $15.6 million in 2016. The overall increase in revenue was primarily due to an increase in system revenue of $4.2 million, or 58%, to $11.4 million in 2017, compared to $7.2 million in 2016. The increase in system revenue was due to increased unit sales, as we sold 47 systems in 2017, compared to 32 systems in 2016 largely as a result of increased sales and marketing activities. Procedures based fees increased $1.1 million, or 16% to $8.0 million in 2017, compared to $6.9 million in 2016. Service related fees increased $0.4 million, or 27% to $1.9 million in 2017, compared to $1.5 million in 2016, primarily due to an increase in post-warranty maintenance contracts sold during 2017.</w:t>
      </w:r>
    </w:p>
    <w:p>
      <w:pPr>
        <w:spacing w:after="0" w:line="7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231F20"/>
        </w:rPr>
        <w:t>Cost of Revenue</w:t>
      </w:r>
    </w:p>
    <w:p>
      <w:pPr>
        <w:spacing w:after="0" w:line="117" w:lineRule="exact"/>
        <w:rPr>
          <w:sz w:val="20"/>
          <w:szCs w:val="20"/>
          <w:color w:val="auto"/>
        </w:rPr>
      </w:pPr>
    </w:p>
    <w:p>
      <w:pPr>
        <w:jc w:val="both"/>
        <w:ind w:right="360"/>
        <w:spacing w:after="0" w:line="286" w:lineRule="auto"/>
        <w:rPr>
          <w:sz w:val="20"/>
          <w:szCs w:val="20"/>
          <w:color w:val="auto"/>
        </w:rPr>
      </w:pPr>
      <w:r>
        <w:rPr>
          <w:rFonts w:ascii="Arial" w:cs="Arial" w:eastAsia="Arial" w:hAnsi="Arial"/>
          <w:sz w:val="17"/>
          <w:szCs w:val="17"/>
          <w:color w:val="auto"/>
        </w:rPr>
        <w:t>Cost of revenue increased $1.7 million to $12.1 million in 2017, compared to $10.4 million in 2016, primarily as a result of the increase in the number of ARTAS Systems sold during the year. Gross margin increased to 43% in 2017, compared to 33% in 2016. The increase in gross margin was the result of reduced procedure kit costs and a decrease in average customer support spending as we improved our service cost efficiency.</w:t>
      </w:r>
    </w:p>
    <w:p>
      <w:pPr>
        <w:spacing w:after="0" w:line="9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231F20"/>
        </w:rPr>
        <w:t>Research and Development</w:t>
      </w:r>
    </w:p>
    <w:p>
      <w:pPr>
        <w:spacing w:after="0" w:line="117" w:lineRule="exact"/>
        <w:rPr>
          <w:sz w:val="20"/>
          <w:szCs w:val="20"/>
          <w:color w:val="auto"/>
        </w:rPr>
      </w:pPr>
    </w:p>
    <w:p>
      <w:pPr>
        <w:ind w:right="400"/>
        <w:spacing w:after="0" w:line="277" w:lineRule="auto"/>
        <w:rPr>
          <w:sz w:val="20"/>
          <w:szCs w:val="20"/>
          <w:color w:val="auto"/>
        </w:rPr>
      </w:pPr>
      <w:r>
        <w:rPr>
          <w:rFonts w:ascii="Arial" w:cs="Arial" w:eastAsia="Arial" w:hAnsi="Arial"/>
          <w:sz w:val="18"/>
          <w:szCs w:val="18"/>
          <w:color w:val="auto"/>
        </w:rPr>
        <w:t>Research and development expense decreased $0.4 million to $7.1 million in 2017, compared to $7.5 million in 2016. The decrease was primarily due to lower headcount in software and hardware department in 2017 versus the comparable period in 2016.</w:t>
      </w:r>
    </w:p>
    <w:p>
      <w:pPr>
        <w:spacing w:after="0" w:line="10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231F20"/>
        </w:rPr>
        <w:t>Sales and Marketing</w:t>
      </w:r>
    </w:p>
    <w:p>
      <w:pPr>
        <w:spacing w:after="0" w:line="117" w:lineRule="exact"/>
        <w:rPr>
          <w:sz w:val="20"/>
          <w:szCs w:val="20"/>
          <w:color w:val="auto"/>
        </w:rPr>
      </w:pPr>
    </w:p>
    <w:p>
      <w:pPr>
        <w:ind w:right="480"/>
        <w:spacing w:after="0" w:line="342" w:lineRule="auto"/>
        <w:rPr>
          <w:sz w:val="20"/>
          <w:szCs w:val="20"/>
          <w:color w:val="auto"/>
        </w:rPr>
      </w:pPr>
      <w:r>
        <w:rPr>
          <w:rFonts w:ascii="Arial" w:cs="Arial" w:eastAsia="Arial" w:hAnsi="Arial"/>
          <w:sz w:val="16"/>
          <w:szCs w:val="16"/>
          <w:color w:val="auto"/>
        </w:rPr>
        <w:t>Sales and marketing expenses increased $1.9 million to $14.4 million in 2017, compared to $12.5 million in 2016. The increase was primarily due to an increase in spending in advertising and other marketing activities in connection with our ongoing commercialization efforts of the ARTAS System.</w:t>
      </w:r>
    </w:p>
    <w:p>
      <w:pPr>
        <w:spacing w:after="0" w:line="36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486" w:right="239" w:bottom="1440" w:gutter="0" w:footer="0" w:header="0"/>
        </w:sectPr>
      </w:pPr>
    </w:p>
    <w:bookmarkStart w:id="65" w:name="page66"/>
    <w:bookmarkEnd w:id="65"/>
    <w:p>
      <w:pPr>
        <w:spacing w:after="0"/>
        <w:rPr>
          <w:sz w:val="20"/>
          <w:szCs w:val="20"/>
          <w:color w:val="auto"/>
        </w:rPr>
      </w:pPr>
      <w:r>
        <w:rPr>
          <w:rFonts w:ascii="Arial" w:cs="Arial" w:eastAsia="Arial" w:hAnsi="Arial"/>
          <w:sz w:val="18"/>
          <w:szCs w:val="18"/>
          <w:b w:val="1"/>
          <w:bCs w:val="1"/>
          <w:i w:val="1"/>
          <w:iCs w:val="1"/>
          <w:color w:val="231F20"/>
        </w:rPr>
        <w:t>General and Administrative</w:t>
      </w:r>
    </w:p>
    <w:p>
      <w:pPr>
        <w:spacing w:after="0" w:line="117" w:lineRule="exact"/>
        <w:rPr>
          <w:sz w:val="20"/>
          <w:szCs w:val="20"/>
          <w:color w:val="auto"/>
        </w:rPr>
      </w:pPr>
    </w:p>
    <w:p>
      <w:pPr>
        <w:ind w:right="80"/>
        <w:spacing w:after="0" w:line="264" w:lineRule="auto"/>
        <w:rPr>
          <w:sz w:val="20"/>
          <w:szCs w:val="20"/>
          <w:color w:val="auto"/>
        </w:rPr>
      </w:pPr>
      <w:r>
        <w:rPr>
          <w:rFonts w:ascii="Arial" w:cs="Arial" w:eastAsia="Arial" w:hAnsi="Arial"/>
          <w:sz w:val="18"/>
          <w:szCs w:val="18"/>
          <w:color w:val="auto"/>
        </w:rPr>
        <w:t>General and administrative expenses increased $0.8 million to $4.9 million in 2017, compared to $4.1 million in 2016. The increase was primarily the result of an increase in professional service costs, consisting of accounting, consulting, legal and other professional fees incurred in connection with our preparation to become a public company.</w:t>
      </w:r>
    </w:p>
    <w:p>
      <w:pPr>
        <w:spacing w:after="0" w:line="10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231F20"/>
        </w:rPr>
        <w:t>Interest Expense</w:t>
      </w:r>
    </w:p>
    <w:p>
      <w:pPr>
        <w:spacing w:after="0" w:line="117" w:lineRule="exact"/>
        <w:rPr>
          <w:sz w:val="20"/>
          <w:szCs w:val="20"/>
          <w:color w:val="auto"/>
        </w:rPr>
      </w:pPr>
    </w:p>
    <w:p>
      <w:pPr>
        <w:jc w:val="both"/>
        <w:ind w:right="20"/>
        <w:spacing w:after="0" w:line="264" w:lineRule="auto"/>
        <w:rPr>
          <w:sz w:val="20"/>
          <w:szCs w:val="20"/>
          <w:color w:val="auto"/>
        </w:rPr>
      </w:pPr>
      <w:r>
        <w:rPr>
          <w:rFonts w:ascii="Arial" w:cs="Arial" w:eastAsia="Arial" w:hAnsi="Arial"/>
          <w:sz w:val="18"/>
          <w:szCs w:val="18"/>
          <w:color w:val="auto"/>
        </w:rPr>
        <w:t>Interest expense decreased $0.5 million to $2.0 million in 2017, compared to $2.5 million in 2016. The decrease in interest expense was related to a reduction in the principal balance of our outstanding long-debt obligations as we repaid a portion of the principal on our outstanding credit facility with Oxford Finance, LLC (Oxford).</w:t>
      </w:r>
    </w:p>
    <w:p>
      <w:pPr>
        <w:spacing w:after="0" w:line="11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231F20"/>
        </w:rPr>
        <w:t>Gain on Sale of Stock Investment</w:t>
      </w:r>
    </w:p>
    <w:p>
      <w:pPr>
        <w:spacing w:after="0" w:line="117" w:lineRule="exact"/>
        <w:rPr>
          <w:sz w:val="20"/>
          <w:szCs w:val="20"/>
          <w:color w:val="auto"/>
        </w:rPr>
      </w:pPr>
    </w:p>
    <w:p>
      <w:pPr>
        <w:jc w:val="both"/>
        <w:ind w:right="40"/>
        <w:spacing w:after="0" w:line="277" w:lineRule="auto"/>
        <w:rPr>
          <w:sz w:val="20"/>
          <w:szCs w:val="20"/>
          <w:color w:val="auto"/>
        </w:rPr>
      </w:pPr>
      <w:r>
        <w:rPr>
          <w:rFonts w:ascii="Arial" w:cs="Arial" w:eastAsia="Arial" w:hAnsi="Arial"/>
          <w:sz w:val="18"/>
          <w:szCs w:val="18"/>
          <w:color w:val="auto"/>
        </w:rPr>
        <w:t>In the fourth quarter of 2017, the Company recognized a gain of $1.8 million on the sale of stock held in a privately-held company that had been impaired and written-down to nil prior to fiscal year 2014. There was no such activity in 2016.</w:t>
      </w:r>
    </w:p>
    <w:p>
      <w:pPr>
        <w:spacing w:after="0" w:line="10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231F20"/>
        </w:rPr>
        <w:t>Other Income (Expense), Net</w:t>
      </w:r>
    </w:p>
    <w:p>
      <w:pPr>
        <w:spacing w:after="0" w:line="117" w:lineRule="exact"/>
        <w:rPr>
          <w:sz w:val="20"/>
          <w:szCs w:val="20"/>
          <w:color w:val="auto"/>
        </w:rPr>
      </w:pPr>
    </w:p>
    <w:p>
      <w:pPr>
        <w:ind w:right="40"/>
        <w:spacing w:after="0" w:line="264" w:lineRule="auto"/>
        <w:rPr>
          <w:sz w:val="20"/>
          <w:szCs w:val="20"/>
          <w:color w:val="auto"/>
        </w:rPr>
      </w:pPr>
      <w:r>
        <w:rPr>
          <w:rFonts w:ascii="Arial" w:cs="Arial" w:eastAsia="Arial" w:hAnsi="Arial"/>
          <w:sz w:val="18"/>
          <w:szCs w:val="18"/>
          <w:color w:val="auto"/>
        </w:rPr>
        <w:t>Other income (expense) decreased $0.1 million to $0.3 million in 2017, compared to $0.4 million in 2016. The decrease in the other expense related to the change in fair value of our convertible preferred stock warrant liability. The expense was consistent between the periods as there were no changes between the periods in the number of convertible preferred stock warrants outstanding.</w:t>
      </w:r>
    </w:p>
    <w:p>
      <w:pPr>
        <w:spacing w:after="0" w:line="10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Year Ended December 31, 2016 Compared to Year Ended December 31, 2015</w:t>
      </w: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80" w:type="dxa"/>
            <w:vAlign w:val="bottom"/>
          </w:tcPr>
          <w:p>
            <w:pPr>
              <w:spacing w:after="0"/>
              <w:rPr>
                <w:sz w:val="14"/>
                <w:szCs w:val="14"/>
                <w:color w:val="auto"/>
              </w:rPr>
            </w:pPr>
          </w:p>
        </w:tc>
        <w:tc>
          <w:tcPr>
            <w:tcW w:w="406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400" w:type="dxa"/>
            <w:vAlign w:val="bottom"/>
            <w:gridSpan w:val="4"/>
          </w:tcPr>
          <w:p>
            <w:pPr>
              <w:jc w:val="right"/>
              <w:ind w:right="25"/>
              <w:spacing w:after="0"/>
              <w:rPr>
                <w:sz w:val="20"/>
                <w:szCs w:val="20"/>
                <w:color w:val="auto"/>
              </w:rPr>
            </w:pPr>
            <w:r>
              <w:rPr>
                <w:rFonts w:ascii="Arial" w:cs="Arial" w:eastAsia="Arial" w:hAnsi="Arial"/>
                <w:sz w:val="14"/>
                <w:szCs w:val="14"/>
                <w:b w:val="1"/>
                <w:bCs w:val="1"/>
                <w:color w:val="auto"/>
              </w:rPr>
              <w:t>Year Ended</w:t>
            </w:r>
          </w:p>
        </w:tc>
        <w:tc>
          <w:tcPr>
            <w:tcW w:w="7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240" w:type="dxa"/>
            <w:vAlign w:val="bottom"/>
            <w:gridSpan w:val="3"/>
            <w:vMerge w:val="restart"/>
          </w:tcPr>
          <w:p>
            <w:pPr>
              <w:ind w:left="600"/>
              <w:spacing w:after="0"/>
              <w:rPr>
                <w:sz w:val="20"/>
                <w:szCs w:val="20"/>
                <w:color w:val="auto"/>
              </w:rPr>
            </w:pPr>
            <w:r>
              <w:rPr>
                <w:rFonts w:ascii="Arial" w:cs="Arial" w:eastAsia="Arial" w:hAnsi="Arial"/>
                <w:sz w:val="14"/>
                <w:szCs w:val="14"/>
                <w:b w:val="1"/>
                <w:bCs w:val="1"/>
                <w:color w:val="auto"/>
              </w:rPr>
              <w:t>Change</w:t>
            </w:r>
          </w:p>
        </w:tc>
        <w:tc>
          <w:tcPr>
            <w:tcW w:w="7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580" w:type="dxa"/>
            <w:vAlign w:val="bottom"/>
          </w:tcPr>
          <w:p>
            <w:pPr>
              <w:spacing w:after="0"/>
              <w:rPr>
                <w:sz w:val="14"/>
                <w:szCs w:val="14"/>
                <w:color w:val="auto"/>
              </w:rPr>
            </w:pPr>
          </w:p>
        </w:tc>
        <w:tc>
          <w:tcPr>
            <w:tcW w:w="406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400" w:type="dxa"/>
            <w:vAlign w:val="bottom"/>
            <w:tcBorders>
              <w:bottom w:val="single" w:sz="8" w:color="auto"/>
            </w:tcBorders>
            <w:gridSpan w:val="4"/>
          </w:tcPr>
          <w:p>
            <w:pPr>
              <w:jc w:val="right"/>
              <w:spacing w:after="0"/>
              <w:rPr>
                <w:sz w:val="20"/>
                <w:szCs w:val="20"/>
                <w:color w:val="auto"/>
              </w:rPr>
            </w:pPr>
            <w:r>
              <w:rPr>
                <w:rFonts w:ascii="Arial" w:cs="Arial" w:eastAsia="Arial" w:hAnsi="Arial"/>
                <w:sz w:val="14"/>
                <w:szCs w:val="14"/>
                <w:b w:val="1"/>
                <w:bCs w:val="1"/>
                <w:color w:val="auto"/>
              </w:rPr>
              <w:t>December 31,</w:t>
            </w:r>
          </w:p>
        </w:tc>
        <w:tc>
          <w:tcPr>
            <w:tcW w:w="740" w:type="dxa"/>
            <w:vAlign w:val="bottom"/>
            <w:tcBorders>
              <w:bottom w:val="single" w:sz="8" w:color="auto"/>
            </w:tcBorders>
          </w:tcPr>
          <w:p>
            <w:pPr>
              <w:spacing w:after="0"/>
              <w:rPr>
                <w:sz w:val="14"/>
                <w:szCs w:val="14"/>
                <w:color w:val="auto"/>
              </w:rPr>
            </w:pP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1240" w:type="dxa"/>
            <w:vAlign w:val="bottom"/>
            <w:tcBorders>
              <w:bottom w:val="single" w:sz="8" w:color="auto"/>
            </w:tcBorders>
            <w:gridSpan w:val="3"/>
            <w:vMerge w:val="continue"/>
          </w:tcPr>
          <w:p>
            <w:pPr>
              <w:spacing w:after="0"/>
              <w:rPr>
                <w:sz w:val="14"/>
                <w:szCs w:val="14"/>
                <w:color w:val="auto"/>
              </w:rPr>
            </w:pPr>
          </w:p>
        </w:tc>
        <w:tc>
          <w:tcPr>
            <w:tcW w:w="740" w:type="dxa"/>
            <w:vAlign w:val="bottom"/>
            <w:tcBorders>
              <w:bottom w:val="single" w:sz="8" w:color="auto"/>
            </w:tcBorders>
          </w:tcPr>
          <w:p>
            <w:pPr>
              <w:spacing w:after="0"/>
              <w:rPr>
                <w:sz w:val="14"/>
                <w:szCs w:val="14"/>
                <w:color w:val="auto"/>
              </w:rPr>
            </w:pPr>
          </w:p>
        </w:tc>
        <w:tc>
          <w:tcPr>
            <w:tcW w:w="2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580" w:type="dxa"/>
            <w:vAlign w:val="bottom"/>
          </w:tcPr>
          <w:p>
            <w:pPr>
              <w:spacing w:after="0"/>
              <w:rPr>
                <w:sz w:val="13"/>
                <w:szCs w:val="13"/>
                <w:color w:val="auto"/>
              </w:rPr>
            </w:pPr>
          </w:p>
        </w:tc>
        <w:tc>
          <w:tcPr>
            <w:tcW w:w="406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800" w:type="dxa"/>
            <w:vAlign w:val="bottom"/>
            <w:tcBorders>
              <w:bottom w:val="single" w:sz="8" w:color="auto"/>
            </w:tcBorders>
          </w:tcPr>
          <w:p>
            <w:pPr>
              <w:jc w:val="right"/>
              <w:ind w:right="313"/>
              <w:spacing w:after="0" w:line="155" w:lineRule="exact"/>
              <w:rPr>
                <w:sz w:val="20"/>
                <w:szCs w:val="20"/>
                <w:color w:val="auto"/>
              </w:rPr>
            </w:pPr>
            <w:r>
              <w:rPr>
                <w:rFonts w:ascii="Arial" w:cs="Arial" w:eastAsia="Arial" w:hAnsi="Arial"/>
                <w:sz w:val="14"/>
                <w:szCs w:val="14"/>
                <w:b w:val="1"/>
                <w:bCs w:val="1"/>
                <w:color w:val="auto"/>
              </w:rPr>
              <w:t>2016</w:t>
            </w:r>
          </w:p>
        </w:tc>
        <w:tc>
          <w:tcPr>
            <w:tcW w:w="80" w:type="dxa"/>
            <w:vAlign w:val="bottom"/>
            <w:tcBorders>
              <w:bottom w:val="single" w:sz="8" w:color="auto"/>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300" w:type="dxa"/>
            <w:vAlign w:val="bottom"/>
            <w:tcBorders>
              <w:bottom w:val="single" w:sz="8" w:color="auto"/>
            </w:tcBorders>
          </w:tcPr>
          <w:p>
            <w:pPr>
              <w:spacing w:after="0"/>
              <w:rPr>
                <w:sz w:val="13"/>
                <w:szCs w:val="13"/>
                <w:color w:val="auto"/>
              </w:rPr>
            </w:pPr>
          </w:p>
        </w:tc>
        <w:tc>
          <w:tcPr>
            <w:tcW w:w="740" w:type="dxa"/>
            <w:vAlign w:val="bottom"/>
            <w:tcBorders>
              <w:bottom w:val="single" w:sz="8" w:color="auto"/>
            </w:tcBorders>
          </w:tcPr>
          <w:p>
            <w:pPr>
              <w:jc w:val="right"/>
              <w:ind w:right="311"/>
              <w:spacing w:after="0" w:line="155" w:lineRule="exact"/>
              <w:rPr>
                <w:sz w:val="20"/>
                <w:szCs w:val="20"/>
                <w:color w:val="auto"/>
              </w:rPr>
            </w:pPr>
            <w:r>
              <w:rPr>
                <w:rFonts w:ascii="Arial" w:cs="Arial" w:eastAsia="Arial" w:hAnsi="Arial"/>
                <w:sz w:val="14"/>
                <w:szCs w:val="14"/>
                <w:b w:val="1"/>
                <w:bCs w:val="1"/>
                <w:color w:val="auto"/>
              </w:rPr>
              <w:t>2015</w:t>
            </w:r>
          </w:p>
        </w:tc>
        <w:tc>
          <w:tcPr>
            <w:tcW w:w="20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280" w:type="dxa"/>
            <w:vAlign w:val="bottom"/>
            <w:tcBorders>
              <w:bottom w:val="single" w:sz="8" w:color="auto"/>
            </w:tcBorders>
          </w:tcPr>
          <w:p>
            <w:pPr>
              <w:spacing w:after="0"/>
              <w:rPr>
                <w:sz w:val="13"/>
                <w:szCs w:val="13"/>
                <w:color w:val="auto"/>
              </w:rPr>
            </w:pPr>
          </w:p>
        </w:tc>
        <w:tc>
          <w:tcPr>
            <w:tcW w:w="760" w:type="dxa"/>
            <w:vAlign w:val="bottom"/>
            <w:tcBorders>
              <w:bottom w:val="single" w:sz="8" w:color="auto"/>
            </w:tcBorders>
          </w:tcPr>
          <w:p>
            <w:pPr>
              <w:jc w:val="right"/>
              <w:ind w:right="412"/>
              <w:spacing w:after="0" w:line="155" w:lineRule="exact"/>
              <w:rPr>
                <w:sz w:val="20"/>
                <w:szCs w:val="20"/>
                <w:color w:val="auto"/>
              </w:rPr>
            </w:pPr>
            <w:r>
              <w:rPr>
                <w:rFonts w:ascii="Arial" w:cs="Arial" w:eastAsia="Arial" w:hAnsi="Arial"/>
                <w:sz w:val="14"/>
                <w:szCs w:val="14"/>
                <w:b w:val="1"/>
                <w:bCs w:val="1"/>
                <w:color w:val="auto"/>
              </w:rPr>
              <w:t>$</w:t>
            </w:r>
          </w:p>
        </w:tc>
        <w:tc>
          <w:tcPr>
            <w:tcW w:w="220" w:type="dxa"/>
            <w:vAlign w:val="bottom"/>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740" w:type="dxa"/>
            <w:vAlign w:val="bottom"/>
            <w:tcBorders>
              <w:bottom w:val="single" w:sz="8" w:color="auto"/>
            </w:tcBorders>
          </w:tcPr>
          <w:p>
            <w:pPr>
              <w:jc w:val="right"/>
              <w:ind w:right="351"/>
              <w:spacing w:after="0" w:line="155" w:lineRule="exact"/>
              <w:rPr>
                <w:sz w:val="20"/>
                <w:szCs w:val="20"/>
                <w:color w:val="auto"/>
              </w:rPr>
            </w:pPr>
            <w:r>
              <w:rPr>
                <w:rFonts w:ascii="Arial" w:cs="Arial" w:eastAsia="Arial" w:hAnsi="Arial"/>
                <w:sz w:val="14"/>
                <w:szCs w:val="14"/>
                <w:b w:val="1"/>
                <w:bCs w:val="1"/>
                <w:color w:val="auto"/>
              </w:rPr>
              <w:t>%</w:t>
            </w:r>
          </w:p>
        </w:tc>
        <w:tc>
          <w:tcPr>
            <w:tcW w:w="24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580" w:type="dxa"/>
            <w:vAlign w:val="bottom"/>
          </w:tcPr>
          <w:p>
            <w:pPr>
              <w:spacing w:after="0"/>
              <w:rPr>
                <w:sz w:val="13"/>
                <w:szCs w:val="13"/>
                <w:color w:val="auto"/>
              </w:rPr>
            </w:pPr>
          </w:p>
        </w:tc>
        <w:tc>
          <w:tcPr>
            <w:tcW w:w="406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460" w:type="dxa"/>
            <w:vAlign w:val="bottom"/>
            <w:gridSpan w:val="4"/>
          </w:tcPr>
          <w:p>
            <w:pPr>
              <w:jc w:val="right"/>
              <w:ind w:right="80"/>
              <w:spacing w:after="0" w:line="155" w:lineRule="exact"/>
              <w:rPr>
                <w:sz w:val="20"/>
                <w:szCs w:val="20"/>
                <w:color w:val="auto"/>
              </w:rPr>
            </w:pPr>
            <w:r>
              <w:rPr>
                <w:rFonts w:ascii="Arial" w:cs="Arial" w:eastAsia="Arial" w:hAnsi="Arial"/>
                <w:sz w:val="14"/>
                <w:szCs w:val="14"/>
                <w:b w:val="1"/>
                <w:bCs w:val="1"/>
                <w:color w:val="auto"/>
                <w:w w:val="92"/>
              </w:rPr>
              <w:t>(dollars in thousands)</w:t>
            </w:r>
          </w:p>
        </w:tc>
        <w:tc>
          <w:tcPr>
            <w:tcW w:w="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30"/>
        </w:trPr>
        <w:tc>
          <w:tcPr>
            <w:tcW w:w="580" w:type="dxa"/>
            <w:vAlign w:val="bottom"/>
          </w:tcPr>
          <w:p>
            <w:pPr>
              <w:spacing w:after="0"/>
              <w:rPr>
                <w:sz w:val="19"/>
                <w:szCs w:val="19"/>
                <w:color w:val="auto"/>
              </w:rPr>
            </w:pPr>
          </w:p>
        </w:tc>
        <w:tc>
          <w:tcPr>
            <w:tcW w:w="4060" w:type="dxa"/>
            <w:vAlign w:val="bottom"/>
            <w:shd w:val="clear" w:color="auto" w:fill="CFF0FC"/>
          </w:tcPr>
          <w:p>
            <w:pPr>
              <w:spacing w:after="0"/>
              <w:rPr>
                <w:sz w:val="20"/>
                <w:szCs w:val="20"/>
                <w:color w:val="auto"/>
              </w:rPr>
            </w:pPr>
            <w:r>
              <w:rPr>
                <w:rFonts w:ascii="Arial" w:cs="Arial" w:eastAsia="Arial" w:hAnsi="Arial"/>
                <w:sz w:val="18"/>
                <w:szCs w:val="18"/>
                <w:color w:val="auto"/>
              </w:rPr>
              <w:t>Revenue, net</w:t>
            </w:r>
          </w:p>
        </w:tc>
        <w:tc>
          <w:tcPr>
            <w:tcW w:w="1300" w:type="dxa"/>
            <w:vAlign w:val="bottom"/>
            <w:gridSpan w:val="2"/>
            <w:shd w:val="clear" w:color="auto" w:fill="CFF0FC"/>
          </w:tcPr>
          <w:p>
            <w:pPr>
              <w:jc w:val="right"/>
              <w:ind w:right="85"/>
              <w:spacing w:after="0"/>
              <w:rPr>
                <w:sz w:val="20"/>
                <w:szCs w:val="20"/>
                <w:color w:val="auto"/>
              </w:rPr>
            </w:pPr>
            <w:r>
              <w:rPr>
                <w:rFonts w:ascii="Arial" w:cs="Arial" w:eastAsia="Arial" w:hAnsi="Arial"/>
                <w:sz w:val="18"/>
                <w:szCs w:val="18"/>
                <w:color w:val="auto"/>
              </w:rPr>
              <w:t>$</w:t>
            </w: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15,600</w:t>
            </w:r>
          </w:p>
        </w:tc>
        <w:tc>
          <w:tcPr>
            <w:tcW w:w="80" w:type="dxa"/>
            <w:vAlign w:val="bottom"/>
            <w:shd w:val="clear" w:color="auto" w:fill="CFF0FC"/>
          </w:tcPr>
          <w:p>
            <w:pPr>
              <w:spacing w:after="0"/>
              <w:rPr>
                <w:sz w:val="19"/>
                <w:szCs w:val="19"/>
                <w:color w:val="auto"/>
              </w:rPr>
            </w:pPr>
          </w:p>
        </w:tc>
        <w:tc>
          <w:tcPr>
            <w:tcW w:w="520" w:type="dxa"/>
            <w:vAlign w:val="bottom"/>
            <w:gridSpan w:val="2"/>
            <w:shd w:val="clear" w:color="auto" w:fill="CFF0FC"/>
          </w:tcPr>
          <w:p>
            <w:pPr>
              <w:jc w:val="right"/>
              <w:ind w:right="145"/>
              <w:spacing w:after="0"/>
              <w:rPr>
                <w:sz w:val="20"/>
                <w:szCs w:val="20"/>
                <w:color w:val="auto"/>
              </w:rPr>
            </w:pPr>
            <w:r>
              <w:rPr>
                <w:rFonts w:ascii="Arial" w:cs="Arial" w:eastAsia="Arial" w:hAnsi="Arial"/>
                <w:sz w:val="18"/>
                <w:szCs w:val="18"/>
                <w:color w:val="auto"/>
              </w:rPr>
              <w:t>$</w:t>
            </w:r>
          </w:p>
        </w:tc>
        <w:tc>
          <w:tcPr>
            <w:tcW w:w="7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17,230</w:t>
            </w:r>
          </w:p>
        </w:tc>
        <w:tc>
          <w:tcPr>
            <w:tcW w:w="200" w:type="dxa"/>
            <w:vAlign w:val="bottom"/>
            <w:shd w:val="clear" w:color="auto" w:fill="CFF0FC"/>
          </w:tcPr>
          <w:p>
            <w:pPr>
              <w:spacing w:after="0"/>
              <w:rPr>
                <w:sz w:val="19"/>
                <w:szCs w:val="19"/>
                <w:color w:val="auto"/>
              </w:rPr>
            </w:pPr>
          </w:p>
        </w:tc>
        <w:tc>
          <w:tcPr>
            <w:tcW w:w="360" w:type="dxa"/>
            <w:vAlign w:val="bottom"/>
            <w:gridSpan w:val="2"/>
            <w:shd w:val="clear" w:color="auto" w:fill="CFF0FC"/>
          </w:tcPr>
          <w:p>
            <w:pPr>
              <w:jc w:val="right"/>
              <w:ind w:right="90"/>
              <w:spacing w:after="0"/>
              <w:rPr>
                <w:sz w:val="20"/>
                <w:szCs w:val="20"/>
                <w:color w:val="auto"/>
              </w:rPr>
            </w:pPr>
            <w:r>
              <w:rPr>
                <w:rFonts w:ascii="Arial" w:cs="Arial" w:eastAsia="Arial" w:hAnsi="Arial"/>
                <w:sz w:val="18"/>
                <w:szCs w:val="18"/>
                <w:color w:val="auto"/>
              </w:rPr>
              <w:t>$</w:t>
            </w:r>
          </w:p>
        </w:tc>
        <w:tc>
          <w:tcPr>
            <w:tcW w:w="98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(1,630)</w:t>
            </w:r>
          </w:p>
        </w:tc>
        <w:tc>
          <w:tcPr>
            <w:tcW w:w="260" w:type="dxa"/>
            <w:vAlign w:val="bottom"/>
            <w:shd w:val="clear" w:color="auto" w:fill="CFF0FC"/>
          </w:tcPr>
          <w:p>
            <w:pPr>
              <w:spacing w:after="0"/>
              <w:rPr>
                <w:sz w:val="19"/>
                <w:szCs w:val="19"/>
                <w:color w:val="auto"/>
              </w:rPr>
            </w:pPr>
          </w:p>
        </w:tc>
        <w:tc>
          <w:tcPr>
            <w:tcW w:w="98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(9)%</w:t>
            </w:r>
          </w:p>
        </w:tc>
        <w:tc>
          <w:tcPr>
            <w:tcW w:w="5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80" w:type="dxa"/>
            <w:vAlign w:val="bottom"/>
          </w:tcPr>
          <w:p>
            <w:pPr>
              <w:spacing w:after="0"/>
              <w:rPr>
                <w:sz w:val="19"/>
                <w:szCs w:val="19"/>
                <w:color w:val="auto"/>
              </w:rPr>
            </w:pPr>
          </w:p>
        </w:tc>
        <w:tc>
          <w:tcPr>
            <w:tcW w:w="4060" w:type="dxa"/>
            <w:vAlign w:val="bottom"/>
          </w:tcPr>
          <w:p>
            <w:pPr>
              <w:spacing w:after="0"/>
              <w:rPr>
                <w:sz w:val="20"/>
                <w:szCs w:val="20"/>
                <w:color w:val="auto"/>
              </w:rPr>
            </w:pPr>
            <w:r>
              <w:rPr>
                <w:rFonts w:ascii="Arial" w:cs="Arial" w:eastAsia="Arial" w:hAnsi="Arial"/>
                <w:sz w:val="18"/>
                <w:szCs w:val="18"/>
                <w:color w:val="auto"/>
              </w:rPr>
              <w:t>Cost of revenue</w:t>
            </w:r>
          </w:p>
        </w:tc>
        <w:tc>
          <w:tcPr>
            <w:tcW w:w="10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10,431</w:t>
            </w: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12,513</w:t>
            </w:r>
          </w:p>
        </w:tc>
        <w:tc>
          <w:tcPr>
            <w:tcW w:w="2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80" w:type="dxa"/>
            <w:vAlign w:val="bottom"/>
            <w:gridSpan w:val="2"/>
          </w:tcPr>
          <w:p>
            <w:pPr>
              <w:jc w:val="right"/>
              <w:ind w:right="180"/>
              <w:spacing w:after="0"/>
              <w:rPr>
                <w:sz w:val="20"/>
                <w:szCs w:val="20"/>
                <w:color w:val="auto"/>
              </w:rPr>
            </w:pPr>
            <w:r>
              <w:rPr>
                <w:rFonts w:ascii="Arial" w:cs="Arial" w:eastAsia="Arial" w:hAnsi="Arial"/>
                <w:sz w:val="18"/>
                <w:szCs w:val="18"/>
                <w:color w:val="auto"/>
              </w:rPr>
              <w:t>(2,082)</w:t>
            </w:r>
          </w:p>
        </w:tc>
        <w:tc>
          <w:tcPr>
            <w:tcW w:w="260" w:type="dxa"/>
            <w:vAlign w:val="bottom"/>
          </w:tcPr>
          <w:p>
            <w:pPr>
              <w:spacing w:after="0"/>
              <w:rPr>
                <w:sz w:val="19"/>
                <w:szCs w:val="19"/>
                <w:color w:val="auto"/>
              </w:rPr>
            </w:pPr>
          </w:p>
        </w:tc>
        <w:tc>
          <w:tcPr>
            <w:tcW w:w="980" w:type="dxa"/>
            <w:vAlign w:val="bottom"/>
            <w:gridSpan w:val="2"/>
          </w:tcPr>
          <w:p>
            <w:pPr>
              <w:jc w:val="right"/>
              <w:ind w:right="180"/>
              <w:spacing w:after="0"/>
              <w:rPr>
                <w:sz w:val="20"/>
                <w:szCs w:val="20"/>
                <w:color w:val="auto"/>
              </w:rPr>
            </w:pPr>
            <w:r>
              <w:rPr>
                <w:rFonts w:ascii="Arial" w:cs="Arial" w:eastAsia="Arial" w:hAnsi="Arial"/>
                <w:sz w:val="18"/>
                <w:szCs w:val="18"/>
                <w:color w:val="auto"/>
              </w:rPr>
              <w:t>(17)</w:t>
            </w:r>
          </w:p>
        </w:tc>
        <w:tc>
          <w:tcPr>
            <w:tcW w:w="5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80" w:type="dxa"/>
            <w:vAlign w:val="bottom"/>
          </w:tcPr>
          <w:p>
            <w:pPr>
              <w:spacing w:after="0"/>
              <w:rPr>
                <w:sz w:val="19"/>
                <w:szCs w:val="19"/>
                <w:color w:val="auto"/>
              </w:rPr>
            </w:pPr>
          </w:p>
        </w:tc>
        <w:tc>
          <w:tcPr>
            <w:tcW w:w="406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Gross profit</w:t>
            </w:r>
          </w:p>
        </w:tc>
        <w:tc>
          <w:tcPr>
            <w:tcW w:w="1060" w:type="dxa"/>
            <w:vAlign w:val="bottom"/>
            <w:tcBorders>
              <w:top w:val="single" w:sz="8" w:color="CFF0FC"/>
            </w:tcBorders>
            <w:shd w:val="clear" w:color="auto" w:fill="CFF0FC"/>
          </w:tcPr>
          <w:p>
            <w:pPr>
              <w:spacing w:after="0"/>
              <w:rPr>
                <w:sz w:val="19"/>
                <w:szCs w:val="19"/>
                <w:color w:val="auto"/>
              </w:rPr>
            </w:pPr>
          </w:p>
        </w:tc>
        <w:tc>
          <w:tcPr>
            <w:tcW w:w="240" w:type="dxa"/>
            <w:vAlign w:val="bottom"/>
            <w:tcBorders>
              <w:top w:val="single" w:sz="8" w:color="auto"/>
            </w:tcBorders>
            <w:shd w:val="clear" w:color="auto" w:fill="CFF0FC"/>
          </w:tcPr>
          <w:p>
            <w:pPr>
              <w:spacing w:after="0"/>
              <w:rPr>
                <w:sz w:val="19"/>
                <w:szCs w:val="19"/>
                <w:color w:val="auto"/>
              </w:rPr>
            </w:pPr>
          </w:p>
        </w:tc>
        <w:tc>
          <w:tcPr>
            <w:tcW w:w="8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5,169</w:t>
            </w:r>
          </w:p>
        </w:tc>
        <w:tc>
          <w:tcPr>
            <w:tcW w:w="80" w:type="dxa"/>
            <w:vAlign w:val="bottom"/>
            <w:tcBorders>
              <w:top w:val="single" w:sz="8" w:color="CFF0FC"/>
            </w:tcBorders>
            <w:shd w:val="clear" w:color="auto" w:fill="CFF0FC"/>
          </w:tcPr>
          <w:p>
            <w:pPr>
              <w:spacing w:after="0"/>
              <w:rPr>
                <w:sz w:val="19"/>
                <w:szCs w:val="19"/>
                <w:color w:val="auto"/>
              </w:rPr>
            </w:pPr>
          </w:p>
        </w:tc>
        <w:tc>
          <w:tcPr>
            <w:tcW w:w="220" w:type="dxa"/>
            <w:vAlign w:val="bottom"/>
            <w:tcBorders>
              <w:top w:val="single" w:sz="8" w:color="CFF0FC"/>
            </w:tcBorders>
            <w:shd w:val="clear" w:color="auto" w:fill="CFF0FC"/>
          </w:tcPr>
          <w:p>
            <w:pPr>
              <w:spacing w:after="0"/>
              <w:rPr>
                <w:sz w:val="19"/>
                <w:szCs w:val="19"/>
                <w:color w:val="auto"/>
              </w:rPr>
            </w:pPr>
          </w:p>
        </w:tc>
        <w:tc>
          <w:tcPr>
            <w:tcW w:w="300" w:type="dxa"/>
            <w:vAlign w:val="bottom"/>
            <w:tcBorders>
              <w:top w:val="single" w:sz="8" w:color="auto"/>
            </w:tcBorders>
            <w:shd w:val="clear" w:color="auto" w:fill="CFF0FC"/>
          </w:tcPr>
          <w:p>
            <w:pPr>
              <w:spacing w:after="0"/>
              <w:rPr>
                <w:sz w:val="19"/>
                <w:szCs w:val="19"/>
                <w:color w:val="auto"/>
              </w:rPr>
            </w:pPr>
          </w:p>
        </w:tc>
        <w:tc>
          <w:tcPr>
            <w:tcW w:w="7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4,717</w:t>
            </w:r>
          </w:p>
        </w:tc>
        <w:tc>
          <w:tcPr>
            <w:tcW w:w="200" w:type="dxa"/>
            <w:vAlign w:val="bottom"/>
            <w:tcBorders>
              <w:top w:val="single" w:sz="8" w:color="CFF0FC"/>
            </w:tcBorders>
            <w:shd w:val="clear" w:color="auto" w:fill="CFF0FC"/>
          </w:tcPr>
          <w:p>
            <w:pPr>
              <w:spacing w:after="0"/>
              <w:rPr>
                <w:sz w:val="19"/>
                <w:szCs w:val="19"/>
                <w:color w:val="auto"/>
              </w:rPr>
            </w:pPr>
          </w:p>
        </w:tc>
        <w:tc>
          <w:tcPr>
            <w:tcW w:w="80" w:type="dxa"/>
            <w:vAlign w:val="bottom"/>
            <w:tcBorders>
              <w:top w:val="single" w:sz="8" w:color="CFF0FC"/>
            </w:tcBorders>
            <w:shd w:val="clear" w:color="auto" w:fill="CFF0FC"/>
          </w:tcPr>
          <w:p>
            <w:pPr>
              <w:spacing w:after="0"/>
              <w:rPr>
                <w:sz w:val="19"/>
                <w:szCs w:val="19"/>
                <w:color w:val="auto"/>
              </w:rPr>
            </w:pPr>
          </w:p>
        </w:tc>
        <w:tc>
          <w:tcPr>
            <w:tcW w:w="280" w:type="dxa"/>
            <w:vAlign w:val="bottom"/>
            <w:tcBorders>
              <w:top w:val="single" w:sz="8" w:color="auto"/>
            </w:tcBorders>
            <w:shd w:val="clear" w:color="auto" w:fill="CFF0FC"/>
          </w:tcPr>
          <w:p>
            <w:pPr>
              <w:spacing w:after="0"/>
              <w:rPr>
                <w:sz w:val="19"/>
                <w:szCs w:val="19"/>
                <w:color w:val="auto"/>
              </w:rPr>
            </w:pPr>
          </w:p>
        </w:tc>
        <w:tc>
          <w:tcPr>
            <w:tcW w:w="7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452</w:t>
            </w:r>
          </w:p>
        </w:tc>
        <w:tc>
          <w:tcPr>
            <w:tcW w:w="220" w:type="dxa"/>
            <w:vAlign w:val="bottom"/>
            <w:tcBorders>
              <w:top w:val="single" w:sz="8" w:color="CFF0FC"/>
            </w:tcBorders>
            <w:shd w:val="clear" w:color="auto" w:fill="CFF0FC"/>
          </w:tcPr>
          <w:p>
            <w:pPr>
              <w:spacing w:after="0"/>
              <w:rPr>
                <w:sz w:val="19"/>
                <w:szCs w:val="19"/>
                <w:color w:val="auto"/>
              </w:rPr>
            </w:pPr>
          </w:p>
        </w:tc>
        <w:tc>
          <w:tcPr>
            <w:tcW w:w="260" w:type="dxa"/>
            <w:vAlign w:val="bottom"/>
            <w:tcBorders>
              <w:top w:val="single" w:sz="8" w:color="CFF0FC"/>
            </w:tcBorders>
            <w:shd w:val="clear" w:color="auto" w:fill="CFF0FC"/>
          </w:tcPr>
          <w:p>
            <w:pPr>
              <w:spacing w:after="0"/>
              <w:rPr>
                <w:sz w:val="19"/>
                <w:szCs w:val="19"/>
                <w:color w:val="auto"/>
              </w:rPr>
            </w:pPr>
          </w:p>
        </w:tc>
        <w:tc>
          <w:tcPr>
            <w:tcW w:w="740" w:type="dxa"/>
            <w:vAlign w:val="bottom"/>
            <w:tcBorders>
              <w:top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10</w:t>
            </w:r>
          </w:p>
        </w:tc>
        <w:tc>
          <w:tcPr>
            <w:tcW w:w="240" w:type="dxa"/>
            <w:vAlign w:val="bottom"/>
            <w:tcBorders>
              <w:top w:val="single" w:sz="8" w:color="CFF0FC"/>
            </w:tcBorders>
            <w:shd w:val="clear" w:color="auto" w:fill="CFF0FC"/>
          </w:tcPr>
          <w:p>
            <w:pPr>
              <w:spacing w:after="0"/>
              <w:rPr>
                <w:sz w:val="19"/>
                <w:szCs w:val="19"/>
                <w:color w:val="auto"/>
              </w:rPr>
            </w:pPr>
          </w:p>
        </w:tc>
        <w:tc>
          <w:tcPr>
            <w:tcW w:w="5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80" w:type="dxa"/>
            <w:vAlign w:val="bottom"/>
          </w:tcPr>
          <w:p>
            <w:pPr>
              <w:spacing w:after="0"/>
              <w:rPr>
                <w:sz w:val="19"/>
                <w:szCs w:val="19"/>
                <w:color w:val="auto"/>
              </w:rPr>
            </w:pPr>
          </w:p>
        </w:tc>
        <w:tc>
          <w:tcPr>
            <w:tcW w:w="4060" w:type="dxa"/>
            <w:vAlign w:val="bottom"/>
          </w:tcPr>
          <w:p>
            <w:pPr>
              <w:spacing w:after="0"/>
              <w:rPr>
                <w:sz w:val="20"/>
                <w:szCs w:val="20"/>
                <w:color w:val="auto"/>
              </w:rPr>
            </w:pPr>
            <w:r>
              <w:rPr>
                <w:rFonts w:ascii="Arial" w:cs="Arial" w:eastAsia="Arial" w:hAnsi="Arial"/>
                <w:sz w:val="18"/>
                <w:szCs w:val="18"/>
                <w:i w:val="1"/>
                <w:iCs w:val="1"/>
                <w:color w:val="auto"/>
              </w:rPr>
              <w:t>Gross margin</w:t>
            </w:r>
          </w:p>
        </w:tc>
        <w:tc>
          <w:tcPr>
            <w:tcW w:w="10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00" w:type="dxa"/>
            <w:vAlign w:val="bottom"/>
            <w:gridSpan w:val="3"/>
          </w:tcPr>
          <w:p>
            <w:pPr>
              <w:jc w:val="right"/>
              <w:ind w:right="79"/>
              <w:spacing w:after="0"/>
              <w:rPr>
                <w:sz w:val="20"/>
                <w:szCs w:val="20"/>
                <w:color w:val="auto"/>
              </w:rPr>
            </w:pPr>
            <w:r>
              <w:rPr>
                <w:rFonts w:ascii="Arial" w:cs="Arial" w:eastAsia="Arial" w:hAnsi="Arial"/>
                <w:sz w:val="18"/>
                <w:szCs w:val="18"/>
                <w:color w:val="auto"/>
              </w:rPr>
              <w:t>33%</w:t>
            </w:r>
          </w:p>
        </w:tc>
        <w:tc>
          <w:tcPr>
            <w:tcW w:w="300" w:type="dxa"/>
            <w:vAlign w:val="bottom"/>
          </w:tcPr>
          <w:p>
            <w:pPr>
              <w:spacing w:after="0"/>
              <w:rPr>
                <w:sz w:val="19"/>
                <w:szCs w:val="19"/>
                <w:color w:val="auto"/>
              </w:rPr>
            </w:pPr>
          </w:p>
        </w:tc>
        <w:tc>
          <w:tcPr>
            <w:tcW w:w="940" w:type="dxa"/>
            <w:vAlign w:val="bottom"/>
            <w:gridSpan w:val="2"/>
          </w:tcPr>
          <w:p>
            <w:pPr>
              <w:jc w:val="right"/>
              <w:ind w:right="60"/>
              <w:spacing w:after="0"/>
              <w:rPr>
                <w:sz w:val="20"/>
                <w:szCs w:val="20"/>
                <w:color w:val="auto"/>
              </w:rPr>
            </w:pPr>
            <w:r>
              <w:rPr>
                <w:rFonts w:ascii="Arial" w:cs="Arial" w:eastAsia="Arial" w:hAnsi="Arial"/>
                <w:sz w:val="18"/>
                <w:szCs w:val="18"/>
                <w:color w:val="auto"/>
              </w:rPr>
              <w:t>27%</w:t>
            </w:r>
          </w:p>
        </w:tc>
        <w:tc>
          <w:tcPr>
            <w:tcW w:w="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80" w:type="dxa"/>
            <w:vAlign w:val="bottom"/>
          </w:tcPr>
          <w:p>
            <w:pPr>
              <w:spacing w:after="0"/>
              <w:rPr>
                <w:sz w:val="19"/>
                <w:szCs w:val="19"/>
                <w:color w:val="auto"/>
              </w:rPr>
            </w:pPr>
          </w:p>
        </w:tc>
        <w:tc>
          <w:tcPr>
            <w:tcW w:w="4060" w:type="dxa"/>
            <w:vAlign w:val="bottom"/>
            <w:shd w:val="clear" w:color="auto" w:fill="CFF0FC"/>
          </w:tcPr>
          <w:p>
            <w:pPr>
              <w:spacing w:after="0"/>
              <w:rPr>
                <w:sz w:val="20"/>
                <w:szCs w:val="20"/>
                <w:color w:val="auto"/>
              </w:rPr>
            </w:pPr>
            <w:r>
              <w:rPr>
                <w:rFonts w:ascii="Arial" w:cs="Arial" w:eastAsia="Arial" w:hAnsi="Arial"/>
                <w:sz w:val="18"/>
                <w:szCs w:val="18"/>
                <w:color w:val="auto"/>
              </w:rPr>
              <w:t>Operating expenses:</w:t>
            </w:r>
          </w:p>
        </w:tc>
        <w:tc>
          <w:tcPr>
            <w:tcW w:w="106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80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74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76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74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5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80" w:type="dxa"/>
            <w:vAlign w:val="bottom"/>
          </w:tcPr>
          <w:p>
            <w:pPr>
              <w:spacing w:after="0"/>
              <w:rPr>
                <w:sz w:val="19"/>
                <w:szCs w:val="19"/>
                <w:color w:val="auto"/>
              </w:rPr>
            </w:pPr>
          </w:p>
        </w:tc>
        <w:tc>
          <w:tcPr>
            <w:tcW w:w="4060" w:type="dxa"/>
            <w:vAlign w:val="bottom"/>
          </w:tcPr>
          <w:p>
            <w:pPr>
              <w:ind w:left="240"/>
              <w:spacing w:after="0"/>
              <w:rPr>
                <w:sz w:val="20"/>
                <w:szCs w:val="20"/>
                <w:color w:val="auto"/>
              </w:rPr>
            </w:pPr>
            <w:r>
              <w:rPr>
                <w:rFonts w:ascii="Arial" w:cs="Arial" w:eastAsia="Arial" w:hAnsi="Arial"/>
                <w:sz w:val="18"/>
                <w:szCs w:val="18"/>
                <w:color w:val="auto"/>
              </w:rPr>
              <w:t>Research and development</w:t>
            </w:r>
          </w:p>
        </w:tc>
        <w:tc>
          <w:tcPr>
            <w:tcW w:w="10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7,474</w:t>
            </w: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7,399</w:t>
            </w:r>
          </w:p>
        </w:tc>
        <w:tc>
          <w:tcPr>
            <w:tcW w:w="2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75</w:t>
            </w:r>
          </w:p>
        </w:tc>
        <w:tc>
          <w:tcPr>
            <w:tcW w:w="2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1</w:t>
            </w:r>
          </w:p>
        </w:tc>
        <w:tc>
          <w:tcPr>
            <w:tcW w:w="24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80" w:type="dxa"/>
            <w:vAlign w:val="bottom"/>
          </w:tcPr>
          <w:p>
            <w:pPr>
              <w:spacing w:after="0"/>
              <w:rPr>
                <w:sz w:val="19"/>
                <w:szCs w:val="19"/>
                <w:color w:val="auto"/>
              </w:rPr>
            </w:pPr>
          </w:p>
        </w:tc>
        <w:tc>
          <w:tcPr>
            <w:tcW w:w="4060" w:type="dxa"/>
            <w:vAlign w:val="bottom"/>
            <w:shd w:val="clear" w:color="auto" w:fill="CFF0FC"/>
          </w:tcPr>
          <w:p>
            <w:pPr>
              <w:ind w:left="240"/>
              <w:spacing w:after="0"/>
              <w:rPr>
                <w:sz w:val="20"/>
                <w:szCs w:val="20"/>
                <w:color w:val="auto"/>
              </w:rPr>
            </w:pPr>
            <w:r>
              <w:rPr>
                <w:rFonts w:ascii="Arial" w:cs="Arial" w:eastAsia="Arial" w:hAnsi="Arial"/>
                <w:sz w:val="18"/>
                <w:szCs w:val="18"/>
                <w:color w:val="auto"/>
              </w:rPr>
              <w:t>Sales and marketing</w:t>
            </w:r>
          </w:p>
        </w:tc>
        <w:tc>
          <w:tcPr>
            <w:tcW w:w="106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12,483</w:t>
            </w:r>
          </w:p>
        </w:tc>
        <w:tc>
          <w:tcPr>
            <w:tcW w:w="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14,587</w:t>
            </w:r>
          </w:p>
        </w:tc>
        <w:tc>
          <w:tcPr>
            <w:tcW w:w="20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98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(2,104)</w:t>
            </w:r>
          </w:p>
        </w:tc>
        <w:tc>
          <w:tcPr>
            <w:tcW w:w="260" w:type="dxa"/>
            <w:vAlign w:val="bottom"/>
            <w:shd w:val="clear" w:color="auto" w:fill="CFF0FC"/>
          </w:tcPr>
          <w:p>
            <w:pPr>
              <w:spacing w:after="0"/>
              <w:rPr>
                <w:sz w:val="19"/>
                <w:szCs w:val="19"/>
                <w:color w:val="auto"/>
              </w:rPr>
            </w:pPr>
          </w:p>
        </w:tc>
        <w:tc>
          <w:tcPr>
            <w:tcW w:w="98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(14)</w:t>
            </w:r>
          </w:p>
        </w:tc>
        <w:tc>
          <w:tcPr>
            <w:tcW w:w="5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80" w:type="dxa"/>
            <w:vAlign w:val="bottom"/>
          </w:tcPr>
          <w:p>
            <w:pPr>
              <w:spacing w:after="0"/>
              <w:rPr>
                <w:sz w:val="19"/>
                <w:szCs w:val="19"/>
                <w:color w:val="auto"/>
              </w:rPr>
            </w:pPr>
          </w:p>
        </w:tc>
        <w:tc>
          <w:tcPr>
            <w:tcW w:w="4060" w:type="dxa"/>
            <w:vAlign w:val="bottom"/>
            <w:tcBorders>
              <w:bottom w:val="single" w:sz="8" w:color="CFF0FC"/>
            </w:tcBorders>
          </w:tcPr>
          <w:p>
            <w:pPr>
              <w:ind w:left="240"/>
              <w:spacing w:after="0"/>
              <w:rPr>
                <w:sz w:val="20"/>
                <w:szCs w:val="20"/>
                <w:color w:val="auto"/>
              </w:rPr>
            </w:pPr>
            <w:r>
              <w:rPr>
                <w:rFonts w:ascii="Arial" w:cs="Arial" w:eastAsia="Arial" w:hAnsi="Arial"/>
                <w:sz w:val="18"/>
                <w:szCs w:val="18"/>
                <w:color w:val="auto"/>
              </w:rPr>
              <w:t>General and administrative</w:t>
            </w:r>
          </w:p>
        </w:tc>
        <w:tc>
          <w:tcPr>
            <w:tcW w:w="1060" w:type="dxa"/>
            <w:vAlign w:val="bottom"/>
            <w:tcBorders>
              <w:bottom w:val="single" w:sz="8" w:color="CFF0FC"/>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4,144</w:t>
            </w:r>
          </w:p>
        </w:tc>
        <w:tc>
          <w:tcPr>
            <w:tcW w:w="80" w:type="dxa"/>
            <w:vAlign w:val="bottom"/>
            <w:tcBorders>
              <w:bottom w:val="single" w:sz="8" w:color="CFF0FC"/>
            </w:tcBorders>
          </w:tcPr>
          <w:p>
            <w:pPr>
              <w:spacing w:after="0"/>
              <w:rPr>
                <w:sz w:val="19"/>
                <w:szCs w:val="19"/>
                <w:color w:val="auto"/>
              </w:rPr>
            </w:pPr>
          </w:p>
        </w:tc>
        <w:tc>
          <w:tcPr>
            <w:tcW w:w="220" w:type="dxa"/>
            <w:vAlign w:val="bottom"/>
            <w:tcBorders>
              <w:bottom w:val="single" w:sz="8" w:color="CFF0FC"/>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3,256</w:t>
            </w:r>
          </w:p>
        </w:tc>
        <w:tc>
          <w:tcPr>
            <w:tcW w:w="200" w:type="dxa"/>
            <w:vAlign w:val="bottom"/>
            <w:tcBorders>
              <w:bottom w:val="single" w:sz="8" w:color="CFF0FC"/>
            </w:tcBorders>
          </w:tcPr>
          <w:p>
            <w:pPr>
              <w:spacing w:after="0"/>
              <w:rPr>
                <w:sz w:val="19"/>
                <w:szCs w:val="19"/>
                <w:color w:val="auto"/>
              </w:rPr>
            </w:pPr>
          </w:p>
        </w:tc>
        <w:tc>
          <w:tcPr>
            <w:tcW w:w="80" w:type="dxa"/>
            <w:vAlign w:val="bottom"/>
            <w:tcBorders>
              <w:bottom w:val="single" w:sz="8" w:color="CFF0FC"/>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888</w:t>
            </w:r>
          </w:p>
        </w:tc>
        <w:tc>
          <w:tcPr>
            <w:tcW w:w="220" w:type="dxa"/>
            <w:vAlign w:val="bottom"/>
            <w:tcBorders>
              <w:bottom w:val="single" w:sz="8" w:color="CFF0FC"/>
            </w:tcBorders>
          </w:tcPr>
          <w:p>
            <w:pPr>
              <w:spacing w:after="0"/>
              <w:rPr>
                <w:sz w:val="19"/>
                <w:szCs w:val="19"/>
                <w:color w:val="auto"/>
              </w:rPr>
            </w:pPr>
          </w:p>
        </w:tc>
        <w:tc>
          <w:tcPr>
            <w:tcW w:w="260" w:type="dxa"/>
            <w:vAlign w:val="bottom"/>
            <w:tcBorders>
              <w:bottom w:val="single" w:sz="8" w:color="CFF0FC"/>
            </w:tcBorders>
          </w:tcPr>
          <w:p>
            <w:pPr>
              <w:spacing w:after="0"/>
              <w:rPr>
                <w:sz w:val="19"/>
                <w:szCs w:val="19"/>
                <w:color w:val="auto"/>
              </w:rPr>
            </w:pPr>
          </w:p>
        </w:tc>
        <w:tc>
          <w:tcPr>
            <w:tcW w:w="740" w:type="dxa"/>
            <w:vAlign w:val="bottom"/>
            <w:tcBorders>
              <w:bottom w:val="single" w:sz="8" w:color="CFF0FC"/>
            </w:tcBorders>
          </w:tcPr>
          <w:p>
            <w:pPr>
              <w:jc w:val="right"/>
              <w:spacing w:after="0"/>
              <w:rPr>
                <w:sz w:val="20"/>
                <w:szCs w:val="20"/>
                <w:color w:val="auto"/>
              </w:rPr>
            </w:pPr>
            <w:r>
              <w:rPr>
                <w:rFonts w:ascii="Arial" w:cs="Arial" w:eastAsia="Arial" w:hAnsi="Arial"/>
                <w:sz w:val="18"/>
                <w:szCs w:val="18"/>
                <w:color w:val="auto"/>
              </w:rPr>
              <w:t>27</w:t>
            </w:r>
          </w:p>
        </w:tc>
        <w:tc>
          <w:tcPr>
            <w:tcW w:w="240" w:type="dxa"/>
            <w:vAlign w:val="bottom"/>
            <w:tcBorders>
              <w:bottom w:val="single" w:sz="8" w:color="CFF0FC"/>
            </w:tcBorders>
          </w:tcPr>
          <w:p>
            <w:pPr>
              <w:spacing w:after="0"/>
              <w:rPr>
                <w:sz w:val="19"/>
                <w:szCs w:val="19"/>
                <w:color w:val="auto"/>
              </w:rPr>
            </w:pPr>
          </w:p>
        </w:tc>
        <w:tc>
          <w:tcPr>
            <w:tcW w:w="5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80" w:type="dxa"/>
            <w:vAlign w:val="bottom"/>
          </w:tcPr>
          <w:p>
            <w:pPr>
              <w:spacing w:after="0"/>
              <w:rPr>
                <w:sz w:val="19"/>
                <w:szCs w:val="19"/>
                <w:color w:val="auto"/>
              </w:rPr>
            </w:pPr>
          </w:p>
        </w:tc>
        <w:tc>
          <w:tcPr>
            <w:tcW w:w="4060" w:type="dxa"/>
            <w:vAlign w:val="bottom"/>
            <w:shd w:val="clear" w:color="auto" w:fill="CFF0FC"/>
          </w:tcPr>
          <w:p>
            <w:pPr>
              <w:spacing w:after="0"/>
              <w:rPr>
                <w:sz w:val="20"/>
                <w:szCs w:val="20"/>
                <w:color w:val="auto"/>
              </w:rPr>
            </w:pPr>
            <w:r>
              <w:rPr>
                <w:rFonts w:ascii="Arial" w:cs="Arial" w:eastAsia="Arial" w:hAnsi="Arial"/>
                <w:sz w:val="18"/>
                <w:szCs w:val="18"/>
                <w:color w:val="auto"/>
              </w:rPr>
              <w:t>Total operating expenses</w:t>
            </w:r>
          </w:p>
        </w:tc>
        <w:tc>
          <w:tcPr>
            <w:tcW w:w="1060" w:type="dxa"/>
            <w:vAlign w:val="bottom"/>
            <w:shd w:val="clear" w:color="auto" w:fill="CFF0FC"/>
          </w:tcPr>
          <w:p>
            <w:pPr>
              <w:spacing w:after="0"/>
              <w:rPr>
                <w:sz w:val="19"/>
                <w:szCs w:val="19"/>
                <w:color w:val="auto"/>
              </w:rPr>
            </w:pPr>
          </w:p>
        </w:tc>
        <w:tc>
          <w:tcPr>
            <w:tcW w:w="240" w:type="dxa"/>
            <w:vAlign w:val="bottom"/>
            <w:tcBorders>
              <w:bottom w:val="single" w:sz="8" w:color="auto"/>
            </w:tcBorders>
            <w:shd w:val="clear" w:color="auto" w:fill="CFF0FC"/>
          </w:tcPr>
          <w:p>
            <w:pPr>
              <w:spacing w:after="0"/>
              <w:rPr>
                <w:sz w:val="19"/>
                <w:szCs w:val="19"/>
                <w:color w:val="auto"/>
              </w:rPr>
            </w:pPr>
          </w:p>
        </w:tc>
        <w:tc>
          <w:tcPr>
            <w:tcW w:w="8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24,101</w:t>
            </w:r>
          </w:p>
        </w:tc>
        <w:tc>
          <w:tcPr>
            <w:tcW w:w="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300" w:type="dxa"/>
            <w:vAlign w:val="bottom"/>
            <w:tcBorders>
              <w:bottom w:val="single" w:sz="8" w:color="auto"/>
            </w:tcBorders>
            <w:shd w:val="clear" w:color="auto" w:fill="CFF0FC"/>
          </w:tcPr>
          <w:p>
            <w:pPr>
              <w:spacing w:after="0"/>
              <w:rPr>
                <w:sz w:val="19"/>
                <w:szCs w:val="19"/>
                <w:color w:val="auto"/>
              </w:rPr>
            </w:pPr>
          </w:p>
        </w:tc>
        <w:tc>
          <w:tcPr>
            <w:tcW w:w="7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25,242</w:t>
            </w:r>
          </w:p>
        </w:tc>
        <w:tc>
          <w:tcPr>
            <w:tcW w:w="20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80" w:type="dxa"/>
            <w:vAlign w:val="bottom"/>
            <w:tcBorders>
              <w:bottom w:val="single" w:sz="8" w:color="auto"/>
            </w:tcBorders>
            <w:shd w:val="clear" w:color="auto" w:fill="CFF0FC"/>
          </w:tcPr>
          <w:p>
            <w:pPr>
              <w:spacing w:after="0"/>
              <w:rPr>
                <w:sz w:val="19"/>
                <w:szCs w:val="19"/>
                <w:color w:val="auto"/>
              </w:rPr>
            </w:pPr>
          </w:p>
        </w:tc>
        <w:tc>
          <w:tcPr>
            <w:tcW w:w="7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(1,141)</w:t>
            </w:r>
          </w:p>
        </w:tc>
        <w:tc>
          <w:tcPr>
            <w:tcW w:w="22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98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(5)</w:t>
            </w:r>
          </w:p>
        </w:tc>
        <w:tc>
          <w:tcPr>
            <w:tcW w:w="5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640" w:type="dxa"/>
            <w:vAlign w:val="bottom"/>
            <w:gridSpan w:val="2"/>
          </w:tcPr>
          <w:p>
            <w:pPr>
              <w:ind w:left="580"/>
              <w:spacing w:after="0"/>
              <w:rPr>
                <w:sz w:val="20"/>
                <w:szCs w:val="20"/>
                <w:color w:val="auto"/>
              </w:rPr>
            </w:pPr>
            <w:r>
              <w:rPr>
                <w:rFonts w:ascii="Arial" w:cs="Arial" w:eastAsia="Arial" w:hAnsi="Arial"/>
                <w:sz w:val="18"/>
                <w:szCs w:val="18"/>
                <w:color w:val="auto"/>
              </w:rPr>
              <w:t>Loss from operations</w:t>
            </w:r>
          </w:p>
        </w:tc>
        <w:tc>
          <w:tcPr>
            <w:tcW w:w="10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(18,932)</w:t>
            </w: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(20,525)</w:t>
            </w:r>
          </w:p>
        </w:tc>
        <w:tc>
          <w:tcPr>
            <w:tcW w:w="2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1,593</w:t>
            </w:r>
          </w:p>
        </w:tc>
        <w:tc>
          <w:tcPr>
            <w:tcW w:w="2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80" w:type="dxa"/>
            <w:vAlign w:val="bottom"/>
            <w:gridSpan w:val="2"/>
          </w:tcPr>
          <w:p>
            <w:pPr>
              <w:jc w:val="right"/>
              <w:ind w:right="180"/>
              <w:spacing w:after="0"/>
              <w:rPr>
                <w:sz w:val="20"/>
                <w:szCs w:val="20"/>
                <w:color w:val="auto"/>
              </w:rPr>
            </w:pPr>
            <w:r>
              <w:rPr>
                <w:rFonts w:ascii="Arial" w:cs="Arial" w:eastAsia="Arial" w:hAnsi="Arial"/>
                <w:sz w:val="18"/>
                <w:szCs w:val="18"/>
                <w:color w:val="auto"/>
              </w:rPr>
              <w:t>(8)</w:t>
            </w:r>
          </w:p>
        </w:tc>
        <w:tc>
          <w:tcPr>
            <w:tcW w:w="5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80" w:type="dxa"/>
            <w:vAlign w:val="bottom"/>
          </w:tcPr>
          <w:p>
            <w:pPr>
              <w:spacing w:after="0"/>
              <w:rPr>
                <w:sz w:val="19"/>
                <w:szCs w:val="19"/>
                <w:color w:val="auto"/>
              </w:rPr>
            </w:pPr>
          </w:p>
        </w:tc>
        <w:tc>
          <w:tcPr>
            <w:tcW w:w="4060" w:type="dxa"/>
            <w:vAlign w:val="bottom"/>
            <w:shd w:val="clear" w:color="auto" w:fill="CFF0FC"/>
          </w:tcPr>
          <w:p>
            <w:pPr>
              <w:spacing w:after="0"/>
              <w:rPr>
                <w:sz w:val="20"/>
                <w:szCs w:val="20"/>
                <w:color w:val="auto"/>
              </w:rPr>
            </w:pPr>
            <w:r>
              <w:rPr>
                <w:rFonts w:ascii="Arial" w:cs="Arial" w:eastAsia="Arial" w:hAnsi="Arial"/>
                <w:sz w:val="18"/>
                <w:szCs w:val="18"/>
                <w:color w:val="auto"/>
              </w:rPr>
              <w:t>Other income (expense), net:</w:t>
            </w:r>
          </w:p>
        </w:tc>
        <w:tc>
          <w:tcPr>
            <w:tcW w:w="106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80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74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76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74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5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80" w:type="dxa"/>
            <w:vAlign w:val="bottom"/>
          </w:tcPr>
          <w:p>
            <w:pPr>
              <w:spacing w:after="0"/>
              <w:rPr>
                <w:sz w:val="19"/>
                <w:szCs w:val="19"/>
                <w:color w:val="auto"/>
              </w:rPr>
            </w:pPr>
          </w:p>
        </w:tc>
        <w:tc>
          <w:tcPr>
            <w:tcW w:w="4060" w:type="dxa"/>
            <w:vAlign w:val="bottom"/>
          </w:tcPr>
          <w:p>
            <w:pPr>
              <w:ind w:left="240"/>
              <w:spacing w:after="0"/>
              <w:rPr>
                <w:sz w:val="20"/>
                <w:szCs w:val="20"/>
                <w:color w:val="auto"/>
              </w:rPr>
            </w:pPr>
            <w:r>
              <w:rPr>
                <w:rFonts w:ascii="Arial" w:cs="Arial" w:eastAsia="Arial" w:hAnsi="Arial"/>
                <w:sz w:val="18"/>
                <w:szCs w:val="18"/>
                <w:color w:val="auto"/>
              </w:rPr>
              <w:t>Interest expense</w:t>
            </w:r>
          </w:p>
        </w:tc>
        <w:tc>
          <w:tcPr>
            <w:tcW w:w="10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80" w:type="dxa"/>
            <w:vAlign w:val="bottom"/>
            <w:gridSpan w:val="2"/>
          </w:tcPr>
          <w:p>
            <w:pPr>
              <w:jc w:val="right"/>
              <w:ind w:right="40"/>
              <w:spacing w:after="0"/>
              <w:rPr>
                <w:sz w:val="20"/>
                <w:szCs w:val="20"/>
                <w:color w:val="auto"/>
              </w:rPr>
            </w:pPr>
            <w:r>
              <w:rPr>
                <w:rFonts w:ascii="Arial" w:cs="Arial" w:eastAsia="Arial" w:hAnsi="Arial"/>
                <w:sz w:val="18"/>
                <w:szCs w:val="18"/>
                <w:color w:val="auto"/>
              </w:rPr>
              <w:t>(2,483)</w:t>
            </w:r>
          </w:p>
        </w:tc>
        <w:tc>
          <w:tcPr>
            <w:tcW w:w="2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40" w:type="dxa"/>
            <w:vAlign w:val="bottom"/>
            <w:gridSpan w:val="2"/>
          </w:tcPr>
          <w:p>
            <w:pPr>
              <w:jc w:val="right"/>
              <w:ind w:right="160"/>
              <w:spacing w:after="0"/>
              <w:rPr>
                <w:sz w:val="20"/>
                <w:szCs w:val="20"/>
                <w:color w:val="auto"/>
              </w:rPr>
            </w:pPr>
            <w:r>
              <w:rPr>
                <w:rFonts w:ascii="Arial" w:cs="Arial" w:eastAsia="Arial" w:hAnsi="Arial"/>
                <w:sz w:val="18"/>
                <w:szCs w:val="18"/>
                <w:color w:val="auto"/>
              </w:rPr>
              <w:t>(2,892)</w:t>
            </w:r>
          </w:p>
        </w:tc>
        <w:tc>
          <w:tcPr>
            <w:tcW w:w="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409</w:t>
            </w:r>
          </w:p>
        </w:tc>
        <w:tc>
          <w:tcPr>
            <w:tcW w:w="2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80" w:type="dxa"/>
            <w:vAlign w:val="bottom"/>
            <w:gridSpan w:val="2"/>
          </w:tcPr>
          <w:p>
            <w:pPr>
              <w:jc w:val="right"/>
              <w:ind w:right="180"/>
              <w:spacing w:after="0"/>
              <w:rPr>
                <w:sz w:val="20"/>
                <w:szCs w:val="20"/>
                <w:color w:val="auto"/>
              </w:rPr>
            </w:pPr>
            <w:r>
              <w:rPr>
                <w:rFonts w:ascii="Arial" w:cs="Arial" w:eastAsia="Arial" w:hAnsi="Arial"/>
                <w:sz w:val="18"/>
                <w:szCs w:val="18"/>
                <w:color w:val="auto"/>
              </w:rPr>
              <w:t>(14)</w:t>
            </w:r>
          </w:p>
        </w:tc>
        <w:tc>
          <w:tcPr>
            <w:tcW w:w="5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80" w:type="dxa"/>
            <w:vAlign w:val="bottom"/>
          </w:tcPr>
          <w:p>
            <w:pPr>
              <w:spacing w:after="0"/>
              <w:rPr>
                <w:sz w:val="19"/>
                <w:szCs w:val="19"/>
                <w:color w:val="auto"/>
              </w:rPr>
            </w:pPr>
          </w:p>
        </w:tc>
        <w:tc>
          <w:tcPr>
            <w:tcW w:w="4060" w:type="dxa"/>
            <w:vAlign w:val="bottom"/>
            <w:shd w:val="clear" w:color="auto" w:fill="CFF0FC"/>
          </w:tcPr>
          <w:p>
            <w:pPr>
              <w:ind w:left="240"/>
              <w:spacing w:after="0"/>
              <w:rPr>
                <w:sz w:val="20"/>
                <w:szCs w:val="20"/>
                <w:color w:val="auto"/>
              </w:rPr>
            </w:pPr>
            <w:r>
              <w:rPr>
                <w:rFonts w:ascii="Arial" w:cs="Arial" w:eastAsia="Arial" w:hAnsi="Arial"/>
                <w:sz w:val="18"/>
                <w:szCs w:val="18"/>
                <w:color w:val="auto"/>
              </w:rPr>
              <w:t>Other income (expense), net</w:t>
            </w:r>
          </w:p>
        </w:tc>
        <w:tc>
          <w:tcPr>
            <w:tcW w:w="106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88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(431)</w:t>
            </w:r>
          </w:p>
        </w:tc>
        <w:tc>
          <w:tcPr>
            <w:tcW w:w="22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446</w:t>
            </w:r>
          </w:p>
        </w:tc>
        <w:tc>
          <w:tcPr>
            <w:tcW w:w="20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98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(877)</w:t>
            </w:r>
          </w:p>
        </w:tc>
        <w:tc>
          <w:tcPr>
            <w:tcW w:w="260" w:type="dxa"/>
            <w:vAlign w:val="bottom"/>
            <w:shd w:val="clear" w:color="auto" w:fill="CFF0FC"/>
          </w:tcPr>
          <w:p>
            <w:pPr>
              <w:spacing w:after="0"/>
              <w:rPr>
                <w:sz w:val="19"/>
                <w:szCs w:val="19"/>
                <w:color w:val="auto"/>
              </w:rPr>
            </w:pPr>
          </w:p>
        </w:tc>
        <w:tc>
          <w:tcPr>
            <w:tcW w:w="98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(197)</w:t>
            </w:r>
          </w:p>
        </w:tc>
        <w:tc>
          <w:tcPr>
            <w:tcW w:w="5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640" w:type="dxa"/>
            <w:vAlign w:val="bottom"/>
            <w:gridSpan w:val="2"/>
          </w:tcPr>
          <w:p>
            <w:pPr>
              <w:ind w:left="580"/>
              <w:spacing w:after="0"/>
              <w:rPr>
                <w:sz w:val="20"/>
                <w:szCs w:val="20"/>
                <w:color w:val="auto"/>
              </w:rPr>
            </w:pPr>
            <w:r>
              <w:rPr>
                <w:rFonts w:ascii="Arial" w:cs="Arial" w:eastAsia="Arial" w:hAnsi="Arial"/>
                <w:sz w:val="18"/>
                <w:szCs w:val="18"/>
                <w:color w:val="auto"/>
              </w:rPr>
              <w:t>Total other income (expense)</w:t>
            </w:r>
          </w:p>
        </w:tc>
        <w:tc>
          <w:tcPr>
            <w:tcW w:w="1060" w:type="dxa"/>
            <w:vAlign w:val="bottom"/>
          </w:tcPr>
          <w:p>
            <w:pPr>
              <w:spacing w:after="0"/>
              <w:rPr>
                <w:sz w:val="19"/>
                <w:szCs w:val="19"/>
                <w:color w:val="auto"/>
              </w:rPr>
            </w:pPr>
          </w:p>
        </w:tc>
        <w:tc>
          <w:tcPr>
            <w:tcW w:w="240" w:type="dxa"/>
            <w:vAlign w:val="bottom"/>
            <w:tcBorders>
              <w:top w:val="single" w:sz="8" w:color="auto"/>
            </w:tcBorders>
          </w:tcPr>
          <w:p>
            <w:pPr>
              <w:spacing w:after="0"/>
              <w:rPr>
                <w:sz w:val="19"/>
                <w:szCs w:val="19"/>
                <w:color w:val="auto"/>
              </w:rPr>
            </w:pPr>
          </w:p>
        </w:tc>
        <w:tc>
          <w:tcPr>
            <w:tcW w:w="8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(2,914)</w:t>
            </w: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300" w:type="dxa"/>
            <w:vAlign w:val="bottom"/>
            <w:tcBorders>
              <w:top w:val="single" w:sz="8" w:color="auto"/>
            </w:tcBorders>
          </w:tcPr>
          <w:p>
            <w:pPr>
              <w:spacing w:after="0"/>
              <w:rPr>
                <w:sz w:val="19"/>
                <w:szCs w:val="19"/>
                <w:color w:val="auto"/>
              </w:rPr>
            </w:pPr>
          </w:p>
        </w:tc>
        <w:tc>
          <w:tcPr>
            <w:tcW w:w="7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(2,446)</w:t>
            </w:r>
          </w:p>
        </w:tc>
        <w:tc>
          <w:tcPr>
            <w:tcW w:w="2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80" w:type="dxa"/>
            <w:vAlign w:val="bottom"/>
            <w:tcBorders>
              <w:top w:val="single" w:sz="8" w:color="auto"/>
            </w:tcBorders>
          </w:tcPr>
          <w:p>
            <w:pPr>
              <w:spacing w:after="0"/>
              <w:rPr>
                <w:sz w:val="19"/>
                <w:szCs w:val="19"/>
                <w:color w:val="auto"/>
              </w:rPr>
            </w:pPr>
          </w:p>
        </w:tc>
        <w:tc>
          <w:tcPr>
            <w:tcW w:w="7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(468)</w:t>
            </w:r>
          </w:p>
        </w:tc>
        <w:tc>
          <w:tcPr>
            <w:tcW w:w="2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19</w:t>
            </w:r>
          </w:p>
        </w:tc>
        <w:tc>
          <w:tcPr>
            <w:tcW w:w="24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80" w:type="dxa"/>
            <w:vAlign w:val="bottom"/>
          </w:tcPr>
          <w:p>
            <w:pPr>
              <w:spacing w:after="0"/>
              <w:rPr>
                <w:sz w:val="19"/>
                <w:szCs w:val="19"/>
                <w:color w:val="auto"/>
              </w:rPr>
            </w:pPr>
          </w:p>
        </w:tc>
        <w:tc>
          <w:tcPr>
            <w:tcW w:w="406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Net loss before provision for income taxes</w:t>
            </w:r>
          </w:p>
        </w:tc>
        <w:tc>
          <w:tcPr>
            <w:tcW w:w="1060" w:type="dxa"/>
            <w:vAlign w:val="bottom"/>
            <w:tcBorders>
              <w:top w:val="single" w:sz="8" w:color="CFF0FC"/>
            </w:tcBorders>
            <w:shd w:val="clear" w:color="auto" w:fill="CFF0FC"/>
          </w:tcPr>
          <w:p>
            <w:pPr>
              <w:spacing w:after="0"/>
              <w:rPr>
                <w:sz w:val="19"/>
                <w:szCs w:val="19"/>
                <w:color w:val="auto"/>
              </w:rPr>
            </w:pPr>
          </w:p>
        </w:tc>
        <w:tc>
          <w:tcPr>
            <w:tcW w:w="240" w:type="dxa"/>
            <w:vAlign w:val="bottom"/>
            <w:tcBorders>
              <w:top w:val="single" w:sz="8" w:color="auto"/>
            </w:tcBorders>
            <w:shd w:val="clear" w:color="auto" w:fill="CFF0FC"/>
          </w:tcPr>
          <w:p>
            <w:pPr>
              <w:spacing w:after="0"/>
              <w:rPr>
                <w:sz w:val="19"/>
                <w:szCs w:val="19"/>
                <w:color w:val="auto"/>
              </w:rPr>
            </w:pPr>
          </w:p>
        </w:tc>
        <w:tc>
          <w:tcPr>
            <w:tcW w:w="8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(21,846)</w:t>
            </w:r>
          </w:p>
        </w:tc>
        <w:tc>
          <w:tcPr>
            <w:tcW w:w="80" w:type="dxa"/>
            <w:vAlign w:val="bottom"/>
            <w:tcBorders>
              <w:top w:val="single" w:sz="8" w:color="CFF0FC"/>
            </w:tcBorders>
            <w:shd w:val="clear" w:color="auto" w:fill="CFF0FC"/>
          </w:tcPr>
          <w:p>
            <w:pPr>
              <w:spacing w:after="0"/>
              <w:rPr>
                <w:sz w:val="19"/>
                <w:szCs w:val="19"/>
                <w:color w:val="auto"/>
              </w:rPr>
            </w:pPr>
          </w:p>
        </w:tc>
        <w:tc>
          <w:tcPr>
            <w:tcW w:w="220" w:type="dxa"/>
            <w:vAlign w:val="bottom"/>
            <w:tcBorders>
              <w:top w:val="single" w:sz="8" w:color="CFF0FC"/>
            </w:tcBorders>
            <w:shd w:val="clear" w:color="auto" w:fill="CFF0FC"/>
          </w:tcPr>
          <w:p>
            <w:pPr>
              <w:spacing w:after="0"/>
              <w:rPr>
                <w:sz w:val="19"/>
                <w:szCs w:val="19"/>
                <w:color w:val="auto"/>
              </w:rPr>
            </w:pPr>
          </w:p>
        </w:tc>
        <w:tc>
          <w:tcPr>
            <w:tcW w:w="300" w:type="dxa"/>
            <w:vAlign w:val="bottom"/>
            <w:tcBorders>
              <w:top w:val="single" w:sz="8" w:color="auto"/>
            </w:tcBorders>
            <w:shd w:val="clear" w:color="auto" w:fill="CFF0FC"/>
          </w:tcPr>
          <w:p>
            <w:pPr>
              <w:spacing w:after="0"/>
              <w:rPr>
                <w:sz w:val="19"/>
                <w:szCs w:val="19"/>
                <w:color w:val="auto"/>
              </w:rPr>
            </w:pPr>
          </w:p>
        </w:tc>
        <w:tc>
          <w:tcPr>
            <w:tcW w:w="7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(22,971)</w:t>
            </w:r>
          </w:p>
        </w:tc>
        <w:tc>
          <w:tcPr>
            <w:tcW w:w="200" w:type="dxa"/>
            <w:vAlign w:val="bottom"/>
            <w:tcBorders>
              <w:top w:val="single" w:sz="8" w:color="CFF0FC"/>
            </w:tcBorders>
            <w:shd w:val="clear" w:color="auto" w:fill="CFF0FC"/>
          </w:tcPr>
          <w:p>
            <w:pPr>
              <w:spacing w:after="0"/>
              <w:rPr>
                <w:sz w:val="19"/>
                <w:szCs w:val="19"/>
                <w:color w:val="auto"/>
              </w:rPr>
            </w:pPr>
          </w:p>
        </w:tc>
        <w:tc>
          <w:tcPr>
            <w:tcW w:w="80" w:type="dxa"/>
            <w:vAlign w:val="bottom"/>
            <w:tcBorders>
              <w:top w:val="single" w:sz="8" w:color="CFF0FC"/>
            </w:tcBorders>
            <w:shd w:val="clear" w:color="auto" w:fill="CFF0FC"/>
          </w:tcPr>
          <w:p>
            <w:pPr>
              <w:spacing w:after="0"/>
              <w:rPr>
                <w:sz w:val="19"/>
                <w:szCs w:val="19"/>
                <w:color w:val="auto"/>
              </w:rPr>
            </w:pPr>
          </w:p>
        </w:tc>
        <w:tc>
          <w:tcPr>
            <w:tcW w:w="280" w:type="dxa"/>
            <w:vAlign w:val="bottom"/>
            <w:tcBorders>
              <w:top w:val="single" w:sz="8" w:color="auto"/>
            </w:tcBorders>
            <w:shd w:val="clear" w:color="auto" w:fill="CFF0FC"/>
          </w:tcPr>
          <w:p>
            <w:pPr>
              <w:spacing w:after="0"/>
              <w:rPr>
                <w:sz w:val="19"/>
                <w:szCs w:val="19"/>
                <w:color w:val="auto"/>
              </w:rPr>
            </w:pPr>
          </w:p>
        </w:tc>
        <w:tc>
          <w:tcPr>
            <w:tcW w:w="7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1,125</w:t>
            </w:r>
          </w:p>
        </w:tc>
        <w:tc>
          <w:tcPr>
            <w:tcW w:w="220" w:type="dxa"/>
            <w:vAlign w:val="bottom"/>
            <w:tcBorders>
              <w:top w:val="single" w:sz="8" w:color="CFF0FC"/>
            </w:tcBorders>
            <w:shd w:val="clear" w:color="auto" w:fill="CFF0FC"/>
          </w:tcPr>
          <w:p>
            <w:pPr>
              <w:spacing w:after="0"/>
              <w:rPr>
                <w:sz w:val="19"/>
                <w:szCs w:val="19"/>
                <w:color w:val="auto"/>
              </w:rPr>
            </w:pPr>
          </w:p>
        </w:tc>
        <w:tc>
          <w:tcPr>
            <w:tcW w:w="260" w:type="dxa"/>
            <w:vAlign w:val="bottom"/>
            <w:tcBorders>
              <w:top w:val="single" w:sz="8" w:color="CFF0FC"/>
            </w:tcBorders>
            <w:shd w:val="clear" w:color="auto" w:fill="CFF0FC"/>
          </w:tcPr>
          <w:p>
            <w:pPr>
              <w:spacing w:after="0"/>
              <w:rPr>
                <w:sz w:val="19"/>
                <w:szCs w:val="19"/>
                <w:color w:val="auto"/>
              </w:rPr>
            </w:pPr>
          </w:p>
        </w:tc>
        <w:tc>
          <w:tcPr>
            <w:tcW w:w="980" w:type="dxa"/>
            <w:vAlign w:val="bottom"/>
            <w:tcBorders>
              <w:top w:val="single" w:sz="8" w:color="CFF0FC"/>
            </w:tcBorders>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(5)</w:t>
            </w:r>
          </w:p>
        </w:tc>
        <w:tc>
          <w:tcPr>
            <w:tcW w:w="5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80" w:type="dxa"/>
            <w:vAlign w:val="bottom"/>
          </w:tcPr>
          <w:p>
            <w:pPr>
              <w:spacing w:after="0"/>
              <w:rPr>
                <w:sz w:val="19"/>
                <w:szCs w:val="19"/>
                <w:color w:val="auto"/>
              </w:rPr>
            </w:pPr>
          </w:p>
        </w:tc>
        <w:tc>
          <w:tcPr>
            <w:tcW w:w="4060" w:type="dxa"/>
            <w:vAlign w:val="bottom"/>
          </w:tcPr>
          <w:p>
            <w:pPr>
              <w:spacing w:after="0"/>
              <w:rPr>
                <w:sz w:val="20"/>
                <w:szCs w:val="20"/>
                <w:color w:val="auto"/>
              </w:rPr>
            </w:pPr>
            <w:r>
              <w:rPr>
                <w:rFonts w:ascii="Arial" w:cs="Arial" w:eastAsia="Arial" w:hAnsi="Arial"/>
                <w:sz w:val="18"/>
                <w:szCs w:val="18"/>
                <w:color w:val="auto"/>
              </w:rPr>
              <w:t>Provision for income taxes</w:t>
            </w:r>
          </w:p>
        </w:tc>
        <w:tc>
          <w:tcPr>
            <w:tcW w:w="10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40" w:type="dxa"/>
            <w:vAlign w:val="bottom"/>
            <w:gridSpan w:val="3"/>
          </w:tcPr>
          <w:p>
            <w:pPr>
              <w:jc w:val="right"/>
              <w:ind w:right="500"/>
              <w:spacing w:after="0"/>
              <w:rPr>
                <w:sz w:val="20"/>
                <w:szCs w:val="20"/>
                <w:color w:val="auto"/>
              </w:rPr>
            </w:pPr>
            <w:r>
              <w:rPr>
                <w:rFonts w:ascii="Arial" w:cs="Arial" w:eastAsia="Arial" w:hAnsi="Arial"/>
                <w:sz w:val="18"/>
                <w:szCs w:val="18"/>
                <w:color w:val="auto"/>
              </w:rPr>
              <w:t>—</w:t>
            </w:r>
          </w:p>
        </w:tc>
        <w:tc>
          <w:tcPr>
            <w:tcW w:w="98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5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80" w:type="dxa"/>
            <w:vAlign w:val="bottom"/>
          </w:tcPr>
          <w:p>
            <w:pPr>
              <w:spacing w:after="0"/>
              <w:rPr>
                <w:sz w:val="19"/>
                <w:szCs w:val="19"/>
                <w:color w:val="auto"/>
              </w:rPr>
            </w:pPr>
          </w:p>
        </w:tc>
        <w:tc>
          <w:tcPr>
            <w:tcW w:w="4060" w:type="dxa"/>
            <w:vAlign w:val="bottom"/>
            <w:tcBorders>
              <w:top w:val="single" w:sz="8" w:color="CFF0FC"/>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Net loss</w:t>
            </w:r>
          </w:p>
        </w:tc>
        <w:tc>
          <w:tcPr>
            <w:tcW w:w="1060" w:type="dxa"/>
            <w:vAlign w:val="bottom"/>
            <w:tcBorders>
              <w:top w:val="single" w:sz="8" w:color="CFF0FC"/>
              <w:bottom w:val="single" w:sz="8" w:color="CFF0FC"/>
            </w:tcBorders>
            <w:shd w:val="clear" w:color="auto" w:fill="CFF0FC"/>
          </w:tcPr>
          <w:p>
            <w:pPr>
              <w:spacing w:after="0"/>
              <w:rPr>
                <w:sz w:val="19"/>
                <w:szCs w:val="19"/>
                <w:color w:val="auto"/>
              </w:rPr>
            </w:pPr>
          </w:p>
        </w:tc>
        <w:tc>
          <w:tcPr>
            <w:tcW w:w="240" w:type="dxa"/>
            <w:vAlign w:val="bottom"/>
            <w:tcBorders>
              <w:top w:val="single" w:sz="8" w:color="auto"/>
              <w:bottom w:val="single" w:sz="8" w:color="auto"/>
            </w:tcBorders>
            <w:shd w:val="clear" w:color="auto" w:fill="CFF0FC"/>
          </w:tcPr>
          <w:p>
            <w:pPr>
              <w:jc w:val="right"/>
              <w:ind w:right="85"/>
              <w:spacing w:after="0"/>
              <w:rPr>
                <w:sz w:val="20"/>
                <w:szCs w:val="20"/>
                <w:color w:val="auto"/>
              </w:rPr>
            </w:pPr>
            <w:r>
              <w:rPr>
                <w:rFonts w:ascii="Arial" w:cs="Arial" w:eastAsia="Arial" w:hAnsi="Arial"/>
                <w:sz w:val="15"/>
                <w:szCs w:val="15"/>
                <w:color w:val="auto"/>
                <w:w w:val="71"/>
              </w:rPr>
              <w:t>$</w:t>
            </w:r>
          </w:p>
        </w:tc>
        <w:tc>
          <w:tcPr>
            <w:tcW w:w="8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(21,846)</w:t>
            </w:r>
          </w:p>
        </w:tc>
        <w:tc>
          <w:tcPr>
            <w:tcW w:w="80" w:type="dxa"/>
            <w:vAlign w:val="bottom"/>
            <w:tcBorders>
              <w:top w:val="single" w:sz="8" w:color="CFF0FC"/>
              <w:bottom w:val="single" w:sz="8" w:color="CFF0FC"/>
            </w:tcBorders>
            <w:shd w:val="clear" w:color="auto" w:fill="CFF0FC"/>
          </w:tcPr>
          <w:p>
            <w:pPr>
              <w:spacing w:after="0"/>
              <w:rPr>
                <w:sz w:val="19"/>
                <w:szCs w:val="19"/>
                <w:color w:val="auto"/>
              </w:rPr>
            </w:pPr>
          </w:p>
        </w:tc>
        <w:tc>
          <w:tcPr>
            <w:tcW w:w="220" w:type="dxa"/>
            <w:vAlign w:val="bottom"/>
            <w:tcBorders>
              <w:top w:val="single" w:sz="8" w:color="CFF0FC"/>
              <w:bottom w:val="single" w:sz="8" w:color="CFF0FC"/>
            </w:tcBorders>
            <w:shd w:val="clear" w:color="auto" w:fill="CFF0FC"/>
          </w:tcPr>
          <w:p>
            <w:pPr>
              <w:spacing w:after="0"/>
              <w:rPr>
                <w:sz w:val="19"/>
                <w:szCs w:val="19"/>
                <w:color w:val="auto"/>
              </w:rPr>
            </w:pPr>
          </w:p>
        </w:tc>
        <w:tc>
          <w:tcPr>
            <w:tcW w:w="300" w:type="dxa"/>
            <w:vAlign w:val="bottom"/>
            <w:tcBorders>
              <w:top w:val="single" w:sz="8" w:color="auto"/>
              <w:bottom w:val="single" w:sz="8" w:color="auto"/>
            </w:tcBorders>
            <w:shd w:val="clear" w:color="auto" w:fill="CFF0FC"/>
          </w:tcPr>
          <w:p>
            <w:pPr>
              <w:jc w:val="right"/>
              <w:ind w:right="145"/>
              <w:spacing w:after="0"/>
              <w:rPr>
                <w:sz w:val="20"/>
                <w:szCs w:val="20"/>
                <w:color w:val="auto"/>
              </w:rPr>
            </w:pPr>
            <w:r>
              <w:rPr>
                <w:rFonts w:ascii="Arial" w:cs="Arial" w:eastAsia="Arial" w:hAnsi="Arial"/>
                <w:sz w:val="15"/>
                <w:szCs w:val="15"/>
                <w:color w:val="auto"/>
                <w:w w:val="71"/>
              </w:rPr>
              <w:t>$</w:t>
            </w:r>
          </w:p>
        </w:tc>
        <w:tc>
          <w:tcPr>
            <w:tcW w:w="7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(22,971)</w:t>
            </w:r>
          </w:p>
        </w:tc>
        <w:tc>
          <w:tcPr>
            <w:tcW w:w="200" w:type="dxa"/>
            <w:vAlign w:val="bottom"/>
            <w:tcBorders>
              <w:top w:val="single" w:sz="8" w:color="CFF0FC"/>
              <w:bottom w:val="single" w:sz="8" w:color="CFF0FC"/>
            </w:tcBorders>
            <w:shd w:val="clear" w:color="auto" w:fill="CFF0FC"/>
          </w:tcPr>
          <w:p>
            <w:pPr>
              <w:spacing w:after="0"/>
              <w:rPr>
                <w:sz w:val="19"/>
                <w:szCs w:val="19"/>
                <w:color w:val="auto"/>
              </w:rPr>
            </w:pPr>
          </w:p>
        </w:tc>
        <w:tc>
          <w:tcPr>
            <w:tcW w:w="80" w:type="dxa"/>
            <w:vAlign w:val="bottom"/>
            <w:tcBorders>
              <w:top w:val="single" w:sz="8" w:color="CFF0FC"/>
              <w:bottom w:val="single" w:sz="8" w:color="CFF0FC"/>
            </w:tcBorders>
            <w:shd w:val="clear" w:color="auto" w:fill="CFF0FC"/>
          </w:tcPr>
          <w:p>
            <w:pPr>
              <w:spacing w:after="0"/>
              <w:rPr>
                <w:sz w:val="19"/>
                <w:szCs w:val="19"/>
                <w:color w:val="auto"/>
              </w:rPr>
            </w:pPr>
          </w:p>
        </w:tc>
        <w:tc>
          <w:tcPr>
            <w:tcW w:w="280" w:type="dxa"/>
            <w:vAlign w:val="bottom"/>
            <w:tcBorders>
              <w:top w:val="single" w:sz="8" w:color="auto"/>
              <w:bottom w:val="single" w:sz="8" w:color="auto"/>
            </w:tcBorders>
            <w:shd w:val="clear" w:color="auto" w:fill="CFF0FC"/>
          </w:tcPr>
          <w:p>
            <w:pPr>
              <w:jc w:val="right"/>
              <w:ind w:right="90"/>
              <w:spacing w:after="0"/>
              <w:rPr>
                <w:sz w:val="20"/>
                <w:szCs w:val="20"/>
                <w:color w:val="auto"/>
              </w:rPr>
            </w:pPr>
            <w:r>
              <w:rPr>
                <w:rFonts w:ascii="Arial" w:cs="Arial" w:eastAsia="Arial" w:hAnsi="Arial"/>
                <w:sz w:val="18"/>
                <w:szCs w:val="18"/>
                <w:color w:val="auto"/>
                <w:w w:val="79"/>
              </w:rPr>
              <w:t>$</w:t>
            </w:r>
          </w:p>
        </w:tc>
        <w:tc>
          <w:tcPr>
            <w:tcW w:w="7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1,125</w:t>
            </w:r>
          </w:p>
        </w:tc>
        <w:tc>
          <w:tcPr>
            <w:tcW w:w="220" w:type="dxa"/>
            <w:vAlign w:val="bottom"/>
            <w:tcBorders>
              <w:top w:val="single" w:sz="8" w:color="CFF0FC"/>
              <w:bottom w:val="single" w:sz="8" w:color="CFF0FC"/>
            </w:tcBorders>
            <w:shd w:val="clear" w:color="auto" w:fill="CFF0FC"/>
          </w:tcPr>
          <w:p>
            <w:pPr>
              <w:spacing w:after="0"/>
              <w:rPr>
                <w:sz w:val="19"/>
                <w:szCs w:val="19"/>
                <w:color w:val="auto"/>
              </w:rPr>
            </w:pPr>
          </w:p>
        </w:tc>
        <w:tc>
          <w:tcPr>
            <w:tcW w:w="260" w:type="dxa"/>
            <w:vAlign w:val="bottom"/>
            <w:tcBorders>
              <w:top w:val="single" w:sz="8" w:color="CFF0FC"/>
              <w:bottom w:val="single" w:sz="8" w:color="CFF0FC"/>
            </w:tcBorders>
            <w:shd w:val="clear" w:color="auto" w:fill="CFF0FC"/>
          </w:tcPr>
          <w:p>
            <w:pPr>
              <w:spacing w:after="0"/>
              <w:rPr>
                <w:sz w:val="19"/>
                <w:szCs w:val="19"/>
                <w:color w:val="auto"/>
              </w:rPr>
            </w:pPr>
          </w:p>
        </w:tc>
        <w:tc>
          <w:tcPr>
            <w:tcW w:w="980" w:type="dxa"/>
            <w:vAlign w:val="bottom"/>
            <w:tcBorders>
              <w:top w:val="single" w:sz="8" w:color="CFF0FC"/>
              <w:bottom w:val="single" w:sz="8" w:color="CFF0FC"/>
            </w:tcBorders>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(5)%</w:t>
            </w:r>
          </w:p>
        </w:tc>
        <w:tc>
          <w:tcPr>
            <w:tcW w:w="5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80" w:type="dxa"/>
            <w:vAlign w:val="bottom"/>
          </w:tcPr>
          <w:p>
            <w:pPr>
              <w:spacing w:after="0" w:line="20" w:lineRule="exact"/>
              <w:rPr>
                <w:sz w:val="1"/>
                <w:szCs w:val="1"/>
                <w:color w:val="auto"/>
              </w:rPr>
            </w:pPr>
          </w:p>
        </w:tc>
        <w:tc>
          <w:tcPr>
            <w:tcW w:w="406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58"/>
        </w:trPr>
        <w:tc>
          <w:tcPr>
            <w:tcW w:w="580" w:type="dxa"/>
            <w:vAlign w:val="bottom"/>
          </w:tcPr>
          <w:p>
            <w:pPr>
              <w:spacing w:after="0"/>
              <w:rPr>
                <w:sz w:val="24"/>
                <w:szCs w:val="24"/>
                <w:color w:val="auto"/>
              </w:rPr>
            </w:pPr>
          </w:p>
        </w:tc>
        <w:tc>
          <w:tcPr>
            <w:tcW w:w="4060" w:type="dxa"/>
            <w:vAlign w:val="bottom"/>
          </w:tcPr>
          <w:p>
            <w:pPr>
              <w:spacing w:after="0"/>
              <w:rPr>
                <w:sz w:val="24"/>
                <w:szCs w:val="24"/>
                <w:color w:val="auto"/>
              </w:rPr>
            </w:pPr>
          </w:p>
        </w:tc>
        <w:tc>
          <w:tcPr>
            <w:tcW w:w="1300" w:type="dxa"/>
            <w:vAlign w:val="bottom"/>
            <w:gridSpan w:val="2"/>
          </w:tcPr>
          <w:p>
            <w:pPr>
              <w:jc w:val="right"/>
              <w:ind w:right="65"/>
              <w:spacing w:after="0"/>
              <w:rPr>
                <w:sz w:val="20"/>
                <w:szCs w:val="20"/>
                <w:color w:val="auto"/>
              </w:rPr>
            </w:pPr>
            <w:r>
              <w:rPr>
                <w:rFonts w:ascii="Arial" w:cs="Arial" w:eastAsia="Arial" w:hAnsi="Arial"/>
                <w:sz w:val="18"/>
                <w:szCs w:val="18"/>
                <w:color w:val="auto"/>
              </w:rPr>
              <w:t>65</w:t>
            </w:r>
          </w:p>
        </w:tc>
        <w:tc>
          <w:tcPr>
            <w:tcW w:w="8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580" w:type="dxa"/>
            <w:vAlign w:val="bottom"/>
            <w:tcBorders>
              <w:bottom w:val="single" w:sz="8" w:color="9A9A9A"/>
            </w:tcBorders>
          </w:tcPr>
          <w:p>
            <w:pPr>
              <w:spacing w:after="0"/>
              <w:rPr>
                <w:sz w:val="10"/>
                <w:szCs w:val="10"/>
                <w:color w:val="auto"/>
              </w:rPr>
            </w:pPr>
          </w:p>
        </w:tc>
        <w:tc>
          <w:tcPr>
            <w:tcW w:w="4060" w:type="dxa"/>
            <w:vAlign w:val="bottom"/>
            <w:tcBorders>
              <w:bottom w:val="single" w:sz="8" w:color="9A9A9A"/>
            </w:tcBorders>
          </w:tcPr>
          <w:p>
            <w:pPr>
              <w:spacing w:after="0"/>
              <w:rPr>
                <w:sz w:val="10"/>
                <w:szCs w:val="10"/>
                <w:color w:val="auto"/>
              </w:rPr>
            </w:pPr>
          </w:p>
        </w:tc>
        <w:tc>
          <w:tcPr>
            <w:tcW w:w="1060" w:type="dxa"/>
            <w:vAlign w:val="bottom"/>
            <w:tcBorders>
              <w:bottom w:val="single" w:sz="8" w:color="9A9A9A"/>
            </w:tcBorders>
          </w:tcPr>
          <w:p>
            <w:pPr>
              <w:spacing w:after="0"/>
              <w:rPr>
                <w:sz w:val="10"/>
                <w:szCs w:val="10"/>
                <w:color w:val="auto"/>
              </w:rPr>
            </w:pPr>
          </w:p>
        </w:tc>
        <w:tc>
          <w:tcPr>
            <w:tcW w:w="240" w:type="dxa"/>
            <w:vAlign w:val="bottom"/>
            <w:tcBorders>
              <w:bottom w:val="single" w:sz="8" w:color="9A9A9A"/>
            </w:tcBorders>
          </w:tcPr>
          <w:p>
            <w:pPr>
              <w:spacing w:after="0"/>
              <w:rPr>
                <w:sz w:val="10"/>
                <w:szCs w:val="10"/>
                <w:color w:val="auto"/>
              </w:rPr>
            </w:pPr>
          </w:p>
        </w:tc>
        <w:tc>
          <w:tcPr>
            <w:tcW w:w="80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300" w:type="dxa"/>
            <w:vAlign w:val="bottom"/>
            <w:tcBorders>
              <w:bottom w:val="single" w:sz="8" w:color="9A9A9A"/>
            </w:tcBorders>
          </w:tcPr>
          <w:p>
            <w:pPr>
              <w:spacing w:after="0"/>
              <w:rPr>
                <w:sz w:val="10"/>
                <w:szCs w:val="10"/>
                <w:color w:val="auto"/>
              </w:rPr>
            </w:pPr>
          </w:p>
        </w:tc>
        <w:tc>
          <w:tcPr>
            <w:tcW w:w="740" w:type="dxa"/>
            <w:vAlign w:val="bottom"/>
            <w:tcBorders>
              <w:bottom w:val="single" w:sz="8" w:color="9A9A9A"/>
            </w:tcBorders>
          </w:tcPr>
          <w:p>
            <w:pPr>
              <w:spacing w:after="0"/>
              <w:rPr>
                <w:sz w:val="10"/>
                <w:szCs w:val="10"/>
                <w:color w:val="auto"/>
              </w:rPr>
            </w:pPr>
          </w:p>
        </w:tc>
        <w:tc>
          <w:tcPr>
            <w:tcW w:w="20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280" w:type="dxa"/>
            <w:vAlign w:val="bottom"/>
            <w:tcBorders>
              <w:bottom w:val="single" w:sz="8" w:color="9A9A9A"/>
            </w:tcBorders>
          </w:tcPr>
          <w:p>
            <w:pPr>
              <w:spacing w:after="0"/>
              <w:rPr>
                <w:sz w:val="10"/>
                <w:szCs w:val="10"/>
                <w:color w:val="auto"/>
              </w:rPr>
            </w:pPr>
          </w:p>
        </w:tc>
        <w:tc>
          <w:tcPr>
            <w:tcW w:w="76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260" w:type="dxa"/>
            <w:vAlign w:val="bottom"/>
            <w:tcBorders>
              <w:bottom w:val="single" w:sz="8" w:color="9A9A9A"/>
            </w:tcBorders>
          </w:tcPr>
          <w:p>
            <w:pPr>
              <w:spacing w:after="0"/>
              <w:rPr>
                <w:sz w:val="10"/>
                <w:szCs w:val="10"/>
                <w:color w:val="auto"/>
              </w:rPr>
            </w:pPr>
          </w:p>
        </w:tc>
        <w:tc>
          <w:tcPr>
            <w:tcW w:w="740" w:type="dxa"/>
            <w:vAlign w:val="bottom"/>
            <w:tcBorders>
              <w:bottom w:val="single" w:sz="8" w:color="9A9A9A"/>
            </w:tcBorders>
          </w:tcPr>
          <w:p>
            <w:pPr>
              <w:spacing w:after="0"/>
              <w:rPr>
                <w:sz w:val="10"/>
                <w:szCs w:val="10"/>
                <w:color w:val="auto"/>
              </w:rPr>
            </w:pPr>
          </w:p>
        </w:tc>
        <w:tc>
          <w:tcPr>
            <w:tcW w:w="240" w:type="dxa"/>
            <w:vAlign w:val="bottom"/>
            <w:tcBorders>
              <w:bottom w:val="single" w:sz="8" w:color="9A9A9A"/>
            </w:tcBorders>
          </w:tcPr>
          <w:p>
            <w:pPr>
              <w:spacing w:after="0"/>
              <w:rPr>
                <w:sz w:val="10"/>
                <w:szCs w:val="10"/>
                <w:color w:val="auto"/>
              </w:rPr>
            </w:pPr>
          </w:p>
        </w:tc>
        <w:tc>
          <w:tcPr>
            <w:tcW w:w="58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7247255</wp:posOffset>
            </wp:positionH>
            <wp:positionV relativeFrom="paragraph">
              <wp:posOffset>-29210</wp:posOffset>
            </wp:positionV>
            <wp:extent cx="34290" cy="4254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440"/>
          </w:cols>
          <w:pgMar w:left="240" w:top="490" w:right="219" w:bottom="1440" w:gutter="0" w:footer="0" w:header="0"/>
        </w:sectPr>
      </w:pPr>
    </w:p>
    <w:bookmarkStart w:id="66" w:name="page67"/>
    <w:bookmarkEnd w:id="66"/>
    <w:p>
      <w:pPr>
        <w:spacing w:after="0"/>
        <w:rPr>
          <w:sz w:val="20"/>
          <w:szCs w:val="20"/>
          <w:color w:val="auto"/>
        </w:rPr>
      </w:pPr>
      <w:r>
        <w:rPr>
          <w:rFonts w:ascii="Arial" w:cs="Arial" w:eastAsia="Arial" w:hAnsi="Arial"/>
          <w:sz w:val="18"/>
          <w:szCs w:val="18"/>
          <w:b w:val="1"/>
          <w:bCs w:val="1"/>
          <w:i w:val="1"/>
          <w:iCs w:val="1"/>
          <w:color w:val="231F20"/>
        </w:rPr>
        <w:t>Revenue, Net</w:t>
      </w:r>
    </w:p>
    <w:p>
      <w:pPr>
        <w:spacing w:after="0" w:line="117" w:lineRule="exact"/>
        <w:rPr>
          <w:sz w:val="20"/>
          <w:szCs w:val="20"/>
          <w:color w:val="auto"/>
        </w:rPr>
      </w:pPr>
    </w:p>
    <w:p>
      <w:pPr>
        <w:ind w:right="40"/>
        <w:spacing w:after="0" w:line="271" w:lineRule="auto"/>
        <w:rPr>
          <w:sz w:val="20"/>
          <w:szCs w:val="20"/>
          <w:color w:val="auto"/>
        </w:rPr>
      </w:pPr>
      <w:r>
        <w:rPr>
          <w:rFonts w:ascii="Arial" w:cs="Arial" w:eastAsia="Arial" w:hAnsi="Arial"/>
          <w:sz w:val="17"/>
          <w:szCs w:val="17"/>
          <w:color w:val="auto"/>
        </w:rPr>
        <w:t>Revenue decreased $1.6 million, or 9%, to $15.6 million in 2016, compared to $17.2 million in 2015. System revenue decreased $3.4 million, or 32%, to $7.2 million in 2016, compared to $10.6 million in 2015. The decrease was primarily attributable to decreased unit sales as we sold 32 ARTAS systems in 2016, compared to 46 ARTAS systems in 2015 as a result of our implementation of certain strategic changes in our U.S. sales force in 2016, which disrupted some sales activities during this period. The average sales price of the ARTAS System for 2016 decreased slightly compared to the average sales price during 2015 due to changes in the mix of geographical regions where systems were sold. Procedure based fees increased $1.1 million, or 19%, to $6.9 million in 2016, compared to $5.8 million in 2015, primarily as a result of a higher number of ARTAS procedures due to a larger installed base. Service related fees increased $0.6 million, or 67%, to $1.5 million in 2016, compared to $0.9 million in 2015, primarily due to the increase in post-warranty maintenance contracts sold as a result of the larger installed base.</w:t>
      </w:r>
    </w:p>
    <w:p>
      <w:pPr>
        <w:spacing w:after="0" w:line="11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231F20"/>
        </w:rPr>
        <w:t>Cost of Revenue</w:t>
      </w:r>
    </w:p>
    <w:p>
      <w:pPr>
        <w:spacing w:after="0" w:line="117" w:lineRule="exact"/>
        <w:rPr>
          <w:sz w:val="20"/>
          <w:szCs w:val="20"/>
          <w:color w:val="auto"/>
        </w:rPr>
      </w:pPr>
    </w:p>
    <w:p>
      <w:pPr>
        <w:ind w:right="160"/>
        <w:spacing w:after="0" w:line="257" w:lineRule="auto"/>
        <w:rPr>
          <w:sz w:val="20"/>
          <w:szCs w:val="20"/>
          <w:color w:val="auto"/>
        </w:rPr>
      </w:pPr>
      <w:r>
        <w:rPr>
          <w:rFonts w:ascii="Arial" w:cs="Arial" w:eastAsia="Arial" w:hAnsi="Arial"/>
          <w:sz w:val="18"/>
          <w:szCs w:val="18"/>
          <w:color w:val="auto"/>
        </w:rPr>
        <w:t>Cost of revenue decreased $2.1 million to $10.4 million in 2016, compared to $12.5 million in 2015, primarily as a result of the decrease in the number of ARTAS Systems sold during the year. Gross margin increased to 33% in 2016, compared to 27% in 2015. The increase in gross margin was primarily due to increase in service-related fees from maintenance contracts as a result of the larger installed base while related customer support costs spending remained relatively flat. Similarly, there was an increase in procedure based fees, which did not result in significant incremental costs due to reduction in costs of disposable kits.</w:t>
      </w:r>
    </w:p>
    <w:p>
      <w:pPr>
        <w:spacing w:after="0" w:line="10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231F20"/>
        </w:rPr>
        <w:t>Research and Development</w:t>
      </w:r>
    </w:p>
    <w:p>
      <w:pPr>
        <w:spacing w:after="0" w:line="117" w:lineRule="exact"/>
        <w:rPr>
          <w:sz w:val="20"/>
          <w:szCs w:val="20"/>
          <w:color w:val="auto"/>
        </w:rPr>
      </w:pPr>
    </w:p>
    <w:p>
      <w:pPr>
        <w:ind w:right="240"/>
        <w:spacing w:after="0" w:line="277" w:lineRule="auto"/>
        <w:rPr>
          <w:sz w:val="20"/>
          <w:szCs w:val="20"/>
          <w:color w:val="auto"/>
        </w:rPr>
      </w:pPr>
      <w:r>
        <w:rPr>
          <w:rFonts w:ascii="Arial" w:cs="Arial" w:eastAsia="Arial" w:hAnsi="Arial"/>
          <w:sz w:val="18"/>
          <w:szCs w:val="18"/>
          <w:color w:val="auto"/>
        </w:rPr>
        <w:t>Research and development expenses increased $0.1 million to $7.5 million in 2016, compared to $7.4 million in 2015. The increase was related to salaries, benefits and consulting expenses related to on-going research and development activity.</w:t>
      </w:r>
    </w:p>
    <w:p>
      <w:pPr>
        <w:spacing w:after="0" w:line="10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231F20"/>
        </w:rPr>
        <w:t>Sales and Marketing</w:t>
      </w:r>
    </w:p>
    <w:p>
      <w:pPr>
        <w:spacing w:after="0" w:line="117" w:lineRule="exact"/>
        <w:rPr>
          <w:sz w:val="20"/>
          <w:szCs w:val="20"/>
          <w:color w:val="auto"/>
        </w:rPr>
      </w:pPr>
    </w:p>
    <w:p>
      <w:pPr>
        <w:ind w:right="120"/>
        <w:spacing w:after="0" w:line="259" w:lineRule="auto"/>
        <w:rPr>
          <w:sz w:val="20"/>
          <w:szCs w:val="20"/>
          <w:color w:val="auto"/>
        </w:rPr>
      </w:pPr>
      <w:r>
        <w:rPr>
          <w:rFonts w:ascii="Arial" w:cs="Arial" w:eastAsia="Arial" w:hAnsi="Arial"/>
          <w:sz w:val="18"/>
          <w:szCs w:val="18"/>
          <w:color w:val="auto"/>
        </w:rPr>
        <w:t>Sales and marketing expenses decreased $2.1 million to $12.5 million in 2016, compared to $14.6 million in 2015. The reduction was primarily due to lower personnel-related costs due to reduced headcount which resulted in a decrease of $1.3 million, as well as a reduction in spending on advertising and other marketing activities, as a result of our ongoing effort to be more efficient and cost effective in connection with marketing spending which resulted in a decrease of $0.8 million.</w:t>
      </w:r>
    </w:p>
    <w:p>
      <w:pPr>
        <w:spacing w:after="0" w:line="11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231F20"/>
        </w:rPr>
        <w:t>General and Administrative</w:t>
      </w:r>
    </w:p>
    <w:p>
      <w:pPr>
        <w:spacing w:after="0" w:line="117" w:lineRule="exact"/>
        <w:rPr>
          <w:sz w:val="20"/>
          <w:szCs w:val="20"/>
          <w:color w:val="auto"/>
        </w:rPr>
      </w:pPr>
    </w:p>
    <w:p>
      <w:pPr>
        <w:spacing w:after="0" w:line="308" w:lineRule="auto"/>
        <w:rPr>
          <w:sz w:val="20"/>
          <w:szCs w:val="20"/>
          <w:color w:val="auto"/>
        </w:rPr>
      </w:pPr>
      <w:r>
        <w:rPr>
          <w:rFonts w:ascii="Arial" w:cs="Arial" w:eastAsia="Arial" w:hAnsi="Arial"/>
          <w:sz w:val="17"/>
          <w:szCs w:val="17"/>
          <w:color w:val="auto"/>
        </w:rPr>
        <w:t>General and administrative expenses increased $0.9 million to $4.1 million in 2016, compared to $3.2 million in 2015. The increase was primarily attributable to $0.5 million in severance expenses related to the departure of our former CEO, and $0.4 million of increased personnel-related costs.</w:t>
      </w:r>
    </w:p>
    <w:p>
      <w:pPr>
        <w:spacing w:after="0" w:line="6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231F20"/>
        </w:rPr>
        <w:t>Interest Expense</w:t>
      </w:r>
    </w:p>
    <w:p>
      <w:pPr>
        <w:spacing w:after="0" w:line="117" w:lineRule="exact"/>
        <w:rPr>
          <w:sz w:val="20"/>
          <w:szCs w:val="20"/>
          <w:color w:val="auto"/>
        </w:rPr>
      </w:pPr>
    </w:p>
    <w:p>
      <w:pPr>
        <w:ind w:right="60"/>
        <w:spacing w:after="0" w:line="279" w:lineRule="auto"/>
        <w:rPr>
          <w:sz w:val="20"/>
          <w:szCs w:val="20"/>
          <w:color w:val="auto"/>
        </w:rPr>
      </w:pPr>
      <w:r>
        <w:rPr>
          <w:rFonts w:ascii="Arial" w:cs="Arial" w:eastAsia="Arial" w:hAnsi="Arial"/>
          <w:sz w:val="17"/>
          <w:szCs w:val="17"/>
          <w:color w:val="auto"/>
        </w:rPr>
        <w:t>Interest expense decreased $0.4 million to $2.5 million in 2016, compared to $2.9 million in 2015. The decrease was mainly due to incurring $0.7 million of interest expense related to the early termination of our loans with Comerica Bank and Triple Point Capital in May 2015, with no similar expense recorded during 2016. The increase was offset primarily by higher interest expense related to our loan agreement with Oxford Finance LLC, or Oxford, due to a higher interest rate and outstanding balance when compared to our loans with Comerica Bank and Triple Point Capital.</w:t>
      </w:r>
    </w:p>
    <w:p>
      <w:pPr>
        <w:spacing w:after="0" w:line="10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231F20"/>
        </w:rPr>
        <w:t>Other Income (Expense), Net</w:t>
      </w:r>
    </w:p>
    <w:p>
      <w:pPr>
        <w:spacing w:after="0" w:line="117" w:lineRule="exact"/>
        <w:rPr>
          <w:sz w:val="20"/>
          <w:szCs w:val="20"/>
          <w:color w:val="auto"/>
        </w:rPr>
      </w:pPr>
    </w:p>
    <w:p>
      <w:pPr>
        <w:spacing w:after="0" w:line="264" w:lineRule="auto"/>
        <w:rPr>
          <w:sz w:val="20"/>
          <w:szCs w:val="20"/>
          <w:color w:val="auto"/>
        </w:rPr>
      </w:pPr>
      <w:r>
        <w:rPr>
          <w:rFonts w:ascii="Arial" w:cs="Arial" w:eastAsia="Arial" w:hAnsi="Arial"/>
          <w:sz w:val="18"/>
          <w:szCs w:val="18"/>
          <w:color w:val="auto"/>
        </w:rPr>
        <w:t>Other income (expense), net decreased $0.9 million to $0.4 million of expense in 2016, compared to $0.5 million of income in 2015. The decrease was mainly due to the change in fair value of our convertible preferred stock warrant liability, resulting in expense of $0.3 million in 2016 compared to income of $0.6 million in 2015.</w:t>
      </w:r>
    </w:p>
    <w:p>
      <w:pPr>
        <w:spacing w:after="0" w:line="200" w:lineRule="exact"/>
        <w:rPr>
          <w:sz w:val="20"/>
          <w:szCs w:val="20"/>
          <w:color w:val="auto"/>
        </w:rPr>
      </w:pP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41" w:right="239" w:bottom="1440" w:gutter="0" w:footer="0" w:header="0"/>
        </w:sectPr>
      </w:pPr>
    </w:p>
    <w:bookmarkStart w:id="67" w:name="page68"/>
    <w:bookmarkEnd w:id="67"/>
    <w:p>
      <w:pPr>
        <w:spacing w:after="0"/>
        <w:rPr>
          <w:sz w:val="20"/>
          <w:szCs w:val="20"/>
          <w:color w:val="auto"/>
        </w:rPr>
      </w:pPr>
      <w:r>
        <w:rPr>
          <w:rFonts w:ascii="Arial" w:cs="Arial" w:eastAsia="Arial" w:hAnsi="Arial"/>
          <w:sz w:val="18"/>
          <w:szCs w:val="18"/>
          <w:b w:val="1"/>
          <w:bCs w:val="1"/>
          <w:color w:val="231F20"/>
        </w:rPr>
        <w:t>Liquidity and Capital Resources</w:t>
      </w:r>
    </w:p>
    <w:p>
      <w:pPr>
        <w:spacing w:after="0" w:line="121" w:lineRule="exact"/>
        <w:rPr>
          <w:sz w:val="20"/>
          <w:szCs w:val="20"/>
          <w:color w:val="auto"/>
        </w:rPr>
      </w:pPr>
    </w:p>
    <w:p>
      <w:pPr>
        <w:jc w:val="both"/>
        <w:ind w:right="60"/>
        <w:spacing w:after="0" w:line="264" w:lineRule="auto"/>
        <w:rPr>
          <w:sz w:val="20"/>
          <w:szCs w:val="20"/>
          <w:color w:val="auto"/>
        </w:rPr>
      </w:pPr>
      <w:r>
        <w:rPr>
          <w:rFonts w:ascii="Arial" w:cs="Arial" w:eastAsia="Arial" w:hAnsi="Arial"/>
          <w:sz w:val="18"/>
          <w:szCs w:val="18"/>
          <w:color w:val="auto"/>
        </w:rPr>
        <w:t>To date, we have incurred significant net losses and negative cash flows from operations. Our net loss was $17.8 million, $21.8 million, and $23.0 million for the years ended December 31, 2017, 2016 and 2015, respectively. As of December 31, 2017, we had an accumulated deficit of $164.5 million. Our principal sources of liquidity as of December 31, 2017 were cash and cash equivalents of $23.5 million.</w:t>
      </w:r>
    </w:p>
    <w:p>
      <w:pPr>
        <w:spacing w:after="0" w:line="73" w:lineRule="exact"/>
        <w:rPr>
          <w:sz w:val="20"/>
          <w:szCs w:val="20"/>
          <w:color w:val="auto"/>
        </w:rPr>
      </w:pPr>
    </w:p>
    <w:p>
      <w:pPr>
        <w:ind w:right="320"/>
        <w:spacing w:after="0" w:line="286" w:lineRule="auto"/>
        <w:rPr>
          <w:sz w:val="20"/>
          <w:szCs w:val="20"/>
          <w:color w:val="auto"/>
        </w:rPr>
      </w:pPr>
      <w:r>
        <w:rPr>
          <w:rFonts w:ascii="Arial" w:cs="Arial" w:eastAsia="Arial" w:hAnsi="Arial"/>
          <w:sz w:val="17"/>
          <w:szCs w:val="17"/>
          <w:color w:val="auto"/>
        </w:rPr>
        <w:t>In October 2017, we closed our IPO and sold an aggregate of 3,897,910 shares of its common stock, (inclusive of 322,910 shares of common stock issued pursuant to the exercise of the underwriters’ option to purchase additional shares) at a price of $7.00 per share. We received aggregate cash proceeds of approximately $22.1 million from the IPO, net of underwriting discounts and commissions and offering costs.</w:t>
      </w:r>
    </w:p>
    <w:p>
      <w:pPr>
        <w:spacing w:after="0" w:line="84" w:lineRule="exact"/>
        <w:rPr>
          <w:sz w:val="20"/>
          <w:szCs w:val="20"/>
          <w:color w:val="auto"/>
        </w:rPr>
      </w:pPr>
    </w:p>
    <w:p>
      <w:pPr>
        <w:spacing w:after="0"/>
        <w:rPr>
          <w:sz w:val="20"/>
          <w:szCs w:val="20"/>
          <w:color w:val="auto"/>
        </w:rPr>
      </w:pPr>
      <w:r>
        <w:rPr>
          <w:rFonts w:ascii="Arial" w:cs="Arial" w:eastAsia="Arial" w:hAnsi="Arial"/>
          <w:sz w:val="18"/>
          <w:szCs w:val="18"/>
          <w:i w:val="1"/>
          <w:iCs w:val="1"/>
          <w:color w:val="231F20"/>
        </w:rPr>
        <w:t>Debt Obligations</w:t>
      </w:r>
    </w:p>
    <w:p>
      <w:pPr>
        <w:spacing w:after="0" w:line="117" w:lineRule="exact"/>
        <w:rPr>
          <w:sz w:val="20"/>
          <w:szCs w:val="20"/>
          <w:color w:val="auto"/>
        </w:rPr>
      </w:pPr>
    </w:p>
    <w:p>
      <w:pPr>
        <w:ind w:right="60"/>
        <w:spacing w:after="0" w:line="290" w:lineRule="auto"/>
        <w:rPr>
          <w:sz w:val="20"/>
          <w:szCs w:val="20"/>
          <w:color w:val="auto"/>
        </w:rPr>
      </w:pPr>
      <w:r>
        <w:rPr>
          <w:rFonts w:ascii="Arial" w:cs="Arial" w:eastAsia="Arial" w:hAnsi="Arial"/>
          <w:sz w:val="16"/>
          <w:szCs w:val="16"/>
          <w:color w:val="auto"/>
        </w:rPr>
        <w:t>In May 2015, we entered into a loan and security agreement with Oxford pursuant to which we borrowed $20 million. The loan will mature in July 2019. The loan with Oxford accrues interest at prime plus 8.5% per annum. Prior to January 1, 2017, only accrued interest on the borrowed amounts was due and payable on a monthly basis, with any outstanding accrued but unpaid interest being payable on the date we borrowed any additional amounts pursuant to the loan agreement if such funding date was not a regular interest payment date. Following January 1, 2017, the outstanding principal amounts on the borrowed amounts, plus accrued and unpaid interest, was due and payable in equal monthly amounts pursuant to a repayment schedule of 30 equal monthly payments such that all amounts outstanding are repaid on or by July 1, 2019. Our obligations under the loan with Oxford are secured by all of our current and future assets, excluding any of our intellectual property. The outstanding principal balance on the Oxford loan was $13.3 million as of December 31, 2017. The loan agreement with Oxford contains various covenants. As of December 31, 2017, we were in compliance with all required covenants.</w:t>
      </w:r>
    </w:p>
    <w:p>
      <w:pPr>
        <w:spacing w:after="0" w:line="58" w:lineRule="exact"/>
        <w:rPr>
          <w:sz w:val="20"/>
          <w:szCs w:val="20"/>
          <w:color w:val="auto"/>
        </w:rPr>
      </w:pPr>
    </w:p>
    <w:p>
      <w:pPr>
        <w:ind w:right="600"/>
        <w:spacing w:after="0" w:line="274" w:lineRule="auto"/>
        <w:rPr>
          <w:sz w:val="20"/>
          <w:szCs w:val="20"/>
          <w:color w:val="auto"/>
        </w:rPr>
      </w:pPr>
      <w:r>
        <w:rPr>
          <w:rFonts w:ascii="Arial" w:cs="Arial" w:eastAsia="Arial" w:hAnsi="Arial"/>
          <w:sz w:val="17"/>
          <w:szCs w:val="17"/>
          <w:color w:val="auto"/>
        </w:rPr>
        <w:t>In September 2017, we issued $5.0 million in subordinated convertible notes (Convertible Notes) that accrued interest at 5.0% per annum, in a private placement transaction with certain of our existing stockholders and their affiliated entities, including investors affiliated with certain of our</w:t>
      </w:r>
    </w:p>
    <w:p>
      <w:pPr>
        <w:ind w:right="280"/>
        <w:spacing w:after="0" w:line="255" w:lineRule="auto"/>
        <w:rPr>
          <w:sz w:val="20"/>
          <w:szCs w:val="20"/>
          <w:color w:val="auto"/>
        </w:rPr>
      </w:pPr>
      <w:r>
        <w:rPr>
          <w:rFonts w:ascii="Arial" w:cs="Arial" w:eastAsia="Arial" w:hAnsi="Arial"/>
          <w:sz w:val="18"/>
          <w:szCs w:val="18"/>
          <w:color w:val="auto"/>
        </w:rPr>
        <w:t>directors. Pursuant to the terms of the Convertible Notes, the aggregate outstanding principal and unpaid but accrued interest automatically converted into 718,184 shares of the Company’s common stock upon the consummation of the IPO. There was no outstanding balance on the Convertible Notes as of December 31, 2017.</w:t>
      </w:r>
    </w:p>
    <w:p>
      <w:pPr>
        <w:spacing w:after="0" w:line="123" w:lineRule="exact"/>
        <w:rPr>
          <w:sz w:val="20"/>
          <w:szCs w:val="20"/>
          <w:color w:val="auto"/>
        </w:rPr>
      </w:pPr>
    </w:p>
    <w:p>
      <w:pPr>
        <w:spacing w:after="0"/>
        <w:rPr>
          <w:sz w:val="20"/>
          <w:szCs w:val="20"/>
          <w:color w:val="auto"/>
        </w:rPr>
      </w:pPr>
      <w:r>
        <w:rPr>
          <w:rFonts w:ascii="Arial" w:cs="Arial" w:eastAsia="Arial" w:hAnsi="Arial"/>
          <w:sz w:val="18"/>
          <w:szCs w:val="18"/>
          <w:i w:val="1"/>
          <w:iCs w:val="1"/>
          <w:color w:val="231F20"/>
        </w:rPr>
        <w:t>Capital Resources</w:t>
      </w:r>
    </w:p>
    <w:p>
      <w:pPr>
        <w:spacing w:after="0" w:line="117" w:lineRule="exact"/>
        <w:rPr>
          <w:sz w:val="20"/>
          <w:szCs w:val="20"/>
          <w:color w:val="auto"/>
        </w:rPr>
      </w:pPr>
    </w:p>
    <w:p>
      <w:pPr>
        <w:spacing w:after="0" w:line="272" w:lineRule="auto"/>
        <w:rPr>
          <w:sz w:val="20"/>
          <w:szCs w:val="20"/>
          <w:color w:val="auto"/>
        </w:rPr>
      </w:pPr>
      <w:r>
        <w:rPr>
          <w:rFonts w:ascii="Arial" w:cs="Arial" w:eastAsia="Arial" w:hAnsi="Arial"/>
          <w:sz w:val="17"/>
          <w:szCs w:val="17"/>
          <w:color w:val="auto"/>
        </w:rPr>
        <w:t>We have financed our operations principally through the issuance and sale of our common stock in our IPO, private placements of our equity securities, and to a lesser extent, secured debt financing, exercises of our common stock warrants, and payments from customers. We anticipate that our existing cash and cash equivalents and cash generated from sales of our products, will not be sufficient to fund our current operating plans through the next 12 months. We based our projections on the amount of time through which our financial resources will be adequate to support our operations on assumptions that may prove to be incorrect and we may use all our available capital resources sooner than we expect. Because of the numerous risks and uncertainties associated with the ongoing commercialization of the ARTAS System, we are unable to estimate the exact amount of our operating capital requirements. Our future funding requirements will depend on many factors, including, but not limited to:</w:t>
      </w:r>
    </w:p>
    <w:p>
      <w:pPr>
        <w:spacing w:after="0" w:line="70" w:lineRule="exact"/>
        <w:rPr>
          <w:sz w:val="20"/>
          <w:szCs w:val="20"/>
          <w:color w:val="auto"/>
        </w:rPr>
      </w:pPr>
    </w:p>
    <w:p>
      <w:pPr>
        <w:ind w:left="1100" w:hanging="363"/>
        <w:spacing w:after="0"/>
        <w:tabs>
          <w:tab w:leader="none" w:pos="1100" w:val="left"/>
        </w:tabs>
        <w:numPr>
          <w:ilvl w:val="0"/>
          <w:numId w:val="50"/>
        </w:numPr>
        <w:rPr>
          <w:rFonts w:ascii="Arial" w:cs="Arial" w:eastAsia="Arial" w:hAnsi="Arial"/>
          <w:sz w:val="16"/>
          <w:szCs w:val="16"/>
          <w:color w:val="231F20"/>
        </w:rPr>
      </w:pPr>
      <w:r>
        <w:rPr>
          <w:rFonts w:ascii="Arial" w:cs="Arial" w:eastAsia="Arial" w:hAnsi="Arial"/>
          <w:sz w:val="18"/>
          <w:szCs w:val="18"/>
          <w:color w:val="231F20"/>
        </w:rPr>
        <w:t>the revenue we generate from our operations;</w:t>
      </w:r>
    </w:p>
    <w:p>
      <w:pPr>
        <w:spacing w:after="0" w:line="117" w:lineRule="exact"/>
        <w:rPr>
          <w:rFonts w:ascii="Arial" w:cs="Arial" w:eastAsia="Arial" w:hAnsi="Arial"/>
          <w:sz w:val="16"/>
          <w:szCs w:val="16"/>
          <w:color w:val="231F20"/>
        </w:rPr>
      </w:pPr>
    </w:p>
    <w:p>
      <w:pPr>
        <w:ind w:left="1100" w:hanging="363"/>
        <w:spacing w:after="0"/>
        <w:tabs>
          <w:tab w:leader="none" w:pos="1100" w:val="left"/>
        </w:tabs>
        <w:numPr>
          <w:ilvl w:val="0"/>
          <w:numId w:val="50"/>
        </w:numPr>
        <w:rPr>
          <w:rFonts w:ascii="Arial" w:cs="Arial" w:eastAsia="Arial" w:hAnsi="Arial"/>
          <w:sz w:val="16"/>
          <w:szCs w:val="16"/>
          <w:color w:val="231F20"/>
        </w:rPr>
      </w:pPr>
      <w:r>
        <w:rPr>
          <w:rFonts w:ascii="Arial" w:cs="Arial" w:eastAsia="Arial" w:hAnsi="Arial"/>
          <w:sz w:val="18"/>
          <w:szCs w:val="18"/>
          <w:color w:val="231F20"/>
        </w:rPr>
        <w:t>the scope and timing of our investment in our commercial infrastructure and salesforce;</w:t>
      </w:r>
    </w:p>
    <w:p>
      <w:pPr>
        <w:spacing w:after="0" w:line="117" w:lineRule="exact"/>
        <w:rPr>
          <w:rFonts w:ascii="Arial" w:cs="Arial" w:eastAsia="Arial" w:hAnsi="Arial"/>
          <w:sz w:val="16"/>
          <w:szCs w:val="16"/>
          <w:color w:val="231F20"/>
        </w:rPr>
      </w:pPr>
    </w:p>
    <w:p>
      <w:pPr>
        <w:ind w:left="1100" w:hanging="363"/>
        <w:spacing w:after="0"/>
        <w:tabs>
          <w:tab w:leader="none" w:pos="1100" w:val="left"/>
        </w:tabs>
        <w:numPr>
          <w:ilvl w:val="0"/>
          <w:numId w:val="50"/>
        </w:numPr>
        <w:rPr>
          <w:rFonts w:ascii="Arial" w:cs="Arial" w:eastAsia="Arial" w:hAnsi="Arial"/>
          <w:sz w:val="16"/>
          <w:szCs w:val="16"/>
          <w:color w:val="231F20"/>
        </w:rPr>
      </w:pPr>
      <w:r>
        <w:rPr>
          <w:rFonts w:ascii="Arial" w:cs="Arial" w:eastAsia="Arial" w:hAnsi="Arial"/>
          <w:sz w:val="18"/>
          <w:szCs w:val="18"/>
          <w:color w:val="231F20"/>
        </w:rPr>
        <w:t>the costs of commercialization activities including product sales, marketing, manufacturing and distribution;</w:t>
      </w:r>
    </w:p>
    <w:p>
      <w:pPr>
        <w:spacing w:after="0" w:line="117" w:lineRule="exact"/>
        <w:rPr>
          <w:rFonts w:ascii="Arial" w:cs="Arial" w:eastAsia="Arial" w:hAnsi="Arial"/>
          <w:sz w:val="16"/>
          <w:szCs w:val="16"/>
          <w:color w:val="231F20"/>
        </w:rPr>
      </w:pPr>
    </w:p>
    <w:p>
      <w:pPr>
        <w:ind w:left="1100" w:hanging="363"/>
        <w:spacing w:after="0"/>
        <w:tabs>
          <w:tab w:leader="none" w:pos="1100" w:val="left"/>
        </w:tabs>
        <w:numPr>
          <w:ilvl w:val="0"/>
          <w:numId w:val="50"/>
        </w:numPr>
        <w:rPr>
          <w:rFonts w:ascii="Arial" w:cs="Arial" w:eastAsia="Arial" w:hAnsi="Arial"/>
          <w:sz w:val="16"/>
          <w:szCs w:val="16"/>
          <w:color w:val="231F20"/>
        </w:rPr>
      </w:pPr>
      <w:r>
        <w:rPr>
          <w:rFonts w:ascii="Arial" w:cs="Arial" w:eastAsia="Arial" w:hAnsi="Arial"/>
          <w:sz w:val="18"/>
          <w:szCs w:val="18"/>
          <w:color w:val="231F20"/>
        </w:rPr>
        <w:t>the degree and rate of market acceptance of the ARTAS System and the ARTAS procedure;</w:t>
      </w:r>
    </w:p>
    <w:p>
      <w:pPr>
        <w:spacing w:after="0" w:line="117" w:lineRule="exact"/>
        <w:rPr>
          <w:rFonts w:ascii="Arial" w:cs="Arial" w:eastAsia="Arial" w:hAnsi="Arial"/>
          <w:sz w:val="16"/>
          <w:szCs w:val="16"/>
          <w:color w:val="231F20"/>
        </w:rPr>
      </w:pPr>
    </w:p>
    <w:p>
      <w:pPr>
        <w:ind w:left="1100" w:hanging="363"/>
        <w:spacing w:after="0"/>
        <w:tabs>
          <w:tab w:leader="none" w:pos="1100" w:val="left"/>
        </w:tabs>
        <w:numPr>
          <w:ilvl w:val="0"/>
          <w:numId w:val="50"/>
        </w:numPr>
        <w:rPr>
          <w:rFonts w:ascii="Arial" w:cs="Arial" w:eastAsia="Arial" w:hAnsi="Arial"/>
          <w:sz w:val="16"/>
          <w:szCs w:val="16"/>
          <w:color w:val="231F20"/>
        </w:rPr>
      </w:pPr>
      <w:r>
        <w:rPr>
          <w:rFonts w:ascii="Arial" w:cs="Arial" w:eastAsia="Arial" w:hAnsi="Arial"/>
          <w:sz w:val="18"/>
          <w:szCs w:val="18"/>
          <w:color w:val="231F20"/>
        </w:rPr>
        <w:t>the costs of filing, prosecuting, defending and enforcing any patent claims and other intellectual property rights;</w:t>
      </w:r>
    </w:p>
    <w:p>
      <w:pPr>
        <w:spacing w:after="0" w:line="117" w:lineRule="exact"/>
        <w:rPr>
          <w:rFonts w:ascii="Arial" w:cs="Arial" w:eastAsia="Arial" w:hAnsi="Arial"/>
          <w:sz w:val="16"/>
          <w:szCs w:val="16"/>
          <w:color w:val="231F20"/>
        </w:rPr>
      </w:pPr>
    </w:p>
    <w:p>
      <w:pPr>
        <w:ind w:left="1100" w:hanging="363"/>
        <w:spacing w:after="0"/>
        <w:tabs>
          <w:tab w:leader="none" w:pos="1100" w:val="left"/>
        </w:tabs>
        <w:numPr>
          <w:ilvl w:val="0"/>
          <w:numId w:val="50"/>
        </w:numPr>
        <w:rPr>
          <w:rFonts w:ascii="Arial" w:cs="Arial" w:eastAsia="Arial" w:hAnsi="Arial"/>
          <w:sz w:val="16"/>
          <w:szCs w:val="16"/>
          <w:color w:val="231F20"/>
        </w:rPr>
      </w:pPr>
      <w:r>
        <w:rPr>
          <w:rFonts w:ascii="Arial" w:cs="Arial" w:eastAsia="Arial" w:hAnsi="Arial"/>
          <w:sz w:val="18"/>
          <w:szCs w:val="18"/>
          <w:color w:val="231F20"/>
        </w:rPr>
        <w:t>our need to implement additional infrastructure and internal systems;</w:t>
      </w:r>
    </w:p>
    <w:p>
      <w:pPr>
        <w:spacing w:after="0" w:line="117" w:lineRule="exact"/>
        <w:rPr>
          <w:rFonts w:ascii="Arial" w:cs="Arial" w:eastAsia="Arial" w:hAnsi="Arial"/>
          <w:sz w:val="16"/>
          <w:szCs w:val="16"/>
          <w:color w:val="231F20"/>
        </w:rPr>
      </w:pPr>
    </w:p>
    <w:p>
      <w:pPr>
        <w:ind w:left="1100" w:hanging="363"/>
        <w:spacing w:after="0"/>
        <w:tabs>
          <w:tab w:leader="none" w:pos="1100" w:val="left"/>
        </w:tabs>
        <w:numPr>
          <w:ilvl w:val="0"/>
          <w:numId w:val="50"/>
        </w:numPr>
        <w:rPr>
          <w:rFonts w:ascii="Arial" w:cs="Arial" w:eastAsia="Arial" w:hAnsi="Arial"/>
          <w:sz w:val="14"/>
          <w:szCs w:val="14"/>
          <w:color w:val="231F20"/>
        </w:rPr>
      </w:pPr>
      <w:r>
        <w:rPr>
          <w:rFonts w:ascii="Arial" w:cs="Arial" w:eastAsia="Arial" w:hAnsi="Arial"/>
          <w:sz w:val="16"/>
          <w:szCs w:val="16"/>
          <w:color w:val="231F20"/>
        </w:rPr>
        <w:t>the research and development activities we intend to undertake in order to expand the approved indications of use for the ARTAS System;</w:t>
      </w:r>
    </w:p>
    <w:p>
      <w:pPr>
        <w:spacing w:after="0" w:line="140" w:lineRule="exact"/>
        <w:rPr>
          <w:rFonts w:ascii="Arial" w:cs="Arial" w:eastAsia="Arial" w:hAnsi="Arial"/>
          <w:sz w:val="14"/>
          <w:szCs w:val="14"/>
          <w:color w:val="231F20"/>
        </w:rPr>
      </w:pPr>
    </w:p>
    <w:p>
      <w:pPr>
        <w:ind w:left="1100" w:hanging="363"/>
        <w:spacing w:after="0"/>
        <w:tabs>
          <w:tab w:leader="none" w:pos="1100" w:val="left"/>
        </w:tabs>
        <w:numPr>
          <w:ilvl w:val="0"/>
          <w:numId w:val="50"/>
        </w:numPr>
        <w:rPr>
          <w:rFonts w:ascii="Arial" w:cs="Arial" w:eastAsia="Arial" w:hAnsi="Arial"/>
          <w:sz w:val="16"/>
          <w:szCs w:val="16"/>
          <w:color w:val="231F20"/>
        </w:rPr>
      </w:pPr>
      <w:r>
        <w:rPr>
          <w:rFonts w:ascii="Arial" w:cs="Arial" w:eastAsia="Arial" w:hAnsi="Arial"/>
          <w:sz w:val="18"/>
          <w:szCs w:val="18"/>
          <w:color w:val="231F20"/>
        </w:rPr>
        <w:t>the emergence of competing technologies or other adverse market developments;</w:t>
      </w:r>
    </w:p>
    <w:p>
      <w:pPr>
        <w:spacing w:after="0" w:line="200" w:lineRule="exact"/>
        <w:rPr>
          <w:sz w:val="20"/>
          <w:szCs w:val="20"/>
          <w:color w:val="auto"/>
        </w:rPr>
      </w:pPr>
    </w:p>
    <w:p>
      <w:pPr>
        <w:spacing w:after="0" w:line="26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486" w:right="239" w:bottom="1440" w:gutter="0" w:footer="0" w:header="0"/>
        </w:sectPr>
      </w:pPr>
    </w:p>
    <w:bookmarkStart w:id="68" w:name="page69"/>
    <w:bookmarkEnd w:id="68"/>
    <w:p>
      <w:pPr>
        <w:ind w:left="1100" w:hanging="363"/>
        <w:spacing w:after="0"/>
        <w:tabs>
          <w:tab w:leader="none" w:pos="1100" w:val="left"/>
        </w:tabs>
        <w:numPr>
          <w:ilvl w:val="0"/>
          <w:numId w:val="51"/>
        </w:numPr>
        <w:rPr>
          <w:rFonts w:ascii="Arial" w:cs="Arial" w:eastAsia="Arial" w:hAnsi="Arial"/>
          <w:sz w:val="16"/>
          <w:szCs w:val="16"/>
          <w:color w:val="231F20"/>
        </w:rPr>
      </w:pPr>
      <w:r>
        <w:rPr>
          <w:rFonts w:ascii="Arial" w:cs="Arial" w:eastAsia="Arial" w:hAnsi="Arial"/>
          <w:sz w:val="18"/>
          <w:szCs w:val="18"/>
          <w:color w:val="231F20"/>
        </w:rPr>
        <w:t>any product liability or other lawsuits related to our products;</w:t>
      </w:r>
    </w:p>
    <w:p>
      <w:pPr>
        <w:spacing w:after="0" w:line="117" w:lineRule="exact"/>
        <w:rPr>
          <w:rFonts w:ascii="Arial" w:cs="Arial" w:eastAsia="Arial" w:hAnsi="Arial"/>
          <w:sz w:val="16"/>
          <w:szCs w:val="16"/>
          <w:color w:val="231F20"/>
        </w:rPr>
      </w:pPr>
    </w:p>
    <w:p>
      <w:pPr>
        <w:ind w:left="1100" w:hanging="363"/>
        <w:spacing w:after="0"/>
        <w:tabs>
          <w:tab w:leader="none" w:pos="1100" w:val="left"/>
        </w:tabs>
        <w:numPr>
          <w:ilvl w:val="0"/>
          <w:numId w:val="51"/>
        </w:numPr>
        <w:rPr>
          <w:rFonts w:ascii="Arial" w:cs="Arial" w:eastAsia="Arial" w:hAnsi="Arial"/>
          <w:sz w:val="16"/>
          <w:szCs w:val="16"/>
          <w:color w:val="231F20"/>
        </w:rPr>
      </w:pPr>
      <w:r>
        <w:rPr>
          <w:rFonts w:ascii="Arial" w:cs="Arial" w:eastAsia="Arial" w:hAnsi="Arial"/>
          <w:sz w:val="18"/>
          <w:szCs w:val="18"/>
          <w:color w:val="231F20"/>
        </w:rPr>
        <w:t>the expenses needed to attract and retain skilled personnel;</w:t>
      </w:r>
    </w:p>
    <w:p>
      <w:pPr>
        <w:spacing w:after="0" w:line="117" w:lineRule="exact"/>
        <w:rPr>
          <w:rFonts w:ascii="Arial" w:cs="Arial" w:eastAsia="Arial" w:hAnsi="Arial"/>
          <w:sz w:val="16"/>
          <w:szCs w:val="16"/>
          <w:color w:val="231F20"/>
        </w:rPr>
      </w:pPr>
    </w:p>
    <w:p>
      <w:pPr>
        <w:ind w:left="1100" w:hanging="363"/>
        <w:spacing w:after="0"/>
        <w:tabs>
          <w:tab w:leader="none" w:pos="1100" w:val="left"/>
        </w:tabs>
        <w:numPr>
          <w:ilvl w:val="0"/>
          <w:numId w:val="51"/>
        </w:numPr>
        <w:rPr>
          <w:rFonts w:ascii="Arial" w:cs="Arial" w:eastAsia="Arial" w:hAnsi="Arial"/>
          <w:sz w:val="16"/>
          <w:szCs w:val="16"/>
          <w:color w:val="231F20"/>
        </w:rPr>
      </w:pPr>
      <w:r>
        <w:rPr>
          <w:rFonts w:ascii="Arial" w:cs="Arial" w:eastAsia="Arial" w:hAnsi="Arial"/>
          <w:sz w:val="18"/>
          <w:szCs w:val="18"/>
          <w:color w:val="231F20"/>
        </w:rPr>
        <w:t>the costs associated with being a public company; and</w:t>
      </w:r>
    </w:p>
    <w:p>
      <w:pPr>
        <w:spacing w:after="0" w:line="117" w:lineRule="exact"/>
        <w:rPr>
          <w:rFonts w:ascii="Arial" w:cs="Arial" w:eastAsia="Arial" w:hAnsi="Arial"/>
          <w:sz w:val="16"/>
          <w:szCs w:val="16"/>
          <w:color w:val="231F20"/>
        </w:rPr>
      </w:pPr>
    </w:p>
    <w:p>
      <w:pPr>
        <w:ind w:left="1100" w:hanging="363"/>
        <w:spacing w:after="0"/>
        <w:tabs>
          <w:tab w:leader="none" w:pos="1100" w:val="left"/>
        </w:tabs>
        <w:numPr>
          <w:ilvl w:val="0"/>
          <w:numId w:val="51"/>
        </w:numPr>
        <w:rPr>
          <w:rFonts w:ascii="Arial" w:cs="Arial" w:eastAsia="Arial" w:hAnsi="Arial"/>
          <w:sz w:val="16"/>
          <w:szCs w:val="16"/>
          <w:color w:val="231F20"/>
        </w:rPr>
      </w:pPr>
      <w:r>
        <w:rPr>
          <w:rFonts w:ascii="Arial" w:cs="Arial" w:eastAsia="Arial" w:hAnsi="Arial"/>
          <w:sz w:val="18"/>
          <w:szCs w:val="18"/>
          <w:color w:val="231F20"/>
        </w:rPr>
        <w:t>the costs associated with maintaining subsidiaries in foreign jurisdictions.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We cannot assure that we will ever be profitable or generate positive cash flow from operating activities.</w:t>
      </w:r>
    </w:p>
    <w:p>
      <w:pPr>
        <w:spacing w:after="0" w:line="117" w:lineRule="exact"/>
        <w:rPr>
          <w:sz w:val="20"/>
          <w:szCs w:val="20"/>
          <w:color w:val="auto"/>
        </w:rPr>
      </w:pPr>
    </w:p>
    <w:p>
      <w:pPr>
        <w:spacing w:after="0" w:line="297" w:lineRule="auto"/>
        <w:rPr>
          <w:sz w:val="20"/>
          <w:szCs w:val="20"/>
          <w:color w:val="auto"/>
        </w:rPr>
      </w:pPr>
      <w:r>
        <w:rPr>
          <w:rFonts w:ascii="Arial" w:cs="Arial" w:eastAsia="Arial" w:hAnsi="Arial"/>
          <w:sz w:val="16"/>
          <w:szCs w:val="16"/>
          <w:color w:val="auto"/>
        </w:rPr>
        <w:t>We plan to continue to fund our current operating plans’ needs through equity financings or other arrangements. To the extent that we raise additional capital through future equity financings, the ownership interest of our stockholders will be diluted, and the terms of these securities may include liquidation or other preferences that adversely affect the rights of our existing common stockholders. If we raise additional funds through the issuance of debt securities, these securities could contain covenants that would restrict our operations. There can be no assurance that such additional financing, if available, can be obtained on terms acceptable to us. If we are unable to obtain such additional financing, we would need to reevaluate our future operating plans.</w:t>
      </w:r>
    </w:p>
    <w:p>
      <w:pPr>
        <w:spacing w:after="0" w:line="9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231F20"/>
        </w:rPr>
        <w:t>Cash flows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summarizes our cash flows for the periods indicated:</w:t>
      </w:r>
    </w:p>
    <w:p>
      <w:pPr>
        <w:spacing w:after="0" w:line="284" w:lineRule="exact"/>
        <w:rPr>
          <w:sz w:val="20"/>
          <w:szCs w:val="20"/>
          <w:color w:val="auto"/>
        </w:rPr>
      </w:pPr>
    </w:p>
    <w:tbl>
      <w:tblPr>
        <w:tblLayout w:type="fixed"/>
        <w:tblInd w:w="114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436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2600" w:type="dxa"/>
            <w:vAlign w:val="bottom"/>
            <w:tcBorders>
              <w:bottom w:val="single" w:sz="8" w:color="auto"/>
            </w:tcBorders>
            <w:gridSpan w:val="4"/>
          </w:tcPr>
          <w:p>
            <w:pPr>
              <w:jc w:val="center"/>
              <w:ind w:left="517"/>
              <w:spacing w:after="0"/>
              <w:rPr>
                <w:sz w:val="20"/>
                <w:szCs w:val="20"/>
                <w:color w:val="auto"/>
              </w:rPr>
            </w:pPr>
            <w:r>
              <w:rPr>
                <w:rFonts w:ascii="Arial" w:cs="Arial" w:eastAsia="Arial" w:hAnsi="Arial"/>
                <w:sz w:val="14"/>
                <w:szCs w:val="14"/>
                <w:b w:val="1"/>
                <w:bCs w:val="1"/>
                <w:color w:val="auto"/>
                <w:w w:val="93"/>
              </w:rPr>
              <w:t>Year Ended December 31,</w:t>
            </w:r>
          </w:p>
        </w:tc>
        <w:tc>
          <w:tcPr>
            <w:tcW w:w="840" w:type="dxa"/>
            <w:vAlign w:val="bottom"/>
            <w:tcBorders>
              <w:bottom w:val="single" w:sz="8" w:color="auto"/>
            </w:tcBorders>
          </w:tcPr>
          <w:p>
            <w:pPr>
              <w:spacing w:after="0"/>
              <w:rPr>
                <w:sz w:val="14"/>
                <w:szCs w:val="14"/>
                <w:color w:val="auto"/>
              </w:rPr>
            </w:pPr>
          </w:p>
        </w:tc>
        <w:tc>
          <w:tcPr>
            <w:tcW w:w="80" w:type="dxa"/>
            <w:vAlign w:val="bottom"/>
          </w:tcPr>
          <w:p>
            <w:pPr>
              <w:spacing w:after="0"/>
              <w:rPr>
                <w:sz w:val="14"/>
                <w:szCs w:val="14"/>
                <w:color w:val="auto"/>
              </w:rPr>
            </w:pPr>
          </w:p>
        </w:tc>
      </w:tr>
      <w:tr>
        <w:trPr>
          <w:trHeight w:val="156"/>
        </w:trPr>
        <w:tc>
          <w:tcPr>
            <w:tcW w:w="20" w:type="dxa"/>
            <w:vAlign w:val="bottom"/>
          </w:tcPr>
          <w:p>
            <w:pPr>
              <w:spacing w:after="0"/>
              <w:rPr>
                <w:sz w:val="13"/>
                <w:szCs w:val="13"/>
                <w:color w:val="auto"/>
              </w:rPr>
            </w:pPr>
          </w:p>
        </w:tc>
        <w:tc>
          <w:tcPr>
            <w:tcW w:w="436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920" w:type="dxa"/>
            <w:vAlign w:val="bottom"/>
            <w:tcBorders>
              <w:bottom w:val="single" w:sz="8" w:color="auto"/>
            </w:tcBorders>
          </w:tcPr>
          <w:p>
            <w:pPr>
              <w:jc w:val="right"/>
              <w:ind w:right="397"/>
              <w:spacing w:after="0" w:line="155" w:lineRule="exact"/>
              <w:rPr>
                <w:sz w:val="20"/>
                <w:szCs w:val="20"/>
                <w:color w:val="auto"/>
              </w:rPr>
            </w:pPr>
            <w:r>
              <w:rPr>
                <w:rFonts w:ascii="Arial" w:cs="Arial" w:eastAsia="Arial" w:hAnsi="Arial"/>
                <w:sz w:val="14"/>
                <w:szCs w:val="14"/>
                <w:b w:val="1"/>
                <w:bCs w:val="1"/>
                <w:color w:val="auto"/>
              </w:rPr>
              <w:t>2017</w:t>
            </w:r>
          </w:p>
        </w:tc>
        <w:tc>
          <w:tcPr>
            <w:tcW w:w="380" w:type="dxa"/>
            <w:vAlign w:val="bottom"/>
            <w:tcBorders>
              <w:bottom w:val="single" w:sz="8" w:color="auto"/>
            </w:tcBorders>
          </w:tcPr>
          <w:p>
            <w:pPr>
              <w:spacing w:after="0"/>
              <w:rPr>
                <w:sz w:val="13"/>
                <w:szCs w:val="13"/>
                <w:color w:val="auto"/>
              </w:rPr>
            </w:pPr>
          </w:p>
        </w:tc>
        <w:tc>
          <w:tcPr>
            <w:tcW w:w="1000" w:type="dxa"/>
            <w:vAlign w:val="bottom"/>
            <w:tcBorders>
              <w:bottom w:val="single" w:sz="8" w:color="auto"/>
            </w:tcBorders>
          </w:tcPr>
          <w:p>
            <w:pPr>
              <w:jc w:val="center"/>
              <w:ind w:right="314"/>
              <w:spacing w:after="0" w:line="155" w:lineRule="exact"/>
              <w:rPr>
                <w:sz w:val="20"/>
                <w:szCs w:val="20"/>
                <w:color w:val="auto"/>
              </w:rPr>
            </w:pPr>
            <w:r>
              <w:rPr>
                <w:rFonts w:ascii="Arial" w:cs="Arial" w:eastAsia="Arial" w:hAnsi="Arial"/>
                <w:sz w:val="14"/>
                <w:szCs w:val="14"/>
                <w:b w:val="1"/>
                <w:bCs w:val="1"/>
                <w:color w:val="auto"/>
                <w:w w:val="89"/>
              </w:rPr>
              <w:t>2016</w:t>
            </w:r>
          </w:p>
        </w:tc>
        <w:tc>
          <w:tcPr>
            <w:tcW w:w="300" w:type="dxa"/>
            <w:vAlign w:val="bottom"/>
            <w:tcBorders>
              <w:bottom w:val="single" w:sz="8" w:color="auto"/>
            </w:tcBorders>
          </w:tcPr>
          <w:p>
            <w:pPr>
              <w:spacing w:after="0"/>
              <w:rPr>
                <w:sz w:val="13"/>
                <w:szCs w:val="13"/>
                <w:color w:val="auto"/>
              </w:rPr>
            </w:pPr>
          </w:p>
        </w:tc>
        <w:tc>
          <w:tcPr>
            <w:tcW w:w="840" w:type="dxa"/>
            <w:vAlign w:val="bottom"/>
            <w:tcBorders>
              <w:bottom w:val="single" w:sz="8" w:color="auto"/>
            </w:tcBorders>
          </w:tcPr>
          <w:p>
            <w:pPr>
              <w:jc w:val="right"/>
              <w:ind w:right="314"/>
              <w:spacing w:after="0" w:line="155" w:lineRule="exact"/>
              <w:rPr>
                <w:sz w:val="20"/>
                <w:szCs w:val="20"/>
                <w:color w:val="auto"/>
              </w:rPr>
            </w:pPr>
            <w:r>
              <w:rPr>
                <w:rFonts w:ascii="Arial" w:cs="Arial" w:eastAsia="Arial" w:hAnsi="Arial"/>
                <w:sz w:val="14"/>
                <w:szCs w:val="14"/>
                <w:b w:val="1"/>
                <w:bCs w:val="1"/>
                <w:color w:val="auto"/>
              </w:rPr>
              <w:t>2015</w:t>
            </w:r>
          </w:p>
        </w:tc>
        <w:tc>
          <w:tcPr>
            <w:tcW w:w="80" w:type="dxa"/>
            <w:vAlign w:val="bottom"/>
          </w:tcPr>
          <w:p>
            <w:pPr>
              <w:spacing w:after="0"/>
              <w:rPr>
                <w:sz w:val="13"/>
                <w:szCs w:val="13"/>
                <w:color w:val="auto"/>
              </w:rPr>
            </w:pPr>
          </w:p>
        </w:tc>
      </w:tr>
      <w:tr>
        <w:trPr>
          <w:trHeight w:val="156"/>
        </w:trPr>
        <w:tc>
          <w:tcPr>
            <w:tcW w:w="20" w:type="dxa"/>
            <w:vAlign w:val="bottom"/>
          </w:tcPr>
          <w:p>
            <w:pPr>
              <w:spacing w:after="0"/>
              <w:rPr>
                <w:sz w:val="13"/>
                <w:szCs w:val="13"/>
                <w:color w:val="auto"/>
              </w:rPr>
            </w:pPr>
          </w:p>
        </w:tc>
        <w:tc>
          <w:tcPr>
            <w:tcW w:w="436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1380" w:type="dxa"/>
            <w:vAlign w:val="bottom"/>
            <w:gridSpan w:val="2"/>
          </w:tcPr>
          <w:p>
            <w:pPr>
              <w:jc w:val="center"/>
              <w:spacing w:after="0" w:line="155" w:lineRule="exact"/>
              <w:rPr>
                <w:sz w:val="20"/>
                <w:szCs w:val="20"/>
                <w:color w:val="auto"/>
              </w:rPr>
            </w:pPr>
            <w:r>
              <w:rPr>
                <w:rFonts w:ascii="Arial" w:cs="Arial" w:eastAsia="Arial" w:hAnsi="Arial"/>
                <w:sz w:val="14"/>
                <w:szCs w:val="14"/>
                <w:b w:val="1"/>
                <w:bCs w:val="1"/>
                <w:color w:val="auto"/>
                <w:w w:val="91"/>
              </w:rPr>
              <w:t>(dollars in thousands)</w:t>
            </w:r>
          </w:p>
        </w:tc>
        <w:tc>
          <w:tcPr>
            <w:tcW w:w="30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80" w:type="dxa"/>
            <w:vAlign w:val="bottom"/>
          </w:tcPr>
          <w:p>
            <w:pPr>
              <w:spacing w:after="0"/>
              <w:rPr>
                <w:sz w:val="13"/>
                <w:szCs w:val="13"/>
                <w:color w:val="auto"/>
              </w:rPr>
            </w:pPr>
          </w:p>
        </w:tc>
      </w:tr>
      <w:tr>
        <w:trPr>
          <w:trHeight w:val="230"/>
        </w:trPr>
        <w:tc>
          <w:tcPr>
            <w:tcW w:w="20" w:type="dxa"/>
            <w:vAlign w:val="bottom"/>
          </w:tcPr>
          <w:p>
            <w:pPr>
              <w:spacing w:after="0"/>
              <w:rPr>
                <w:sz w:val="19"/>
                <w:szCs w:val="19"/>
                <w:color w:val="auto"/>
              </w:rPr>
            </w:pPr>
          </w:p>
        </w:tc>
        <w:tc>
          <w:tcPr>
            <w:tcW w:w="4360" w:type="dxa"/>
            <w:vAlign w:val="bottom"/>
            <w:shd w:val="clear" w:color="auto" w:fill="CFF0FC"/>
          </w:tcPr>
          <w:p>
            <w:pPr>
              <w:spacing w:after="0"/>
              <w:rPr>
                <w:sz w:val="20"/>
                <w:szCs w:val="20"/>
                <w:color w:val="auto"/>
              </w:rPr>
            </w:pPr>
            <w:r>
              <w:rPr>
                <w:rFonts w:ascii="Arial" w:cs="Arial" w:eastAsia="Arial" w:hAnsi="Arial"/>
                <w:sz w:val="18"/>
                <w:szCs w:val="18"/>
                <w:color w:val="auto"/>
              </w:rPr>
              <w:t>Cash used in operating activities</w:t>
            </w:r>
          </w:p>
        </w:tc>
        <w:tc>
          <w:tcPr>
            <w:tcW w:w="124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w:t>
            </w: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(19,256)</w:t>
            </w:r>
          </w:p>
        </w:tc>
        <w:tc>
          <w:tcPr>
            <w:tcW w:w="380" w:type="dxa"/>
            <w:vAlign w:val="bottom"/>
            <w:shd w:val="clear" w:color="auto" w:fill="CFF0FC"/>
          </w:tcPr>
          <w:p>
            <w:pPr>
              <w:jc w:val="right"/>
              <w:ind w:right="59"/>
              <w:spacing w:after="0"/>
              <w:rPr>
                <w:sz w:val="20"/>
                <w:szCs w:val="20"/>
                <w:color w:val="auto"/>
              </w:rPr>
            </w:pPr>
            <w:r>
              <w:rPr>
                <w:rFonts w:ascii="Arial" w:cs="Arial" w:eastAsia="Arial" w:hAnsi="Arial"/>
                <w:sz w:val="18"/>
                <w:szCs w:val="18"/>
                <w:color w:val="auto"/>
              </w:rPr>
              <w:t>$</w:t>
            </w:r>
          </w:p>
        </w:tc>
        <w:tc>
          <w:tcPr>
            <w:tcW w:w="1000" w:type="dxa"/>
            <w:vAlign w:val="bottom"/>
            <w:shd w:val="clear" w:color="auto" w:fill="CFF0FC"/>
          </w:tcPr>
          <w:p>
            <w:pPr>
              <w:jc w:val="right"/>
              <w:ind w:right="14"/>
              <w:spacing w:after="0"/>
              <w:rPr>
                <w:sz w:val="20"/>
                <w:szCs w:val="20"/>
                <w:color w:val="auto"/>
              </w:rPr>
            </w:pPr>
            <w:r>
              <w:rPr>
                <w:rFonts w:ascii="Arial" w:cs="Arial" w:eastAsia="Arial" w:hAnsi="Arial"/>
                <w:sz w:val="18"/>
                <w:szCs w:val="18"/>
                <w:color w:val="auto"/>
              </w:rPr>
              <w:t>(16,164)</w:t>
            </w:r>
          </w:p>
        </w:tc>
        <w:tc>
          <w:tcPr>
            <w:tcW w:w="300" w:type="dxa"/>
            <w:vAlign w:val="bottom"/>
            <w:shd w:val="clear" w:color="auto" w:fill="CFF0FC"/>
          </w:tcPr>
          <w:p>
            <w:pPr>
              <w:jc w:val="right"/>
              <w:ind w:right="70"/>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(24,118)</w:t>
            </w:r>
          </w:p>
        </w:tc>
      </w:tr>
      <w:tr>
        <w:trPr>
          <w:trHeight w:val="230"/>
        </w:trPr>
        <w:tc>
          <w:tcPr>
            <w:tcW w:w="20" w:type="dxa"/>
            <w:vAlign w:val="bottom"/>
          </w:tcPr>
          <w:p>
            <w:pPr>
              <w:spacing w:after="0"/>
              <w:rPr>
                <w:sz w:val="19"/>
                <w:szCs w:val="19"/>
                <w:color w:val="auto"/>
              </w:rPr>
            </w:pPr>
          </w:p>
        </w:tc>
        <w:tc>
          <w:tcPr>
            <w:tcW w:w="4360" w:type="dxa"/>
            <w:vAlign w:val="bottom"/>
          </w:tcPr>
          <w:p>
            <w:pPr>
              <w:spacing w:after="0"/>
              <w:rPr>
                <w:sz w:val="20"/>
                <w:szCs w:val="20"/>
                <w:color w:val="auto"/>
              </w:rPr>
            </w:pPr>
            <w:r>
              <w:rPr>
                <w:rFonts w:ascii="Arial" w:cs="Arial" w:eastAsia="Arial" w:hAnsi="Arial"/>
                <w:sz w:val="18"/>
                <w:szCs w:val="18"/>
                <w:color w:val="auto"/>
              </w:rPr>
              <w:t>Cash provided by (used in) investing activities</w:t>
            </w:r>
          </w:p>
        </w:tc>
        <w:tc>
          <w:tcPr>
            <w:tcW w:w="10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1,622</w:t>
            </w:r>
          </w:p>
        </w:tc>
        <w:tc>
          <w:tcPr>
            <w:tcW w:w="380" w:type="dxa"/>
            <w:vAlign w:val="bottom"/>
          </w:tcPr>
          <w:p>
            <w:pPr>
              <w:spacing w:after="0"/>
              <w:rPr>
                <w:sz w:val="19"/>
                <w:szCs w:val="19"/>
                <w:color w:val="auto"/>
              </w:rPr>
            </w:pPr>
          </w:p>
        </w:tc>
        <w:tc>
          <w:tcPr>
            <w:tcW w:w="1000" w:type="dxa"/>
            <w:vAlign w:val="bottom"/>
          </w:tcPr>
          <w:p>
            <w:pPr>
              <w:jc w:val="right"/>
              <w:ind w:right="14"/>
              <w:spacing w:after="0"/>
              <w:rPr>
                <w:sz w:val="20"/>
                <w:szCs w:val="20"/>
                <w:color w:val="auto"/>
              </w:rPr>
            </w:pPr>
            <w:r>
              <w:rPr>
                <w:rFonts w:ascii="Arial" w:cs="Arial" w:eastAsia="Arial" w:hAnsi="Arial"/>
                <w:sz w:val="18"/>
                <w:szCs w:val="18"/>
                <w:color w:val="auto"/>
              </w:rPr>
              <w:t>(1,171)</w:t>
            </w:r>
          </w:p>
        </w:tc>
        <w:tc>
          <w:tcPr>
            <w:tcW w:w="300" w:type="dxa"/>
            <w:vAlign w:val="bottom"/>
          </w:tcPr>
          <w:p>
            <w:pPr>
              <w:spacing w:after="0"/>
              <w:rPr>
                <w:sz w:val="19"/>
                <w:szCs w:val="19"/>
                <w:color w:val="auto"/>
              </w:rPr>
            </w:pPr>
          </w:p>
        </w:tc>
        <w:tc>
          <w:tcPr>
            <w:tcW w:w="920" w:type="dxa"/>
            <w:vAlign w:val="bottom"/>
            <w:gridSpan w:val="2"/>
          </w:tcPr>
          <w:p>
            <w:pPr>
              <w:jc w:val="right"/>
              <w:ind w:right="20"/>
              <w:spacing w:after="0"/>
              <w:rPr>
                <w:sz w:val="20"/>
                <w:szCs w:val="20"/>
                <w:color w:val="auto"/>
              </w:rPr>
            </w:pPr>
            <w:r>
              <w:rPr>
                <w:rFonts w:ascii="Arial" w:cs="Arial" w:eastAsia="Arial" w:hAnsi="Arial"/>
                <w:sz w:val="18"/>
                <w:szCs w:val="18"/>
                <w:color w:val="auto"/>
              </w:rPr>
              <w:t>(456)</w:t>
            </w:r>
          </w:p>
        </w:tc>
      </w:tr>
      <w:tr>
        <w:trPr>
          <w:trHeight w:val="230"/>
        </w:trPr>
        <w:tc>
          <w:tcPr>
            <w:tcW w:w="20" w:type="dxa"/>
            <w:vAlign w:val="bottom"/>
          </w:tcPr>
          <w:p>
            <w:pPr>
              <w:spacing w:after="0"/>
              <w:rPr>
                <w:sz w:val="19"/>
                <w:szCs w:val="19"/>
                <w:color w:val="auto"/>
              </w:rPr>
            </w:pPr>
          </w:p>
        </w:tc>
        <w:tc>
          <w:tcPr>
            <w:tcW w:w="4360" w:type="dxa"/>
            <w:vAlign w:val="bottom"/>
            <w:shd w:val="clear" w:color="auto" w:fill="CFF0FC"/>
          </w:tcPr>
          <w:p>
            <w:pPr>
              <w:spacing w:after="0"/>
              <w:rPr>
                <w:sz w:val="20"/>
                <w:szCs w:val="20"/>
                <w:color w:val="auto"/>
              </w:rPr>
            </w:pPr>
            <w:r>
              <w:rPr>
                <w:rFonts w:ascii="Arial" w:cs="Arial" w:eastAsia="Arial" w:hAnsi="Arial"/>
                <w:sz w:val="18"/>
                <w:szCs w:val="18"/>
                <w:color w:val="auto"/>
              </w:rPr>
              <w:t>Cash provided by financing activities</w:t>
            </w:r>
          </w:p>
        </w:tc>
        <w:tc>
          <w:tcPr>
            <w:tcW w:w="10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29,366</w:t>
            </w:r>
          </w:p>
        </w:tc>
        <w:tc>
          <w:tcPr>
            <w:tcW w:w="380" w:type="dxa"/>
            <w:vAlign w:val="bottom"/>
            <w:shd w:val="clear" w:color="auto" w:fill="CFF0FC"/>
          </w:tcPr>
          <w:p>
            <w:pPr>
              <w:spacing w:after="0"/>
              <w:rPr>
                <w:sz w:val="19"/>
                <w:szCs w:val="19"/>
                <w:color w:val="auto"/>
              </w:rPr>
            </w:pPr>
          </w:p>
        </w:tc>
        <w:tc>
          <w:tcPr>
            <w:tcW w:w="1000" w:type="dxa"/>
            <w:vAlign w:val="bottom"/>
            <w:shd w:val="clear" w:color="auto" w:fill="CFF0FC"/>
          </w:tcPr>
          <w:p>
            <w:pPr>
              <w:jc w:val="right"/>
              <w:ind w:right="94"/>
              <w:spacing w:after="0"/>
              <w:rPr>
                <w:sz w:val="20"/>
                <w:szCs w:val="20"/>
                <w:color w:val="auto"/>
              </w:rPr>
            </w:pPr>
            <w:r>
              <w:rPr>
                <w:rFonts w:ascii="Arial" w:cs="Arial" w:eastAsia="Arial" w:hAnsi="Arial"/>
                <w:sz w:val="18"/>
                <w:szCs w:val="18"/>
                <w:color w:val="auto"/>
              </w:rPr>
              <w:t>12,114</w:t>
            </w:r>
          </w:p>
        </w:tc>
        <w:tc>
          <w:tcPr>
            <w:tcW w:w="300" w:type="dxa"/>
            <w:vAlign w:val="bottom"/>
            <w:shd w:val="clear" w:color="auto" w:fill="CFF0FC"/>
          </w:tcPr>
          <w:p>
            <w:pPr>
              <w:spacing w:after="0"/>
              <w:rPr>
                <w:sz w:val="19"/>
                <w:szCs w:val="19"/>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8,887</w:t>
            </w:r>
          </w:p>
        </w:tc>
        <w:tc>
          <w:tcPr>
            <w:tcW w:w="80" w:type="dxa"/>
            <w:vAlign w:val="bottom"/>
            <w:shd w:val="clear" w:color="auto" w:fill="CFF0FC"/>
          </w:tcPr>
          <w:p>
            <w:pPr>
              <w:spacing w:after="0"/>
              <w:rPr>
                <w:sz w:val="19"/>
                <w:szCs w:val="19"/>
                <w:color w:val="auto"/>
              </w:rPr>
            </w:pPr>
          </w:p>
        </w:tc>
      </w:tr>
    </w:tbl>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Cash Flows from Operating Activities</w:t>
      </w:r>
    </w:p>
    <w:p>
      <w:pPr>
        <w:spacing w:after="0" w:line="117" w:lineRule="exact"/>
        <w:rPr>
          <w:sz w:val="20"/>
          <w:szCs w:val="20"/>
          <w:color w:val="auto"/>
        </w:rPr>
      </w:pPr>
    </w:p>
    <w:p>
      <w:pPr>
        <w:ind w:right="20"/>
        <w:spacing w:after="0" w:line="273" w:lineRule="auto"/>
        <w:rPr>
          <w:sz w:val="20"/>
          <w:szCs w:val="20"/>
          <w:color w:val="auto"/>
        </w:rPr>
      </w:pPr>
      <w:r>
        <w:rPr>
          <w:rFonts w:ascii="Arial" w:cs="Arial" w:eastAsia="Arial" w:hAnsi="Arial"/>
          <w:sz w:val="17"/>
          <w:szCs w:val="17"/>
          <w:color w:val="auto"/>
        </w:rPr>
        <w:t>In 2017, cash used in operating activities of $19.3 million was attributable to a net loss of $17.8 million, partially offset by $0.2 million in non-cash charges and a decrease from operating assets and liabilities of $1.7 million. The non-cash charges consisted primarily of depreciation and amortization of $0.6 million, amortization of debt issuance cost of $0.5 million, stock-based compensation of $0.5 million, and change in fair value of preferred stock warrant liabilities of $0.4 million, offset by $1.8 million of gain on sale of investment. The net change in operating assets and liabilities was primarily attributable to an increase in accounts receivable of $1.4 million, in prepaid expenses and other assets of $0.8 million, and an overall increase in accounts payable and accrued and other liabilities of $0.5 million due to the timing of receipt and payment of vendor invoices.</w:t>
      </w:r>
    </w:p>
    <w:p>
      <w:pPr>
        <w:spacing w:after="0" w:line="70" w:lineRule="exact"/>
        <w:rPr>
          <w:sz w:val="20"/>
          <w:szCs w:val="20"/>
          <w:color w:val="auto"/>
        </w:rPr>
      </w:pPr>
    </w:p>
    <w:p>
      <w:pPr>
        <w:ind w:right="120"/>
        <w:spacing w:after="0" w:line="254" w:lineRule="auto"/>
        <w:rPr>
          <w:sz w:val="20"/>
          <w:szCs w:val="20"/>
          <w:color w:val="auto"/>
        </w:rPr>
      </w:pPr>
      <w:r>
        <w:rPr>
          <w:rFonts w:ascii="Arial" w:cs="Arial" w:eastAsia="Arial" w:hAnsi="Arial"/>
          <w:sz w:val="18"/>
          <w:szCs w:val="18"/>
          <w:color w:val="auto"/>
        </w:rPr>
        <w:t>In 2016, cash used in operating activities of $16.2 million was attributable to a net loss of $21.8 million, partially offset by $2.2 million in non-cash charges and a net change in net operating assets and liabilities of $3.4 million. The non-cash charges consisted primarily of depreciation and amortization of $0.7 million, amortization of debt issuance costs of $0.7 million, stock-based compensation of $0.5 million, and change in fair value of preferred stock warrant liabilities of $0.3 million. The net change in operating assets and liabilities of $3.4 million was primarily attributable to a $2.9 million decrease in inventory due to the sale of inventory in excess of purchases, an overall increase of $1.2 million in accounts payable and accrued and other liabilities due to growth in operations and the timing of receipt and payment of vendor invoices, and a decrease of $0.3 million in prepaid expenses and other assets, partially offset by a $1.0 million increase in accounts receivable due to an increase in our post-warranty ARTAS Care maintenance and support contracts sold.</w:t>
      </w:r>
    </w:p>
    <w:p>
      <w:pPr>
        <w:spacing w:after="0" w:line="84" w:lineRule="exact"/>
        <w:rPr>
          <w:sz w:val="20"/>
          <w:szCs w:val="20"/>
          <w:color w:val="auto"/>
        </w:rPr>
      </w:pPr>
    </w:p>
    <w:p>
      <w:pPr>
        <w:ind w:right="20"/>
        <w:spacing w:after="0" w:line="272" w:lineRule="auto"/>
        <w:rPr>
          <w:sz w:val="20"/>
          <w:szCs w:val="20"/>
          <w:color w:val="auto"/>
        </w:rPr>
      </w:pPr>
      <w:r>
        <w:rPr>
          <w:rFonts w:ascii="Arial" w:cs="Arial" w:eastAsia="Arial" w:hAnsi="Arial"/>
          <w:sz w:val="17"/>
          <w:szCs w:val="17"/>
          <w:color w:val="auto"/>
        </w:rPr>
        <w:t>In 2015, cash used in operating activities of $24.1 million was attributable to a net loss of $23.0 million and a decrease from net change in operating assets and liabilities of $3.0 million, partially offset by non-cash charges of $1.9 million. The non-cash charges consisted primarily of amortization of debt issuance costs of $1.2 million, depreciation and amortization of $0.9 million, and stock-based compensation of $0.4 million, partially offset by change in fair value of preferred stock warrant liabilities of $0.6 million. The net change in operating assets and liabilities of $3.0 million was primarily attributable to a $3.4 million increase in inventory due to the purchase of inventory in excess of sales and an overall decrease of $3.5 million in accounts payable and accrued and other liabilities due to the timing of receipt and payment of vendor invoices, partially offset by a $3.5 million decrease in accounts receivable due to stronger collections from customers and a decrease of $0.4 million in prepaid expense and other assets.</w:t>
      </w:r>
    </w:p>
    <w:p>
      <w:pPr>
        <w:spacing w:after="0" w:line="200" w:lineRule="exact"/>
        <w:rPr>
          <w:sz w:val="20"/>
          <w:szCs w:val="20"/>
          <w:color w:val="auto"/>
        </w:rPr>
      </w:pPr>
    </w:p>
    <w:p>
      <w:pPr>
        <w:spacing w:after="0" w:line="22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449" w:right="239" w:bottom="1440" w:gutter="0" w:footer="0" w:header="0"/>
        </w:sectPr>
      </w:pPr>
    </w:p>
    <w:bookmarkStart w:id="69" w:name="page70"/>
    <w:bookmarkEnd w:id="69"/>
    <w:p>
      <w:pPr>
        <w:spacing w:after="0"/>
        <w:rPr>
          <w:sz w:val="20"/>
          <w:szCs w:val="20"/>
          <w:color w:val="auto"/>
        </w:rPr>
      </w:pPr>
      <w:r>
        <w:rPr>
          <w:rFonts w:ascii="Arial" w:cs="Arial" w:eastAsia="Arial" w:hAnsi="Arial"/>
          <w:sz w:val="18"/>
          <w:szCs w:val="18"/>
          <w:b w:val="1"/>
          <w:bCs w:val="1"/>
          <w:i w:val="1"/>
          <w:iCs w:val="1"/>
          <w:color w:val="auto"/>
        </w:rPr>
        <w:t>Cash Flows from Investing Activities</w:t>
      </w:r>
    </w:p>
    <w:p>
      <w:pPr>
        <w:spacing w:after="0" w:line="117" w:lineRule="exact"/>
        <w:rPr>
          <w:sz w:val="20"/>
          <w:szCs w:val="20"/>
          <w:color w:val="auto"/>
        </w:rPr>
      </w:pPr>
    </w:p>
    <w:p>
      <w:pPr>
        <w:ind w:right="220"/>
        <w:spacing w:after="0" w:line="277" w:lineRule="auto"/>
        <w:rPr>
          <w:sz w:val="20"/>
          <w:szCs w:val="20"/>
          <w:color w:val="auto"/>
        </w:rPr>
      </w:pPr>
      <w:r>
        <w:rPr>
          <w:rFonts w:ascii="Arial" w:cs="Arial" w:eastAsia="Arial" w:hAnsi="Arial"/>
          <w:sz w:val="18"/>
          <w:szCs w:val="18"/>
          <w:color w:val="auto"/>
        </w:rPr>
        <w:t>In 2017, cash provided by investing activities related to the sale of an investment in a privately-held company in the amount of $1.8 million, offset by $0.2 million in purchases of property and equipment.</w:t>
      </w:r>
    </w:p>
    <w:p>
      <w:pPr>
        <w:spacing w:after="0" w:line="62" w:lineRule="exact"/>
        <w:rPr>
          <w:sz w:val="20"/>
          <w:szCs w:val="20"/>
          <w:color w:val="auto"/>
        </w:rPr>
      </w:pPr>
    </w:p>
    <w:p>
      <w:pPr>
        <w:spacing w:after="0"/>
        <w:rPr>
          <w:sz w:val="20"/>
          <w:szCs w:val="20"/>
          <w:color w:val="auto"/>
        </w:rPr>
      </w:pPr>
      <w:r>
        <w:rPr>
          <w:rFonts w:ascii="Arial" w:cs="Arial" w:eastAsia="Arial" w:hAnsi="Arial"/>
          <w:sz w:val="17"/>
          <w:szCs w:val="17"/>
          <w:color w:val="auto"/>
        </w:rPr>
        <w:t>In 2016, cash used in investing activities related primarily to tenant improvements paid by the landlord of our headquarters in San Jose, California.</w:t>
      </w:r>
    </w:p>
    <w:p>
      <w:pPr>
        <w:spacing w:after="0" w:line="129" w:lineRule="exact"/>
        <w:rPr>
          <w:sz w:val="20"/>
          <w:szCs w:val="20"/>
          <w:color w:val="auto"/>
        </w:rPr>
      </w:pPr>
    </w:p>
    <w:p>
      <w:pPr>
        <w:spacing w:after="0"/>
        <w:rPr>
          <w:sz w:val="20"/>
          <w:szCs w:val="20"/>
          <w:color w:val="auto"/>
        </w:rPr>
      </w:pPr>
      <w:r>
        <w:rPr>
          <w:rFonts w:ascii="Arial" w:cs="Arial" w:eastAsia="Arial" w:hAnsi="Arial"/>
          <w:sz w:val="18"/>
          <w:szCs w:val="18"/>
          <w:color w:val="auto"/>
        </w:rPr>
        <w:t>In 2015, cash used in investing activities related to purchases of property and equipment.</w:t>
      </w:r>
    </w:p>
    <w:p>
      <w:pPr>
        <w:spacing w:after="0" w:line="14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Cash Flows from Financing Activities</w:t>
      </w:r>
    </w:p>
    <w:p>
      <w:pPr>
        <w:spacing w:after="0" w:line="117" w:lineRule="exact"/>
        <w:rPr>
          <w:sz w:val="20"/>
          <w:szCs w:val="20"/>
          <w:color w:val="auto"/>
        </w:rPr>
      </w:pPr>
    </w:p>
    <w:p>
      <w:pPr>
        <w:ind w:right="40"/>
        <w:spacing w:after="0" w:line="279" w:lineRule="auto"/>
        <w:rPr>
          <w:sz w:val="20"/>
          <w:szCs w:val="20"/>
          <w:color w:val="auto"/>
        </w:rPr>
      </w:pPr>
      <w:r>
        <w:rPr>
          <w:rFonts w:ascii="Arial" w:cs="Arial" w:eastAsia="Arial" w:hAnsi="Arial"/>
          <w:sz w:val="17"/>
          <w:szCs w:val="17"/>
          <w:color w:val="auto"/>
        </w:rPr>
        <w:t>In 2017, cash provided by financing activities was $29.3 million, consisting primarily of $22.1 million in net proceeds (including the payment of $2.9 million of deferred offering costs) received from the issuance of common stock upon in connection with our IPO, $10.2 million in net proceeds from the issuance of our Series C convertible preferred stock, and $5.0 million from the issuance of the Convertible Notes. Cash provided by financing activities was partially offset by repaying $8.0 million of the outstanding principal on our outstanding debt obligation with Oxford.</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In 2016, cash provided by financing activities was $12.1 million received from the issuance of our Series C convertible preferred stock.</w:t>
      </w:r>
    </w:p>
    <w:p>
      <w:pPr>
        <w:spacing w:after="0" w:line="117"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color w:val="auto"/>
        </w:rPr>
        <w:t>In 2015, cash provided by financing activities was $8.9 million, consisting primarily of $4.2 million in proceeds from issuance of our Series C preferred stock and proceeds of $4.6 million from the Oxford loan.</w:t>
      </w:r>
    </w:p>
    <w:p>
      <w:pPr>
        <w:spacing w:after="0" w:line="10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Contractual Obligations and Other Commitments</w:t>
      </w:r>
    </w:p>
    <w:p>
      <w:pPr>
        <w:spacing w:after="0" w:line="117" w:lineRule="exact"/>
        <w:rPr>
          <w:sz w:val="20"/>
          <w:szCs w:val="20"/>
          <w:color w:val="auto"/>
        </w:rPr>
      </w:pPr>
    </w:p>
    <w:p>
      <w:pPr>
        <w:ind w:right="240"/>
        <w:spacing w:after="0" w:line="277" w:lineRule="auto"/>
        <w:rPr>
          <w:sz w:val="20"/>
          <w:szCs w:val="20"/>
          <w:color w:val="auto"/>
        </w:rPr>
      </w:pPr>
      <w:r>
        <w:rPr>
          <w:rFonts w:ascii="Arial" w:cs="Arial" w:eastAsia="Arial" w:hAnsi="Arial"/>
          <w:sz w:val="18"/>
          <w:szCs w:val="18"/>
          <w:color w:val="auto"/>
        </w:rPr>
        <w:t>The following table summarizes our contractual obligations as of December 31, 2017, which represent material expected or contractually committed future obligations.</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402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spacing w:after="0"/>
              <w:rPr>
                <w:sz w:val="14"/>
                <w:szCs w:val="14"/>
                <w:color w:val="auto"/>
              </w:rPr>
            </w:pPr>
          </w:p>
        </w:tc>
        <w:tc>
          <w:tcPr>
            <w:tcW w:w="1640" w:type="dxa"/>
            <w:vAlign w:val="bottom"/>
            <w:tcBorders>
              <w:bottom w:val="single" w:sz="8" w:color="auto"/>
            </w:tcBorders>
            <w:gridSpan w:val="7"/>
          </w:tcPr>
          <w:p>
            <w:pPr>
              <w:jc w:val="center"/>
              <w:ind w:right="45"/>
              <w:spacing w:after="0"/>
              <w:rPr>
                <w:sz w:val="20"/>
                <w:szCs w:val="20"/>
                <w:color w:val="auto"/>
              </w:rPr>
            </w:pPr>
            <w:r>
              <w:rPr>
                <w:rFonts w:ascii="Arial" w:cs="Arial" w:eastAsia="Arial" w:hAnsi="Arial"/>
                <w:sz w:val="14"/>
                <w:szCs w:val="14"/>
                <w:b w:val="1"/>
                <w:bCs w:val="1"/>
                <w:color w:val="auto"/>
                <w:w w:val="92"/>
              </w:rPr>
              <w:t>Payments Due by Period</w:t>
            </w:r>
          </w:p>
        </w:tc>
        <w:tc>
          <w:tcPr>
            <w:tcW w:w="88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146"/>
        </w:trPr>
        <w:tc>
          <w:tcPr>
            <w:tcW w:w="402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00" w:type="dxa"/>
            <w:vAlign w:val="bottom"/>
            <w:gridSpan w:val="2"/>
          </w:tcPr>
          <w:p>
            <w:pPr>
              <w:jc w:val="center"/>
              <w:ind w:right="400"/>
              <w:spacing w:after="0" w:line="147" w:lineRule="exact"/>
              <w:rPr>
                <w:sz w:val="20"/>
                <w:szCs w:val="20"/>
                <w:color w:val="auto"/>
              </w:rPr>
            </w:pPr>
            <w:r>
              <w:rPr>
                <w:rFonts w:ascii="Arial" w:cs="Arial" w:eastAsia="Arial" w:hAnsi="Arial"/>
                <w:sz w:val="14"/>
                <w:szCs w:val="14"/>
                <w:b w:val="1"/>
                <w:bCs w:val="1"/>
                <w:color w:val="auto"/>
                <w:w w:val="88"/>
              </w:rPr>
              <w:t>Less than</w:t>
            </w:r>
          </w:p>
        </w:tc>
        <w:tc>
          <w:tcPr>
            <w:tcW w:w="12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80" w:type="dxa"/>
            <w:vAlign w:val="bottom"/>
          </w:tcPr>
          <w:p>
            <w:pPr>
              <w:jc w:val="center"/>
              <w:ind w:right="77"/>
              <w:spacing w:after="0" w:line="147" w:lineRule="exact"/>
              <w:rPr>
                <w:sz w:val="20"/>
                <w:szCs w:val="20"/>
                <w:color w:val="auto"/>
              </w:rPr>
            </w:pPr>
            <w:r>
              <w:rPr>
                <w:rFonts w:ascii="Arial" w:cs="Arial" w:eastAsia="Arial" w:hAnsi="Arial"/>
                <w:sz w:val="14"/>
                <w:szCs w:val="14"/>
                <w:b w:val="1"/>
                <w:bCs w:val="1"/>
                <w:color w:val="auto"/>
                <w:w w:val="95"/>
              </w:rPr>
              <w:t>More than</w:t>
            </w:r>
          </w:p>
        </w:tc>
        <w:tc>
          <w:tcPr>
            <w:tcW w:w="2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171"/>
        </w:trPr>
        <w:tc>
          <w:tcPr>
            <w:tcW w:w="402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00" w:type="dxa"/>
            <w:vAlign w:val="bottom"/>
            <w:gridSpan w:val="2"/>
          </w:tcPr>
          <w:p>
            <w:pPr>
              <w:jc w:val="center"/>
              <w:ind w:right="380"/>
              <w:spacing w:after="0"/>
              <w:rPr>
                <w:sz w:val="20"/>
                <w:szCs w:val="20"/>
                <w:color w:val="auto"/>
              </w:rPr>
            </w:pPr>
            <w:r>
              <w:rPr>
                <w:rFonts w:ascii="Arial" w:cs="Arial" w:eastAsia="Arial" w:hAnsi="Arial"/>
                <w:sz w:val="14"/>
                <w:szCs w:val="14"/>
                <w:b w:val="1"/>
                <w:bCs w:val="1"/>
                <w:color w:val="auto"/>
                <w:w w:val="95"/>
              </w:rPr>
              <w:t>1 Year</w:t>
            </w:r>
          </w:p>
        </w:tc>
        <w:tc>
          <w:tcPr>
            <w:tcW w:w="120" w:type="dxa"/>
            <w:vAlign w:val="bottom"/>
          </w:tcPr>
          <w:p>
            <w:pPr>
              <w:spacing w:after="0"/>
              <w:rPr>
                <w:sz w:val="14"/>
                <w:szCs w:val="14"/>
                <w:color w:val="auto"/>
              </w:rPr>
            </w:pPr>
          </w:p>
        </w:tc>
        <w:tc>
          <w:tcPr>
            <w:tcW w:w="880" w:type="dxa"/>
            <w:vAlign w:val="bottom"/>
          </w:tcPr>
          <w:p>
            <w:pPr>
              <w:jc w:val="right"/>
              <w:ind w:right="54"/>
              <w:spacing w:after="0"/>
              <w:rPr>
                <w:sz w:val="20"/>
                <w:szCs w:val="20"/>
                <w:color w:val="auto"/>
              </w:rPr>
            </w:pPr>
            <w:r>
              <w:rPr>
                <w:rFonts w:ascii="Arial" w:cs="Arial" w:eastAsia="Arial" w:hAnsi="Arial"/>
                <w:sz w:val="14"/>
                <w:szCs w:val="14"/>
                <w:b w:val="1"/>
                <w:bCs w:val="1"/>
                <w:color w:val="auto"/>
                <w:w w:val="91"/>
              </w:rPr>
              <w:t>1 to 3 Years</w:t>
            </w:r>
          </w:p>
        </w:tc>
        <w:tc>
          <w:tcPr>
            <w:tcW w:w="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0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91"/>
              </w:rPr>
              <w:t>3 to 5 Years</w:t>
            </w:r>
          </w:p>
        </w:tc>
        <w:tc>
          <w:tcPr>
            <w:tcW w:w="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80" w:type="dxa"/>
            <w:vAlign w:val="bottom"/>
          </w:tcPr>
          <w:p>
            <w:pPr>
              <w:jc w:val="center"/>
              <w:ind w:right="77"/>
              <w:spacing w:after="0"/>
              <w:rPr>
                <w:sz w:val="20"/>
                <w:szCs w:val="20"/>
                <w:color w:val="auto"/>
              </w:rPr>
            </w:pPr>
            <w:r>
              <w:rPr>
                <w:rFonts w:ascii="Arial" w:cs="Arial" w:eastAsia="Arial" w:hAnsi="Arial"/>
                <w:sz w:val="14"/>
                <w:szCs w:val="14"/>
                <w:b w:val="1"/>
                <w:bCs w:val="1"/>
                <w:color w:val="auto"/>
                <w:w w:val="88"/>
              </w:rPr>
              <w:t>5 Years</w:t>
            </w:r>
          </w:p>
        </w:tc>
        <w:tc>
          <w:tcPr>
            <w:tcW w:w="2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20" w:type="dxa"/>
            <w:vAlign w:val="bottom"/>
            <w:gridSpan w:val="2"/>
          </w:tcPr>
          <w:p>
            <w:pPr>
              <w:ind w:left="120"/>
              <w:spacing w:after="0"/>
              <w:rPr>
                <w:sz w:val="20"/>
                <w:szCs w:val="20"/>
                <w:color w:val="auto"/>
              </w:rPr>
            </w:pPr>
            <w:r>
              <w:rPr>
                <w:rFonts w:ascii="Arial" w:cs="Arial" w:eastAsia="Arial" w:hAnsi="Arial"/>
                <w:sz w:val="14"/>
                <w:szCs w:val="14"/>
                <w:b w:val="1"/>
                <w:bCs w:val="1"/>
                <w:color w:val="auto"/>
              </w:rPr>
              <w:t>Total</w:t>
            </w:r>
          </w:p>
        </w:tc>
      </w:tr>
      <w:tr>
        <w:trPr>
          <w:trHeight w:val="156"/>
        </w:trPr>
        <w:tc>
          <w:tcPr>
            <w:tcW w:w="4020" w:type="dxa"/>
            <w:vAlign w:val="bottom"/>
          </w:tcPr>
          <w:p>
            <w:pPr>
              <w:spacing w:after="0"/>
              <w:rPr>
                <w:sz w:val="13"/>
                <w:szCs w:val="13"/>
                <w:color w:val="auto"/>
              </w:rPr>
            </w:pPr>
          </w:p>
        </w:tc>
        <w:tc>
          <w:tcPr>
            <w:tcW w:w="1260" w:type="dxa"/>
            <w:vAlign w:val="bottom"/>
          </w:tcPr>
          <w:p>
            <w:pPr>
              <w:spacing w:after="0"/>
              <w:rPr>
                <w:sz w:val="13"/>
                <w:szCs w:val="13"/>
                <w:color w:val="auto"/>
              </w:rPr>
            </w:pPr>
          </w:p>
        </w:tc>
        <w:tc>
          <w:tcPr>
            <w:tcW w:w="140" w:type="dxa"/>
            <w:vAlign w:val="bottom"/>
            <w:tcBorders>
              <w:top w:val="single" w:sz="8" w:color="auto"/>
            </w:tcBorders>
          </w:tcPr>
          <w:p>
            <w:pPr>
              <w:spacing w:after="0"/>
              <w:rPr>
                <w:sz w:val="13"/>
                <w:szCs w:val="13"/>
                <w:color w:val="auto"/>
              </w:rPr>
            </w:pPr>
          </w:p>
        </w:tc>
        <w:tc>
          <w:tcPr>
            <w:tcW w:w="860" w:type="dxa"/>
            <w:vAlign w:val="bottom"/>
            <w:tcBorders>
              <w:top w:val="single" w:sz="8" w:color="auto"/>
            </w:tcBorders>
          </w:tcPr>
          <w:p>
            <w:pPr>
              <w:spacing w:after="0"/>
              <w:rPr>
                <w:sz w:val="13"/>
                <w:szCs w:val="13"/>
                <w:color w:val="auto"/>
              </w:rPr>
            </w:pPr>
          </w:p>
        </w:tc>
        <w:tc>
          <w:tcPr>
            <w:tcW w:w="240" w:type="dxa"/>
            <w:vAlign w:val="bottom"/>
            <w:tcBorders>
              <w:top w:val="single" w:sz="8" w:color="auto"/>
            </w:tcBorders>
          </w:tcPr>
          <w:p>
            <w:pPr>
              <w:spacing w:after="0"/>
              <w:rPr>
                <w:sz w:val="13"/>
                <w:szCs w:val="13"/>
                <w:color w:val="auto"/>
              </w:rPr>
            </w:pPr>
          </w:p>
        </w:tc>
        <w:tc>
          <w:tcPr>
            <w:tcW w:w="120" w:type="dxa"/>
            <w:vAlign w:val="bottom"/>
            <w:tcBorders>
              <w:top w:val="single" w:sz="8" w:color="auto"/>
            </w:tcBorders>
          </w:tcPr>
          <w:p>
            <w:pPr>
              <w:spacing w:after="0"/>
              <w:rPr>
                <w:sz w:val="13"/>
                <w:szCs w:val="13"/>
                <w:color w:val="auto"/>
              </w:rPr>
            </w:pPr>
          </w:p>
        </w:tc>
        <w:tc>
          <w:tcPr>
            <w:tcW w:w="880" w:type="dxa"/>
            <w:vAlign w:val="bottom"/>
            <w:tcBorders>
              <w:top w:val="single" w:sz="8" w:color="auto"/>
            </w:tcBorders>
          </w:tcPr>
          <w:p>
            <w:pPr>
              <w:spacing w:after="0"/>
              <w:rPr>
                <w:sz w:val="13"/>
                <w:szCs w:val="13"/>
                <w:color w:val="auto"/>
              </w:rPr>
            </w:pPr>
          </w:p>
        </w:tc>
        <w:tc>
          <w:tcPr>
            <w:tcW w:w="20" w:type="dxa"/>
            <w:vAlign w:val="bottom"/>
            <w:tcBorders>
              <w:top w:val="single" w:sz="8" w:color="auto"/>
            </w:tcBorders>
          </w:tcPr>
          <w:p>
            <w:pPr>
              <w:spacing w:after="0"/>
              <w:rPr>
                <w:sz w:val="13"/>
                <w:szCs w:val="13"/>
                <w:color w:val="auto"/>
              </w:rPr>
            </w:pPr>
          </w:p>
        </w:tc>
        <w:tc>
          <w:tcPr>
            <w:tcW w:w="1440" w:type="dxa"/>
            <w:vAlign w:val="bottom"/>
            <w:tcBorders>
              <w:top w:val="single" w:sz="8" w:color="auto"/>
            </w:tcBorders>
            <w:gridSpan w:val="4"/>
          </w:tcPr>
          <w:p>
            <w:pPr>
              <w:jc w:val="center"/>
              <w:spacing w:after="0" w:line="155" w:lineRule="exact"/>
              <w:rPr>
                <w:sz w:val="20"/>
                <w:szCs w:val="20"/>
                <w:color w:val="auto"/>
              </w:rPr>
            </w:pPr>
            <w:r>
              <w:rPr>
                <w:rFonts w:ascii="Arial" w:cs="Arial" w:eastAsia="Arial" w:hAnsi="Arial"/>
                <w:sz w:val="14"/>
                <w:szCs w:val="14"/>
                <w:b w:val="1"/>
                <w:bCs w:val="1"/>
                <w:i w:val="1"/>
                <w:iCs w:val="1"/>
                <w:color w:val="auto"/>
                <w:w w:val="88"/>
              </w:rPr>
              <w:t>(dollars in thousands)</w:t>
            </w:r>
          </w:p>
        </w:tc>
        <w:tc>
          <w:tcPr>
            <w:tcW w:w="40" w:type="dxa"/>
            <w:vAlign w:val="bottom"/>
            <w:tcBorders>
              <w:top w:val="single" w:sz="8" w:color="auto"/>
            </w:tcBorders>
          </w:tcPr>
          <w:p>
            <w:pPr>
              <w:spacing w:after="0"/>
              <w:rPr>
                <w:sz w:val="13"/>
                <w:szCs w:val="13"/>
                <w:color w:val="auto"/>
              </w:rPr>
            </w:pPr>
          </w:p>
        </w:tc>
        <w:tc>
          <w:tcPr>
            <w:tcW w:w="140" w:type="dxa"/>
            <w:vAlign w:val="bottom"/>
            <w:tcBorders>
              <w:top w:val="single" w:sz="8" w:color="auto"/>
            </w:tcBorders>
          </w:tcPr>
          <w:p>
            <w:pPr>
              <w:spacing w:after="0"/>
              <w:rPr>
                <w:sz w:val="13"/>
                <w:szCs w:val="13"/>
                <w:color w:val="auto"/>
              </w:rPr>
            </w:pPr>
          </w:p>
        </w:tc>
        <w:tc>
          <w:tcPr>
            <w:tcW w:w="880" w:type="dxa"/>
            <w:vAlign w:val="bottom"/>
            <w:tcBorders>
              <w:top w:val="single" w:sz="8" w:color="auto"/>
            </w:tcBorders>
          </w:tcPr>
          <w:p>
            <w:pPr>
              <w:spacing w:after="0"/>
              <w:rPr>
                <w:sz w:val="13"/>
                <w:szCs w:val="13"/>
                <w:color w:val="auto"/>
              </w:rPr>
            </w:pPr>
          </w:p>
        </w:tc>
        <w:tc>
          <w:tcPr>
            <w:tcW w:w="240" w:type="dxa"/>
            <w:vAlign w:val="bottom"/>
            <w:tcBorders>
              <w:top w:val="single" w:sz="8" w:color="auto"/>
            </w:tcBorders>
          </w:tcPr>
          <w:p>
            <w:pPr>
              <w:spacing w:after="0"/>
              <w:rPr>
                <w:sz w:val="13"/>
                <w:szCs w:val="13"/>
                <w:color w:val="auto"/>
              </w:rPr>
            </w:pPr>
          </w:p>
        </w:tc>
        <w:tc>
          <w:tcPr>
            <w:tcW w:w="220" w:type="dxa"/>
            <w:vAlign w:val="bottom"/>
            <w:tcBorders>
              <w:top w:val="single" w:sz="8" w:color="auto"/>
            </w:tcBorders>
          </w:tcPr>
          <w:p>
            <w:pPr>
              <w:spacing w:after="0"/>
              <w:rPr>
                <w:sz w:val="13"/>
                <w:szCs w:val="13"/>
                <w:color w:val="auto"/>
              </w:rPr>
            </w:pPr>
          </w:p>
        </w:tc>
        <w:tc>
          <w:tcPr>
            <w:tcW w:w="82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r>
      <w:tr>
        <w:trPr>
          <w:trHeight w:val="230"/>
        </w:trPr>
        <w:tc>
          <w:tcPr>
            <w:tcW w:w="4020" w:type="dxa"/>
            <w:vAlign w:val="bottom"/>
            <w:shd w:val="clear" w:color="auto" w:fill="CFF0FC"/>
          </w:tcPr>
          <w:p>
            <w:pPr>
              <w:spacing w:after="0"/>
              <w:rPr>
                <w:sz w:val="20"/>
                <w:szCs w:val="20"/>
                <w:color w:val="auto"/>
              </w:rPr>
            </w:pPr>
            <w:r>
              <w:rPr>
                <w:rFonts w:ascii="Arial" w:cs="Arial" w:eastAsia="Arial" w:hAnsi="Arial"/>
                <w:sz w:val="18"/>
                <w:szCs w:val="18"/>
                <w:color w:val="auto"/>
              </w:rPr>
              <w:t xml:space="preserve">Debt obligations, including interest </w:t>
            </w:r>
            <w:r>
              <w:rPr>
                <w:rFonts w:ascii="Arial" w:cs="Arial" w:eastAsia="Arial" w:hAnsi="Arial"/>
                <w:sz w:val="15"/>
                <w:szCs w:val="15"/>
                <w:color w:val="auto"/>
              </w:rPr>
              <w:t>(1)</w:t>
            </w:r>
          </w:p>
        </w:tc>
        <w:tc>
          <w:tcPr>
            <w:tcW w:w="140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8,708</w:t>
            </w:r>
          </w:p>
        </w:tc>
        <w:tc>
          <w:tcPr>
            <w:tcW w:w="240" w:type="dxa"/>
            <w:vAlign w:val="bottom"/>
            <w:shd w:val="clear" w:color="auto" w:fill="CFF0FC"/>
          </w:tcPr>
          <w:p>
            <w:pPr>
              <w:spacing w:after="0"/>
              <w:rPr>
                <w:sz w:val="19"/>
                <w:szCs w:val="19"/>
                <w:color w:val="auto"/>
              </w:rPr>
            </w:pPr>
          </w:p>
        </w:tc>
        <w:tc>
          <w:tcPr>
            <w:tcW w:w="12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5,399</w:t>
            </w:r>
          </w:p>
        </w:tc>
        <w:tc>
          <w:tcPr>
            <w:tcW w:w="360" w:type="dxa"/>
            <w:vAlign w:val="bottom"/>
            <w:gridSpan w:val="3"/>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color w:val="auto"/>
              </w:rPr>
              <w:t>—</w:t>
            </w:r>
          </w:p>
        </w:tc>
        <w:tc>
          <w:tcPr>
            <w:tcW w:w="18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w w:val="99"/>
              </w:rPr>
              <w:t>$</w:t>
            </w:r>
          </w:p>
        </w:tc>
        <w:tc>
          <w:tcPr>
            <w:tcW w:w="880" w:type="dxa"/>
            <w:vAlign w:val="bottom"/>
            <w:shd w:val="clear" w:color="auto" w:fill="CFF0FC"/>
          </w:tcPr>
          <w:p>
            <w:pPr>
              <w:ind w:left="680"/>
              <w:spacing w:after="0"/>
              <w:rPr>
                <w:sz w:val="20"/>
                <w:szCs w:val="20"/>
                <w:color w:val="auto"/>
              </w:rPr>
            </w:pPr>
            <w:r>
              <w:rPr>
                <w:rFonts w:ascii="Arial" w:cs="Arial" w:eastAsia="Arial" w:hAnsi="Arial"/>
                <w:sz w:val="18"/>
                <w:szCs w:val="18"/>
                <w:color w:val="auto"/>
                <w:w w:val="99"/>
              </w:rPr>
              <w:t>—</w:t>
            </w:r>
          </w:p>
        </w:tc>
        <w:tc>
          <w:tcPr>
            <w:tcW w:w="460" w:type="dxa"/>
            <w:vAlign w:val="bottom"/>
            <w:gridSpan w:val="2"/>
            <w:shd w:val="clear" w:color="auto" w:fill="CFF0FC"/>
          </w:tcPr>
          <w:p>
            <w:pPr>
              <w:jc w:val="right"/>
              <w:ind w:right="65"/>
              <w:spacing w:after="0"/>
              <w:rPr>
                <w:sz w:val="20"/>
                <w:szCs w:val="20"/>
                <w:color w:val="auto"/>
              </w:rPr>
            </w:pPr>
            <w:r>
              <w:rPr>
                <w:rFonts w:ascii="Arial" w:cs="Arial" w:eastAsia="Arial" w:hAnsi="Arial"/>
                <w:sz w:val="18"/>
                <w:szCs w:val="18"/>
                <w:color w:val="auto"/>
              </w:rPr>
              <w:t>$</w:t>
            </w: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14,107</w:t>
            </w:r>
          </w:p>
        </w:tc>
        <w:tc>
          <w:tcPr>
            <w:tcW w:w="100" w:type="dxa"/>
            <w:vAlign w:val="bottom"/>
            <w:shd w:val="clear" w:color="auto" w:fill="CFF0FC"/>
          </w:tcPr>
          <w:p>
            <w:pPr>
              <w:spacing w:after="0"/>
              <w:rPr>
                <w:sz w:val="19"/>
                <w:szCs w:val="19"/>
                <w:color w:val="auto"/>
              </w:rPr>
            </w:pPr>
          </w:p>
        </w:tc>
      </w:tr>
      <w:tr>
        <w:trPr>
          <w:trHeight w:val="230"/>
        </w:trPr>
        <w:tc>
          <w:tcPr>
            <w:tcW w:w="402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Operating leases</w:t>
            </w:r>
          </w:p>
        </w:tc>
        <w:tc>
          <w:tcPr>
            <w:tcW w:w="1260" w:type="dxa"/>
            <w:vAlign w:val="bottom"/>
            <w:tcBorders>
              <w:bottom w:val="single" w:sz="8" w:color="CFF0FC"/>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503</w:t>
            </w:r>
          </w:p>
        </w:tc>
        <w:tc>
          <w:tcPr>
            <w:tcW w:w="240" w:type="dxa"/>
            <w:vAlign w:val="bottom"/>
            <w:tcBorders>
              <w:bottom w:val="single" w:sz="8" w:color="CFF0FC"/>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1,052</w:t>
            </w:r>
          </w:p>
        </w:tc>
        <w:tc>
          <w:tcPr>
            <w:tcW w:w="20" w:type="dxa"/>
            <w:vAlign w:val="bottom"/>
            <w:tcBorders>
              <w:bottom w:val="single" w:sz="8" w:color="auto"/>
            </w:tcBorders>
          </w:tcPr>
          <w:p>
            <w:pPr>
              <w:spacing w:after="0"/>
              <w:rPr>
                <w:sz w:val="19"/>
                <w:szCs w:val="19"/>
                <w:color w:val="auto"/>
              </w:rPr>
            </w:pPr>
          </w:p>
        </w:tc>
        <w:tc>
          <w:tcPr>
            <w:tcW w:w="220" w:type="dxa"/>
            <w:vAlign w:val="bottom"/>
            <w:tcBorders>
              <w:bottom w:val="single" w:sz="8" w:color="CFF0FC"/>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738</w:t>
            </w:r>
          </w:p>
        </w:tc>
        <w:tc>
          <w:tcPr>
            <w:tcW w:w="200" w:type="dxa"/>
            <w:vAlign w:val="bottom"/>
            <w:tcBorders>
              <w:bottom w:val="single" w:sz="8" w:color="CFF0FC"/>
            </w:tcBorders>
          </w:tcPr>
          <w:p>
            <w:pPr>
              <w:spacing w:after="0"/>
              <w:rPr>
                <w:sz w:val="19"/>
                <w:szCs w:val="19"/>
                <w:color w:val="auto"/>
              </w:rPr>
            </w:pPr>
          </w:p>
        </w:tc>
        <w:tc>
          <w:tcPr>
            <w:tcW w:w="40" w:type="dxa"/>
            <w:vAlign w:val="bottom"/>
            <w:tcBorders>
              <w:bottom w:val="single" w:sz="8" w:color="CFF0FC"/>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ind w:left="680"/>
              <w:spacing w:after="0"/>
              <w:rPr>
                <w:sz w:val="20"/>
                <w:szCs w:val="20"/>
                <w:color w:val="auto"/>
              </w:rPr>
            </w:pPr>
            <w:r>
              <w:rPr>
                <w:rFonts w:ascii="Arial" w:cs="Arial" w:eastAsia="Arial" w:hAnsi="Arial"/>
                <w:sz w:val="18"/>
                <w:szCs w:val="18"/>
                <w:color w:val="auto"/>
                <w:w w:val="99"/>
              </w:rPr>
              <w:t>—</w:t>
            </w:r>
          </w:p>
        </w:tc>
        <w:tc>
          <w:tcPr>
            <w:tcW w:w="240" w:type="dxa"/>
            <w:vAlign w:val="bottom"/>
            <w:tcBorders>
              <w:bottom w:val="single" w:sz="8" w:color="CFF0FC"/>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2,293</w:t>
            </w:r>
          </w:p>
        </w:tc>
        <w:tc>
          <w:tcPr>
            <w:tcW w:w="100" w:type="dxa"/>
            <w:vAlign w:val="bottom"/>
            <w:tcBorders>
              <w:bottom w:val="single" w:sz="8" w:color="CFF0FC"/>
            </w:tcBorders>
          </w:tcPr>
          <w:p>
            <w:pPr>
              <w:spacing w:after="0"/>
              <w:rPr>
                <w:sz w:val="19"/>
                <w:szCs w:val="19"/>
                <w:color w:val="auto"/>
              </w:rPr>
            </w:pPr>
          </w:p>
        </w:tc>
      </w:tr>
      <w:tr>
        <w:trPr>
          <w:trHeight w:val="223"/>
        </w:trPr>
        <w:tc>
          <w:tcPr>
            <w:tcW w:w="402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Total contractual obligations</w:t>
            </w:r>
          </w:p>
        </w:tc>
        <w:tc>
          <w:tcPr>
            <w:tcW w:w="1260" w:type="dxa"/>
            <w:vAlign w:val="bottom"/>
            <w:tcBorders>
              <w:bottom w:val="single" w:sz="8" w:color="CFF0FC"/>
            </w:tcBorders>
            <w:shd w:val="clear" w:color="auto" w:fill="CFF0FC"/>
          </w:tcPr>
          <w:p>
            <w:pPr>
              <w:spacing w:after="0"/>
              <w:rPr>
                <w:sz w:val="19"/>
                <w:szCs w:val="19"/>
                <w:color w:val="auto"/>
              </w:rPr>
            </w:pPr>
          </w:p>
        </w:tc>
        <w:tc>
          <w:tcPr>
            <w:tcW w:w="1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8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9,211</w:t>
            </w:r>
          </w:p>
        </w:tc>
        <w:tc>
          <w:tcPr>
            <w:tcW w:w="240" w:type="dxa"/>
            <w:vAlign w:val="bottom"/>
            <w:tcBorders>
              <w:bottom w:val="single" w:sz="8" w:color="CFF0FC"/>
            </w:tcBorders>
            <w:shd w:val="clear" w:color="auto" w:fill="CFF0FC"/>
          </w:tcPr>
          <w:p>
            <w:pPr>
              <w:spacing w:after="0"/>
              <w:rPr>
                <w:sz w:val="19"/>
                <w:szCs w:val="19"/>
                <w:color w:val="auto"/>
              </w:rPr>
            </w:pPr>
          </w:p>
        </w:tc>
        <w:tc>
          <w:tcPr>
            <w:tcW w:w="1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6,451</w:t>
            </w:r>
          </w:p>
        </w:tc>
        <w:tc>
          <w:tcPr>
            <w:tcW w:w="20" w:type="dxa"/>
            <w:vAlign w:val="bottom"/>
            <w:tcBorders>
              <w:bottom w:val="single" w:sz="8" w:color="auto"/>
            </w:tcBorders>
            <w:shd w:val="clear" w:color="auto" w:fill="CFF0FC"/>
          </w:tcPr>
          <w:p>
            <w:pPr>
              <w:spacing w:after="0"/>
              <w:rPr>
                <w:sz w:val="19"/>
                <w:szCs w:val="19"/>
                <w:color w:val="auto"/>
              </w:rPr>
            </w:pPr>
          </w:p>
        </w:tc>
        <w:tc>
          <w:tcPr>
            <w:tcW w:w="220" w:type="dxa"/>
            <w:vAlign w:val="bottom"/>
            <w:tcBorders>
              <w:bottom w:val="single" w:sz="8" w:color="CFF0FC"/>
            </w:tcBorders>
            <w:shd w:val="clear" w:color="auto" w:fill="CFF0FC"/>
          </w:tcPr>
          <w:p>
            <w:pPr>
              <w:spacing w:after="0"/>
              <w:rPr>
                <w:sz w:val="19"/>
                <w:szCs w:val="19"/>
                <w:color w:val="auto"/>
              </w:rPr>
            </w:pPr>
          </w:p>
        </w:tc>
        <w:tc>
          <w:tcPr>
            <w:tcW w:w="1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738</w:t>
            </w:r>
          </w:p>
        </w:tc>
        <w:tc>
          <w:tcPr>
            <w:tcW w:w="200" w:type="dxa"/>
            <w:vAlign w:val="bottom"/>
            <w:tcBorders>
              <w:bottom w:val="single" w:sz="8" w:color="CFF0FC"/>
            </w:tcBorders>
            <w:shd w:val="clear" w:color="auto" w:fill="CFF0FC"/>
          </w:tcPr>
          <w:p>
            <w:pPr>
              <w:spacing w:after="0"/>
              <w:rPr>
                <w:sz w:val="19"/>
                <w:szCs w:val="19"/>
                <w:color w:val="auto"/>
              </w:rPr>
            </w:pPr>
          </w:p>
        </w:tc>
        <w:tc>
          <w:tcPr>
            <w:tcW w:w="40" w:type="dxa"/>
            <w:vAlign w:val="bottom"/>
            <w:tcBorders>
              <w:bottom w:val="single" w:sz="8" w:color="CFF0FC"/>
            </w:tcBorders>
            <w:shd w:val="clear" w:color="auto" w:fill="CFF0FC"/>
          </w:tcPr>
          <w:p>
            <w:pPr>
              <w:spacing w:after="0"/>
              <w:rPr>
                <w:sz w:val="19"/>
                <w:szCs w:val="19"/>
                <w:color w:val="auto"/>
              </w:rPr>
            </w:pPr>
          </w:p>
        </w:tc>
        <w:tc>
          <w:tcPr>
            <w:tcW w:w="1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tcBorders>
              <w:bottom w:val="single" w:sz="8" w:color="auto"/>
            </w:tcBorders>
            <w:shd w:val="clear" w:color="auto" w:fill="CFF0FC"/>
          </w:tcPr>
          <w:p>
            <w:pPr>
              <w:ind w:left="680"/>
              <w:spacing w:after="0"/>
              <w:rPr>
                <w:sz w:val="20"/>
                <w:szCs w:val="20"/>
                <w:color w:val="auto"/>
              </w:rPr>
            </w:pPr>
            <w:r>
              <w:rPr>
                <w:rFonts w:ascii="Arial" w:cs="Arial" w:eastAsia="Arial" w:hAnsi="Arial"/>
                <w:sz w:val="18"/>
                <w:szCs w:val="18"/>
                <w:color w:val="auto"/>
                <w:w w:val="99"/>
              </w:rPr>
              <w:t>—</w:t>
            </w:r>
          </w:p>
        </w:tc>
        <w:tc>
          <w:tcPr>
            <w:tcW w:w="240" w:type="dxa"/>
            <w:vAlign w:val="bottom"/>
            <w:tcBorders>
              <w:bottom w:val="single" w:sz="8" w:color="CFF0FC"/>
            </w:tcBorders>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jc w:val="right"/>
              <w:ind w:right="65"/>
              <w:spacing w:after="0"/>
              <w:rPr>
                <w:sz w:val="20"/>
                <w:szCs w:val="20"/>
                <w:color w:val="auto"/>
              </w:rPr>
            </w:pPr>
            <w:r>
              <w:rPr>
                <w:rFonts w:ascii="Arial" w:cs="Arial" w:eastAsia="Arial" w:hAnsi="Arial"/>
                <w:sz w:val="15"/>
                <w:szCs w:val="15"/>
                <w:color w:val="auto"/>
                <w:w w:val="71"/>
              </w:rPr>
              <w:t>$</w:t>
            </w:r>
          </w:p>
        </w:tc>
        <w:tc>
          <w:tcPr>
            <w:tcW w:w="8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16,400</w:t>
            </w:r>
          </w:p>
        </w:tc>
        <w:tc>
          <w:tcPr>
            <w:tcW w:w="100" w:type="dxa"/>
            <w:vAlign w:val="bottom"/>
            <w:tcBorders>
              <w:bottom w:val="single" w:sz="8" w:color="CFF0FC"/>
            </w:tcBorders>
            <w:shd w:val="clear" w:color="auto" w:fill="CFF0FC"/>
          </w:tcPr>
          <w:p>
            <w:pPr>
              <w:spacing w:after="0"/>
              <w:rPr>
                <w:sz w:val="19"/>
                <w:szCs w:val="19"/>
                <w:color w:val="auto"/>
              </w:rPr>
            </w:pPr>
          </w:p>
        </w:tc>
      </w:tr>
      <w:tr>
        <w:trPr>
          <w:trHeight w:val="20"/>
        </w:trPr>
        <w:tc>
          <w:tcPr>
            <w:tcW w:w="402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88" w:lineRule="exact"/>
        <w:rPr>
          <w:sz w:val="20"/>
          <w:szCs w:val="20"/>
          <w:color w:val="auto"/>
        </w:rPr>
      </w:pPr>
    </w:p>
    <w:p>
      <w:pPr>
        <w:ind w:left="440" w:right="40" w:hanging="432"/>
        <w:spacing w:after="0" w:line="259" w:lineRule="auto"/>
        <w:tabs>
          <w:tab w:leader="none" w:pos="440" w:val="left"/>
        </w:tabs>
        <w:numPr>
          <w:ilvl w:val="0"/>
          <w:numId w:val="52"/>
        </w:numPr>
        <w:rPr>
          <w:rFonts w:ascii="Arial" w:cs="Arial" w:eastAsia="Arial" w:hAnsi="Arial"/>
          <w:sz w:val="18"/>
          <w:szCs w:val="18"/>
          <w:color w:val="231F20"/>
        </w:rPr>
      </w:pPr>
      <w:r>
        <w:rPr>
          <w:rFonts w:ascii="Arial" w:cs="Arial" w:eastAsia="Arial" w:hAnsi="Arial"/>
          <w:sz w:val="18"/>
          <w:szCs w:val="18"/>
          <w:color w:val="231F20"/>
        </w:rPr>
        <w:t>Represents our loan with Oxford and our anticipated repayment schedule for the loan. Pursuant to our loan agreement with Oxford, the loan will mature in July 2019. The loan with Oxford accrues interest at prime plus 8.5% per annum. The outstanding principal balance on the Oxford loan was $21.3 million at December 31, 2016 and $13.3 million as of December 31, 2017, which includes a final payment of $1.3 million to Oxford on the maturity of the loan.</w:t>
      </w:r>
    </w:p>
    <w:p>
      <w:pPr>
        <w:spacing w:after="0" w:line="1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Off-Balance Sheet Arrangements</w:t>
      </w:r>
    </w:p>
    <w:p>
      <w:pPr>
        <w:spacing w:after="0" w:line="121" w:lineRule="exact"/>
        <w:rPr>
          <w:sz w:val="20"/>
          <w:szCs w:val="20"/>
          <w:color w:val="auto"/>
        </w:rPr>
      </w:pPr>
    </w:p>
    <w:p>
      <w:pPr>
        <w:ind w:right="340"/>
        <w:spacing w:after="0" w:line="277" w:lineRule="auto"/>
        <w:rPr>
          <w:sz w:val="20"/>
          <w:szCs w:val="20"/>
          <w:color w:val="auto"/>
        </w:rPr>
      </w:pPr>
      <w:r>
        <w:rPr>
          <w:rFonts w:ascii="Arial" w:cs="Arial" w:eastAsia="Arial" w:hAnsi="Arial"/>
          <w:sz w:val="18"/>
          <w:szCs w:val="18"/>
          <w:color w:val="auto"/>
        </w:rPr>
        <w:t>We do not currently engage in off-balance sheet financing arrangements. In addition, we do not have any interest in entities referred to as variable interest entities, which includes special purpose entities and other structure finance entities.</w:t>
      </w:r>
    </w:p>
    <w:p>
      <w:pPr>
        <w:spacing w:after="0" w:line="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 and Estimates</w:t>
      </w:r>
    </w:p>
    <w:p>
      <w:pPr>
        <w:spacing w:after="0" w:line="121" w:lineRule="exact"/>
        <w:rPr>
          <w:sz w:val="20"/>
          <w:szCs w:val="20"/>
          <w:color w:val="auto"/>
        </w:rPr>
      </w:pPr>
    </w:p>
    <w:p>
      <w:pPr>
        <w:jc w:val="both"/>
        <w:ind w:right="180"/>
        <w:spacing w:after="0" w:line="297" w:lineRule="auto"/>
        <w:rPr>
          <w:sz w:val="20"/>
          <w:szCs w:val="20"/>
          <w:color w:val="auto"/>
        </w:rPr>
      </w:pPr>
      <w:r>
        <w:rPr>
          <w:rFonts w:ascii="Arial" w:cs="Arial" w:eastAsia="Arial" w:hAnsi="Arial"/>
          <w:sz w:val="16"/>
          <w:szCs w:val="16"/>
          <w:color w:val="auto"/>
        </w:rPr>
        <w:t>Our consolidated financial statements are prepared in accordance with U.S GAAP. The preparation of these consolidated financial statements requires us to make estimates and assumptions that affect the reported amounts of assets, liabilities, revenue, costs and expenses, and related disclosures. These estimates form the basis for judgments we make about the carrying values of our assets and liabilities, which are not readily apparent from other sources. We base our estimates and judgments on historical experience and on various other assumptions that we believe are reasonable under the circumstances. On an ongoing basis, we evaluate our estimates and assumptions. Our actual results may differ from these estimates under different assumptions or conditions.</w:t>
      </w:r>
    </w:p>
    <w:p>
      <w:pPr>
        <w:spacing w:after="0" w:line="50" w:lineRule="exact"/>
        <w:rPr>
          <w:sz w:val="20"/>
          <w:szCs w:val="20"/>
          <w:color w:val="auto"/>
        </w:rPr>
      </w:pPr>
    </w:p>
    <w:p>
      <w:pPr>
        <w:jc w:val="both"/>
        <w:ind w:right="60"/>
        <w:spacing w:after="0" w:line="264" w:lineRule="auto"/>
        <w:rPr>
          <w:sz w:val="20"/>
          <w:szCs w:val="20"/>
          <w:color w:val="auto"/>
        </w:rPr>
      </w:pPr>
      <w:r>
        <w:rPr>
          <w:rFonts w:ascii="Arial" w:cs="Arial" w:eastAsia="Arial" w:hAnsi="Arial"/>
          <w:sz w:val="18"/>
          <w:szCs w:val="18"/>
          <w:color w:val="auto"/>
        </w:rPr>
        <w:t>While our significant accounting policies are more fully described in Note 2 to our consolidated financial statements included in this Report, we believe that the assumptions and estimates associated with stock-based compensation, preferred stock warrant liabilities, revenue recognition and income taxes have the most</w:t>
      </w:r>
    </w:p>
    <w:p>
      <w:pPr>
        <w:spacing w:after="0" w:line="200" w:lineRule="exact"/>
        <w:rPr>
          <w:sz w:val="20"/>
          <w:szCs w:val="20"/>
          <w:color w:val="auto"/>
        </w:rPr>
      </w:pP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490" w:right="239" w:bottom="1440" w:gutter="0" w:footer="0" w:header="0"/>
        </w:sectPr>
      </w:pPr>
    </w:p>
    <w:bookmarkStart w:id="70" w:name="page71"/>
    <w:bookmarkEnd w:id="70"/>
    <w:p>
      <w:pPr>
        <w:ind w:right="880"/>
        <w:spacing w:after="0" w:line="399" w:lineRule="auto"/>
        <w:rPr>
          <w:sz w:val="20"/>
          <w:szCs w:val="20"/>
          <w:color w:val="auto"/>
        </w:rPr>
      </w:pPr>
      <w:r>
        <w:rPr>
          <w:rFonts w:ascii="Arial" w:cs="Arial" w:eastAsia="Arial" w:hAnsi="Arial"/>
          <w:sz w:val="18"/>
          <w:szCs w:val="18"/>
          <w:color w:val="auto"/>
        </w:rPr>
        <w:t xml:space="preserve">significant impact on our consolidated financial statements. Therefore, we consider these to be our critical accounting policies and estimates. </w:t>
      </w:r>
      <w:r>
        <w:rPr>
          <w:rFonts w:ascii="Arial" w:cs="Arial" w:eastAsia="Arial" w:hAnsi="Arial"/>
          <w:sz w:val="18"/>
          <w:szCs w:val="18"/>
          <w:b w:val="1"/>
          <w:bCs w:val="1"/>
          <w:i w:val="1"/>
          <w:iCs w:val="1"/>
          <w:color w:val="auto"/>
        </w:rPr>
        <w:t>Stock-Based Compensation</w:t>
      </w:r>
    </w:p>
    <w:p>
      <w:pPr>
        <w:spacing w:after="0" w:line="1" w:lineRule="exact"/>
        <w:rPr>
          <w:sz w:val="20"/>
          <w:szCs w:val="20"/>
          <w:color w:val="auto"/>
        </w:rPr>
      </w:pPr>
    </w:p>
    <w:p>
      <w:pPr>
        <w:ind w:right="100"/>
        <w:spacing w:after="0" w:line="302" w:lineRule="auto"/>
        <w:rPr>
          <w:sz w:val="20"/>
          <w:szCs w:val="20"/>
          <w:color w:val="auto"/>
        </w:rPr>
      </w:pPr>
      <w:r>
        <w:rPr>
          <w:rFonts w:ascii="Arial" w:cs="Arial" w:eastAsia="Arial" w:hAnsi="Arial"/>
          <w:sz w:val="16"/>
          <w:szCs w:val="16"/>
          <w:color w:val="auto"/>
        </w:rPr>
        <w:t>U.S. GAAP requires the measurement and recognition of compensation expense for all share-based payment awards, including stock options, using a fair-value based method. The Company estimates the fair value of share-based payment awards on the date of grant using a Black-Scholes-Merton option-pricing model. Stock-based compensation is recognized on a straight-line basis over the requisite service period based on awards ultimately expected to vest. Forfeitures are estimated at the time of grant and revised, if necessary, in subsequent periods if actual forfeitures differ from those estimates.</w:t>
      </w:r>
    </w:p>
    <w:p>
      <w:pPr>
        <w:spacing w:after="0" w:line="46" w:lineRule="exact"/>
        <w:rPr>
          <w:sz w:val="20"/>
          <w:szCs w:val="20"/>
          <w:color w:val="auto"/>
        </w:rPr>
      </w:pPr>
    </w:p>
    <w:p>
      <w:pPr>
        <w:ind w:right="320"/>
        <w:spacing w:after="0" w:line="264" w:lineRule="auto"/>
        <w:rPr>
          <w:sz w:val="20"/>
          <w:szCs w:val="20"/>
          <w:color w:val="auto"/>
        </w:rPr>
      </w:pPr>
      <w:r>
        <w:rPr>
          <w:rFonts w:ascii="Arial" w:cs="Arial" w:eastAsia="Arial" w:hAnsi="Arial"/>
          <w:sz w:val="18"/>
          <w:szCs w:val="18"/>
          <w:color w:val="auto"/>
        </w:rPr>
        <w:t>Stock-based awards granted to non-employees are accounted for at fair value. The associated expense is recognized by the Company over the period the services are performed by non-employees. The fair value of stock-based awards granted to non-employees was nominal for the years ended December 31, 2017, 2016 and 2015.</w:t>
      </w:r>
    </w:p>
    <w:p>
      <w:pPr>
        <w:spacing w:after="0" w:line="10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Preferred Stock Warrants Liabilities</w:t>
      </w:r>
    </w:p>
    <w:p>
      <w:pPr>
        <w:spacing w:after="0" w:line="117" w:lineRule="exact"/>
        <w:rPr>
          <w:sz w:val="20"/>
          <w:szCs w:val="20"/>
          <w:color w:val="auto"/>
        </w:rPr>
      </w:pPr>
    </w:p>
    <w:p>
      <w:pPr>
        <w:ind w:right="20"/>
        <w:spacing w:after="0" w:line="273" w:lineRule="auto"/>
        <w:rPr>
          <w:sz w:val="20"/>
          <w:szCs w:val="20"/>
          <w:color w:val="auto"/>
        </w:rPr>
      </w:pPr>
      <w:r>
        <w:rPr>
          <w:rFonts w:ascii="Arial" w:cs="Arial" w:eastAsia="Arial" w:hAnsi="Arial"/>
          <w:sz w:val="17"/>
          <w:szCs w:val="17"/>
          <w:color w:val="auto"/>
        </w:rPr>
        <w:t>The Company accounted for its freestanding warrants to purchase shares of convertible preferred stock that are contingently redeemable as liabilities in the consolidated balance sheets at their estimated fair value because these warrants may have obligated the Company to redeem them at some point in the future. Accordingly, at the end of each reporting period, the Company recorded changes in the estimated fair value of the warrants in other income (expense), net in the consolidated statements of operations. Upon the closing of the IPO (as discussed in Note 1 to our consolidated statements included herein), all outstanding preferred stock warrants were converted into common stock warrants and the liability on the preferred stock warrants was reclassified to additional paid-in capital in stockholders’ equity (deficit) and was no longer subject to remeasurement.</w:t>
      </w:r>
    </w:p>
    <w:p>
      <w:pPr>
        <w:spacing w:after="0" w:line="11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Income Taxes</w:t>
      </w:r>
    </w:p>
    <w:p>
      <w:pPr>
        <w:spacing w:after="0" w:line="117" w:lineRule="exact"/>
        <w:rPr>
          <w:sz w:val="20"/>
          <w:szCs w:val="20"/>
          <w:color w:val="auto"/>
        </w:rPr>
      </w:pPr>
    </w:p>
    <w:p>
      <w:pPr>
        <w:ind w:right="120"/>
        <w:spacing w:after="0" w:line="255" w:lineRule="auto"/>
        <w:rPr>
          <w:sz w:val="20"/>
          <w:szCs w:val="20"/>
          <w:color w:val="auto"/>
        </w:rPr>
      </w:pPr>
      <w:r>
        <w:rPr>
          <w:rFonts w:ascii="Arial" w:cs="Arial" w:eastAsia="Arial" w:hAnsi="Arial"/>
          <w:sz w:val="18"/>
          <w:szCs w:val="18"/>
          <w:color w:val="auto"/>
        </w:rPr>
        <w:t>Income taxes are accounted for under the asset and liability method. Deferred tax assets and liabilities are recognized for the future tax consequences attributable to differences between the tax and financial reporting bases of the Company’s assets and liabilities. Deferred tax assets and liabilities are measured using enacted tax rates expected to apply to taxable income in future years in which those temporary differences are expected to be recovered or settled. Deferred tax assets are reduced through the establishment of a valuation allowance, if, based upon available evidence, it is determined that it is more likely than not that the deferred tax assets will not be realized. All deferred tax assets and liabilities are classified as non-current in the consolidated financial statements.</w:t>
      </w:r>
    </w:p>
    <w:p>
      <w:pPr>
        <w:spacing w:after="0" w:line="85" w:lineRule="exact"/>
        <w:rPr>
          <w:sz w:val="20"/>
          <w:szCs w:val="20"/>
          <w:color w:val="auto"/>
        </w:rPr>
      </w:pPr>
    </w:p>
    <w:p>
      <w:pPr>
        <w:spacing w:after="0" w:line="286" w:lineRule="auto"/>
        <w:rPr>
          <w:sz w:val="20"/>
          <w:szCs w:val="20"/>
          <w:color w:val="auto"/>
        </w:rPr>
      </w:pPr>
      <w:r>
        <w:rPr>
          <w:rFonts w:ascii="Arial" w:cs="Arial" w:eastAsia="Arial" w:hAnsi="Arial"/>
          <w:sz w:val="17"/>
          <w:szCs w:val="17"/>
          <w:color w:val="auto"/>
        </w:rPr>
        <w:t>As further discussed in Note 12, Income Taxes, in the accompanying consolidated financial statements, we are assessing the impact of the U.S. tax reform that was enacted in December 2017. As a result of the new tax rule, we reduced our income tax rate from 35% to 21% for tax years beginning after December 31, 2017 resulting in a $20.7 million decrease in the deferred tax asset and the corresponding valuation allowance.</w:t>
      </w:r>
    </w:p>
    <w:p>
      <w:pPr>
        <w:spacing w:after="0" w:line="9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JOBS Act Accounting Election</w:t>
      </w:r>
    </w:p>
    <w:p>
      <w:pPr>
        <w:spacing w:after="0" w:line="121" w:lineRule="exact"/>
        <w:rPr>
          <w:sz w:val="20"/>
          <w:szCs w:val="20"/>
          <w:color w:val="auto"/>
        </w:rPr>
      </w:pPr>
    </w:p>
    <w:p>
      <w:pPr>
        <w:ind w:right="60"/>
        <w:spacing w:after="0" w:line="273" w:lineRule="auto"/>
        <w:rPr>
          <w:sz w:val="20"/>
          <w:szCs w:val="20"/>
          <w:color w:val="auto"/>
        </w:rPr>
      </w:pPr>
      <w:r>
        <w:rPr>
          <w:rFonts w:ascii="Arial" w:cs="Arial" w:eastAsia="Arial" w:hAnsi="Arial"/>
          <w:sz w:val="17"/>
          <w:szCs w:val="17"/>
          <w:color w:val="auto"/>
        </w:rPr>
        <w:t>We are an emerging growth company, as defined in the Jumpstart Our Business Startups Act of 2012, or the JOBS Act. Under the JOBS Act, emerging growth companies can delay adopting new or revised accounting standards issued subsequent to the enactment of the JOBS Act until such time as those standards apply to private companies. We have elected to use this extended transition period for complying with new or revised accounting standards that have different effective dates for public and private companies until the earlier of the date we (i) are no longer an emerging growth company or (ii) affirmatively and irrevocably opt out of the extended transition period provided in the JOBS Act. As a result, our financial statements may not be comparable to companies that comply with new or revised accounting pronouncements as of public company effective dates.</w:t>
      </w:r>
    </w:p>
    <w:p>
      <w:pPr>
        <w:spacing w:after="0" w:line="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Accounting Pronouncements</w:t>
      </w:r>
    </w:p>
    <w:p>
      <w:pPr>
        <w:spacing w:after="0" w:line="121" w:lineRule="exact"/>
        <w:rPr>
          <w:sz w:val="20"/>
          <w:szCs w:val="20"/>
          <w:color w:val="auto"/>
        </w:rPr>
      </w:pPr>
    </w:p>
    <w:p>
      <w:pPr>
        <w:ind w:right="60"/>
        <w:spacing w:after="0" w:line="277" w:lineRule="auto"/>
        <w:rPr>
          <w:sz w:val="20"/>
          <w:szCs w:val="20"/>
          <w:color w:val="auto"/>
        </w:rPr>
      </w:pPr>
      <w:r>
        <w:rPr>
          <w:rFonts w:ascii="Arial" w:cs="Arial" w:eastAsia="Arial" w:hAnsi="Arial"/>
          <w:sz w:val="18"/>
          <w:szCs w:val="18"/>
          <w:color w:val="auto"/>
        </w:rPr>
        <w:t>See Note 2 to our consolidated financial statements included elsewhere in this Annual Report on Form 10-K for recently adopted accounting pronouncements and recently issued accounting pronouncements not yet adopted as of the date of this Annual Report on Form 10-K.</w:t>
      </w:r>
    </w:p>
    <w:p>
      <w:pPr>
        <w:spacing w:after="0" w:line="9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7A.Quantitative and Qualitative Disclosures About Market Risk.</w:t>
      </w:r>
    </w:p>
    <w:p>
      <w:pPr>
        <w:spacing w:after="0" w:line="121" w:lineRule="exact"/>
        <w:rPr>
          <w:sz w:val="20"/>
          <w:szCs w:val="20"/>
          <w:color w:val="auto"/>
        </w:rPr>
      </w:pPr>
    </w:p>
    <w:p>
      <w:pPr>
        <w:spacing w:after="0"/>
        <w:rPr>
          <w:sz w:val="20"/>
          <w:szCs w:val="20"/>
          <w:color w:val="auto"/>
        </w:rPr>
      </w:pPr>
      <w:r>
        <w:rPr>
          <w:rFonts w:ascii="Arial" w:cs="Arial" w:eastAsia="Arial" w:hAnsi="Arial"/>
          <w:sz w:val="16"/>
          <w:szCs w:val="16"/>
          <w:color w:val="auto"/>
        </w:rPr>
        <w:t>We are exposed to market risks in the ordinary course of our business. These risks primarily relate to interest rate and currency exchange rate fluctuations.</w:t>
      </w:r>
    </w:p>
    <w:p>
      <w:pPr>
        <w:spacing w:after="0" w:line="200" w:lineRule="exact"/>
        <w:rPr>
          <w:sz w:val="20"/>
          <w:szCs w:val="20"/>
          <w:color w:val="auto"/>
        </w:rPr>
      </w:pPr>
    </w:p>
    <w:p>
      <w:pPr>
        <w:spacing w:after="0" w:line="29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449" w:right="239" w:bottom="1440" w:gutter="0" w:footer="0" w:header="0"/>
        </w:sectPr>
      </w:pPr>
    </w:p>
    <w:bookmarkStart w:id="71" w:name="page72"/>
    <w:bookmarkEnd w:id="71"/>
    <w:p>
      <w:pPr>
        <w:spacing w:after="0"/>
        <w:rPr>
          <w:sz w:val="20"/>
          <w:szCs w:val="20"/>
          <w:color w:val="auto"/>
        </w:rPr>
      </w:pPr>
      <w:r>
        <w:rPr>
          <w:rFonts w:ascii="Arial" w:cs="Arial" w:eastAsia="Arial" w:hAnsi="Arial"/>
          <w:sz w:val="18"/>
          <w:szCs w:val="18"/>
          <w:b w:val="1"/>
          <w:bCs w:val="1"/>
          <w:i w:val="1"/>
          <w:iCs w:val="1"/>
          <w:color w:val="auto"/>
        </w:rPr>
        <w:t>Interest Rate Risk</w:t>
      </w:r>
    </w:p>
    <w:p>
      <w:pPr>
        <w:spacing w:after="0" w:line="117"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Our cash and cash equivalents are held in cash deposits and money market funds. Due to the short-term nature of these instruments, we do not believe that we have any material exposure to changes in the fair value of our investment portfolio as a result of changes in interest rates. Declines in interest rates, however, would reduce our future interest income.</w:t>
      </w:r>
    </w:p>
    <w:p>
      <w:pPr>
        <w:spacing w:after="0" w:line="73" w:lineRule="exact"/>
        <w:rPr>
          <w:sz w:val="20"/>
          <w:szCs w:val="20"/>
          <w:color w:val="auto"/>
        </w:rPr>
      </w:pPr>
    </w:p>
    <w:p>
      <w:pPr>
        <w:ind w:right="320"/>
        <w:spacing w:after="0" w:line="342" w:lineRule="auto"/>
        <w:rPr>
          <w:sz w:val="20"/>
          <w:szCs w:val="20"/>
          <w:color w:val="auto"/>
        </w:rPr>
      </w:pPr>
      <w:r>
        <w:rPr>
          <w:rFonts w:ascii="Arial" w:cs="Arial" w:eastAsia="Arial" w:hAnsi="Arial"/>
          <w:sz w:val="16"/>
          <w:szCs w:val="16"/>
          <w:color w:val="auto"/>
        </w:rPr>
        <w:t>We are exposed to interest rate risk related to our debt obligations which are subject to variable interest rates. As of December 31, 2017, a 100 basis point increase in interest rates on our debt subject to variable interest rate fluctuations would increase our interest expense $0.1 million annually.</w:t>
      </w:r>
    </w:p>
    <w:p>
      <w:pPr>
        <w:spacing w:after="0" w:line="4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Foreign Currency Risk</w:t>
      </w:r>
    </w:p>
    <w:p>
      <w:pPr>
        <w:spacing w:after="0" w:line="117"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Our sales contracts are primarily denominated in U.S. dollars and, therefore, substantially all of our revenue is not subject to foreign currency risk. However, a strengthening of the U.S. Dollar could increase the real cost of our products to our customers outside of the U.S., which could adversely affect our financial condition and operating results. In addition, a portion of our operating expenses are incurred outside the U.S. and are denominated in foreign currencies and are subject to fluctuations due to changes in foreign currency exchange rates, particularly changes in the British Pound Sterling, Euro, Hong Kong Dollar, and South Korean Won. Additionally, fluctuations in foreign currency exchange rates may cause us to recognize transaction gains and losses in our statement of operations. A 10% increase or decrease in current exchange rates would not have a material effect on our financial results. To date, foreign currency transaction gains and losses have not been material to our consolidated financial statements, and we have not engaged in any foreign currency hedging transactions.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8.Consolidated Financial Statements and Supplementary Data.</w:t>
      </w:r>
    </w:p>
    <w:p>
      <w:pPr>
        <w:spacing w:after="0" w:line="200" w:lineRule="exact"/>
        <w:rPr>
          <w:sz w:val="20"/>
          <w:szCs w:val="20"/>
          <w:color w:val="auto"/>
        </w:rPr>
      </w:pPr>
    </w:p>
    <w:p>
      <w:pPr>
        <w:spacing w:after="0" w:line="27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380"/>
          </w:cols>
          <w:pgMar w:left="240" w:top="490" w:right="279" w:bottom="1440" w:gutter="0" w:footer="0" w:header="0"/>
        </w:sectPr>
      </w:pPr>
    </w:p>
    <w:bookmarkStart w:id="72" w:name="page73"/>
    <w:bookmarkEnd w:id="72"/>
    <w:p>
      <w:pPr>
        <w:spacing w:after="0"/>
        <w:rPr>
          <w:sz w:val="20"/>
          <w:szCs w:val="20"/>
          <w:color w:val="auto"/>
        </w:rPr>
      </w:pPr>
      <w:r>
        <w:rPr>
          <w:rFonts w:ascii="Arial" w:cs="Arial" w:eastAsia="Arial" w:hAnsi="Arial"/>
          <w:sz w:val="18"/>
          <w:szCs w:val="18"/>
          <w:b w:val="1"/>
          <w:bCs w:val="1"/>
          <w:color w:val="auto"/>
        </w:rPr>
        <w:t>INDEX TO CONSOLIDATED FINANCIAL STATEMENTS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10980" w:type="dxa"/>
            <w:vAlign w:val="bottom"/>
            <w:gridSpan w:val="8"/>
          </w:tcPr>
          <w:p>
            <w:pPr>
              <w:spacing w:after="0"/>
              <w:rPr>
                <w:sz w:val="20"/>
                <w:szCs w:val="20"/>
                <w:color w:val="auto"/>
              </w:rPr>
            </w:pPr>
            <w:r>
              <w:rPr>
                <w:rFonts w:ascii="Arial" w:cs="Arial" w:eastAsia="Arial" w:hAnsi="Arial"/>
                <w:sz w:val="14"/>
                <w:szCs w:val="14"/>
                <w:b w:val="1"/>
                <w:bCs w:val="1"/>
                <w:color w:val="auto"/>
              </w:rPr>
              <w:t>RESTORATION ROBOTICS</w:t>
            </w:r>
          </w:p>
        </w:tc>
        <w:tc>
          <w:tcPr>
            <w:tcW w:w="460" w:type="dxa"/>
            <w:vAlign w:val="bottom"/>
            <w:gridSpan w:val="2"/>
          </w:tcPr>
          <w:p>
            <w:pPr>
              <w:jc w:val="right"/>
              <w:ind w:right="100"/>
              <w:spacing w:after="0"/>
              <w:rPr>
                <w:sz w:val="20"/>
                <w:szCs w:val="20"/>
                <w:color w:val="auto"/>
              </w:rPr>
            </w:pPr>
            <w:r>
              <w:rPr>
                <w:rFonts w:ascii="Arial" w:cs="Arial" w:eastAsia="Arial" w:hAnsi="Arial"/>
                <w:sz w:val="14"/>
                <w:szCs w:val="14"/>
                <w:b w:val="1"/>
                <w:bCs w:val="1"/>
                <w:color w:val="auto"/>
              </w:rPr>
              <w:t>Page</w:t>
            </w:r>
          </w:p>
        </w:tc>
      </w:tr>
      <w:tr>
        <w:trPr>
          <w:trHeight w:val="169"/>
        </w:trPr>
        <w:tc>
          <w:tcPr>
            <w:tcW w:w="10980" w:type="dxa"/>
            <w:vAlign w:val="bottom"/>
            <w:gridSpan w:val="8"/>
          </w:tcPr>
          <w:p>
            <w:pPr>
              <w:spacing w:after="0" w:line="170" w:lineRule="exact"/>
              <w:rPr>
                <w:rFonts w:ascii="Arial" w:cs="Arial" w:eastAsia="Arial" w:hAnsi="Arial"/>
                <w:sz w:val="18"/>
                <w:szCs w:val="18"/>
                <w:color w:val="0000EE"/>
              </w:rPr>
            </w:pPr>
            <w:hyperlink w:anchor="page74">
              <w:r>
                <w:rPr>
                  <w:rFonts w:ascii="Arial" w:cs="Arial" w:eastAsia="Arial" w:hAnsi="Arial"/>
                  <w:sz w:val="18"/>
                  <w:szCs w:val="18"/>
                  <w:color w:val="0000EE"/>
                </w:rPr>
                <w:t>Report of Independent Registered Public Accounting Firm</w:t>
              </w:r>
            </w:hyperlink>
          </w:p>
        </w:tc>
        <w:tc>
          <w:tcPr>
            <w:tcW w:w="440" w:type="dxa"/>
            <w:vAlign w:val="bottom"/>
            <w:tcBorders>
              <w:top w:val="single" w:sz="8" w:color="auto"/>
            </w:tcBorders>
          </w:tcPr>
          <w:p>
            <w:pPr>
              <w:jc w:val="right"/>
              <w:spacing w:after="0" w:line="170" w:lineRule="exact"/>
              <w:rPr>
                <w:sz w:val="20"/>
                <w:szCs w:val="20"/>
                <w:color w:val="auto"/>
              </w:rPr>
            </w:pPr>
            <w:r>
              <w:rPr>
                <w:rFonts w:ascii="Arial" w:cs="Arial" w:eastAsia="Arial" w:hAnsi="Arial"/>
                <w:sz w:val="18"/>
                <w:szCs w:val="18"/>
                <w:color w:val="auto"/>
              </w:rPr>
              <w:t>73</w:t>
            </w:r>
          </w:p>
        </w:tc>
        <w:tc>
          <w:tcPr>
            <w:tcW w:w="20" w:type="dxa"/>
            <w:vAlign w:val="bottom"/>
          </w:tcPr>
          <w:p>
            <w:pPr>
              <w:spacing w:after="0"/>
              <w:rPr>
                <w:sz w:val="14"/>
                <w:szCs w:val="14"/>
                <w:color w:val="auto"/>
              </w:rPr>
            </w:pPr>
          </w:p>
        </w:tc>
      </w:tr>
      <w:tr>
        <w:trPr>
          <w:trHeight w:val="196"/>
        </w:trPr>
        <w:tc>
          <w:tcPr>
            <w:tcW w:w="2100" w:type="dxa"/>
            <w:vAlign w:val="bottom"/>
            <w:tcBorders>
              <w:top w:val="single" w:sz="8" w:color="0000EE"/>
              <w:bottom w:val="single" w:sz="8" w:color="0000EE"/>
            </w:tcBorders>
          </w:tcPr>
          <w:p>
            <w:pPr>
              <w:spacing w:after="0" w:line="196" w:lineRule="exact"/>
              <w:rPr>
                <w:rFonts w:ascii="Arial" w:cs="Arial" w:eastAsia="Arial" w:hAnsi="Arial"/>
                <w:sz w:val="18"/>
                <w:szCs w:val="18"/>
                <w:color w:val="0000EE"/>
                <w:w w:val="88"/>
              </w:rPr>
            </w:pPr>
            <w:hyperlink w:anchor="page75">
              <w:r>
                <w:rPr>
                  <w:rFonts w:ascii="Arial" w:cs="Arial" w:eastAsia="Arial" w:hAnsi="Arial"/>
                  <w:sz w:val="18"/>
                  <w:szCs w:val="18"/>
                  <w:color w:val="0000EE"/>
                  <w:w w:val="88"/>
                </w:rPr>
                <w:t>Consolidated Balance Sheets</w:t>
              </w:r>
            </w:hyperlink>
          </w:p>
        </w:tc>
        <w:tc>
          <w:tcPr>
            <w:tcW w:w="2120" w:type="dxa"/>
            <w:vAlign w:val="bottom"/>
            <w:tcBorders>
              <w:top w:val="single" w:sz="8" w:color="0000EE"/>
            </w:tcBorders>
            <w:gridSpan w:val="5"/>
          </w:tcPr>
          <w:p>
            <w:pPr>
              <w:spacing w:after="0"/>
              <w:rPr>
                <w:sz w:val="17"/>
                <w:szCs w:val="17"/>
                <w:color w:val="auto"/>
              </w:rPr>
            </w:pPr>
          </w:p>
        </w:tc>
        <w:tc>
          <w:tcPr>
            <w:tcW w:w="6760" w:type="dxa"/>
            <w:vAlign w:val="bottom"/>
            <w:gridSpan w:val="2"/>
          </w:tcPr>
          <w:p>
            <w:pPr>
              <w:spacing w:after="0"/>
              <w:rPr>
                <w:sz w:val="17"/>
                <w:szCs w:val="17"/>
                <w:color w:val="auto"/>
              </w:rPr>
            </w:pPr>
          </w:p>
        </w:tc>
        <w:tc>
          <w:tcPr>
            <w:tcW w:w="46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74</w:t>
            </w:r>
          </w:p>
        </w:tc>
      </w:tr>
      <w:tr>
        <w:trPr>
          <w:trHeight w:val="196"/>
        </w:trPr>
        <w:tc>
          <w:tcPr>
            <w:tcW w:w="10980" w:type="dxa"/>
            <w:vAlign w:val="bottom"/>
            <w:gridSpan w:val="8"/>
          </w:tcPr>
          <w:p>
            <w:pPr>
              <w:spacing w:after="0" w:line="196" w:lineRule="exact"/>
              <w:rPr>
                <w:rFonts w:ascii="Arial" w:cs="Arial" w:eastAsia="Arial" w:hAnsi="Arial"/>
                <w:sz w:val="18"/>
                <w:szCs w:val="18"/>
                <w:color w:val="0000EE"/>
              </w:rPr>
            </w:pPr>
            <w:hyperlink w:anchor="page76">
              <w:r>
                <w:rPr>
                  <w:rFonts w:ascii="Arial" w:cs="Arial" w:eastAsia="Arial" w:hAnsi="Arial"/>
                  <w:sz w:val="18"/>
                  <w:szCs w:val="18"/>
                  <w:color w:val="0000EE"/>
                </w:rPr>
                <w:t>Consolidated Statements of Operations</w:t>
              </w:r>
            </w:hyperlink>
          </w:p>
        </w:tc>
        <w:tc>
          <w:tcPr>
            <w:tcW w:w="46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75</w:t>
            </w:r>
          </w:p>
        </w:tc>
      </w:tr>
      <w:tr>
        <w:trPr>
          <w:trHeight w:val="20"/>
        </w:trPr>
        <w:tc>
          <w:tcPr>
            <w:tcW w:w="2820" w:type="dxa"/>
            <w:vAlign w:val="bottom"/>
            <w:gridSpan w:val="2"/>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060" w:type="dxa"/>
            <w:vAlign w:val="bottom"/>
            <w:gridSpan w:val="2"/>
          </w:tcPr>
          <w:p>
            <w:pPr>
              <w:spacing w:after="0" w:line="20" w:lineRule="exact"/>
              <w:rPr>
                <w:sz w:val="1"/>
                <w:szCs w:val="1"/>
                <w:color w:val="auto"/>
              </w:rPr>
            </w:pPr>
          </w:p>
        </w:tc>
        <w:tc>
          <w:tcPr>
            <w:tcW w:w="4380" w:type="dxa"/>
            <w:vAlign w:val="bottom"/>
          </w:tcPr>
          <w:p>
            <w:pPr>
              <w:spacing w:after="0" w:line="20" w:lineRule="exact"/>
              <w:rPr>
                <w:sz w:val="1"/>
                <w:szCs w:val="1"/>
                <w:color w:val="auto"/>
              </w:rPr>
            </w:pPr>
          </w:p>
        </w:tc>
        <w:tc>
          <w:tcPr>
            <w:tcW w:w="460" w:type="dxa"/>
            <w:vAlign w:val="bottom"/>
            <w:gridSpan w:val="2"/>
          </w:tcPr>
          <w:p>
            <w:pPr>
              <w:spacing w:after="0" w:line="20" w:lineRule="exact"/>
              <w:rPr>
                <w:sz w:val="1"/>
                <w:szCs w:val="1"/>
                <w:color w:val="auto"/>
              </w:rPr>
            </w:pPr>
          </w:p>
        </w:tc>
      </w:tr>
      <w:tr>
        <w:trPr>
          <w:trHeight w:val="196"/>
        </w:trPr>
        <w:tc>
          <w:tcPr>
            <w:tcW w:w="10980" w:type="dxa"/>
            <w:vAlign w:val="bottom"/>
            <w:gridSpan w:val="8"/>
          </w:tcPr>
          <w:p>
            <w:pPr>
              <w:spacing w:after="0" w:line="196" w:lineRule="exact"/>
              <w:rPr>
                <w:rFonts w:ascii="Arial" w:cs="Arial" w:eastAsia="Arial" w:hAnsi="Arial"/>
                <w:sz w:val="18"/>
                <w:szCs w:val="18"/>
                <w:color w:val="0000EE"/>
              </w:rPr>
            </w:pPr>
            <w:hyperlink w:anchor="page77">
              <w:r>
                <w:rPr>
                  <w:rFonts w:ascii="Arial" w:cs="Arial" w:eastAsia="Arial" w:hAnsi="Arial"/>
                  <w:sz w:val="18"/>
                  <w:szCs w:val="18"/>
                  <w:color w:val="0000EE"/>
                </w:rPr>
                <w:t>Consolidated Statements of Comprehensive Loss</w:t>
              </w:r>
            </w:hyperlink>
          </w:p>
        </w:tc>
        <w:tc>
          <w:tcPr>
            <w:tcW w:w="46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76</w:t>
            </w:r>
          </w:p>
        </w:tc>
      </w:tr>
      <w:tr>
        <w:trPr>
          <w:trHeight w:val="20"/>
        </w:trPr>
        <w:tc>
          <w:tcPr>
            <w:tcW w:w="2880" w:type="dxa"/>
            <w:vAlign w:val="bottom"/>
            <w:gridSpan w:val="3"/>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3060" w:type="dxa"/>
            <w:vAlign w:val="bottom"/>
            <w:gridSpan w:val="2"/>
          </w:tcPr>
          <w:p>
            <w:pPr>
              <w:spacing w:after="0" w:line="20" w:lineRule="exact"/>
              <w:rPr>
                <w:sz w:val="1"/>
                <w:szCs w:val="1"/>
                <w:color w:val="auto"/>
              </w:rPr>
            </w:pPr>
          </w:p>
        </w:tc>
        <w:tc>
          <w:tcPr>
            <w:tcW w:w="4380" w:type="dxa"/>
            <w:vAlign w:val="bottom"/>
          </w:tcPr>
          <w:p>
            <w:pPr>
              <w:spacing w:after="0" w:line="20" w:lineRule="exact"/>
              <w:rPr>
                <w:sz w:val="1"/>
                <w:szCs w:val="1"/>
                <w:color w:val="auto"/>
              </w:rPr>
            </w:pPr>
          </w:p>
        </w:tc>
        <w:tc>
          <w:tcPr>
            <w:tcW w:w="460" w:type="dxa"/>
            <w:vAlign w:val="bottom"/>
            <w:gridSpan w:val="2"/>
          </w:tcPr>
          <w:p>
            <w:pPr>
              <w:spacing w:after="0" w:line="20" w:lineRule="exact"/>
              <w:rPr>
                <w:sz w:val="1"/>
                <w:szCs w:val="1"/>
                <w:color w:val="auto"/>
              </w:rPr>
            </w:pPr>
          </w:p>
        </w:tc>
      </w:tr>
      <w:tr>
        <w:trPr>
          <w:trHeight w:val="196"/>
        </w:trPr>
        <w:tc>
          <w:tcPr>
            <w:tcW w:w="6600" w:type="dxa"/>
            <w:vAlign w:val="bottom"/>
            <w:tcBorders>
              <w:bottom w:val="single" w:sz="8" w:color="0000EE"/>
            </w:tcBorders>
            <w:gridSpan w:val="7"/>
          </w:tcPr>
          <w:p>
            <w:pPr>
              <w:spacing w:after="0" w:line="196" w:lineRule="exact"/>
              <w:rPr>
                <w:rFonts w:ascii="Arial" w:cs="Arial" w:eastAsia="Arial" w:hAnsi="Arial"/>
                <w:sz w:val="18"/>
                <w:szCs w:val="18"/>
                <w:color w:val="0000EE"/>
                <w:w w:val="91"/>
              </w:rPr>
            </w:pPr>
            <w:hyperlink w:anchor="page78">
              <w:r>
                <w:rPr>
                  <w:rFonts w:ascii="Arial" w:cs="Arial" w:eastAsia="Arial" w:hAnsi="Arial"/>
                  <w:sz w:val="18"/>
                  <w:szCs w:val="18"/>
                  <w:color w:val="0000EE"/>
                  <w:w w:val="91"/>
                </w:rPr>
                <w:t>Consolidated Statements of Convertible Preferred Stock and Stockholders’ Equity (Deficit)</w:t>
              </w:r>
            </w:hyperlink>
          </w:p>
        </w:tc>
        <w:tc>
          <w:tcPr>
            <w:tcW w:w="4380" w:type="dxa"/>
            <w:vAlign w:val="bottom"/>
          </w:tcPr>
          <w:p>
            <w:pPr>
              <w:spacing w:after="0"/>
              <w:rPr>
                <w:sz w:val="17"/>
                <w:szCs w:val="17"/>
                <w:color w:val="auto"/>
              </w:rPr>
            </w:pPr>
          </w:p>
        </w:tc>
        <w:tc>
          <w:tcPr>
            <w:tcW w:w="46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77</w:t>
            </w:r>
          </w:p>
        </w:tc>
      </w:tr>
      <w:tr>
        <w:trPr>
          <w:trHeight w:val="196"/>
        </w:trPr>
        <w:tc>
          <w:tcPr>
            <w:tcW w:w="2880" w:type="dxa"/>
            <w:vAlign w:val="bottom"/>
            <w:tcBorders>
              <w:bottom w:val="single" w:sz="8" w:color="0000EE"/>
            </w:tcBorders>
            <w:gridSpan w:val="3"/>
          </w:tcPr>
          <w:p>
            <w:pPr>
              <w:spacing w:after="0" w:line="196" w:lineRule="exact"/>
              <w:rPr>
                <w:rFonts w:ascii="Arial" w:cs="Arial" w:eastAsia="Arial" w:hAnsi="Arial"/>
                <w:sz w:val="18"/>
                <w:szCs w:val="18"/>
                <w:color w:val="0000EE"/>
                <w:w w:val="89"/>
              </w:rPr>
            </w:pPr>
            <w:hyperlink w:anchor="page79">
              <w:r>
                <w:rPr>
                  <w:rFonts w:ascii="Arial" w:cs="Arial" w:eastAsia="Arial" w:hAnsi="Arial"/>
                  <w:sz w:val="18"/>
                  <w:szCs w:val="18"/>
                  <w:color w:val="0000EE"/>
                  <w:w w:val="89"/>
                </w:rPr>
                <w:t>Consolidated Statements of Cash Flows</w:t>
              </w:r>
            </w:hyperlink>
          </w:p>
        </w:tc>
        <w:tc>
          <w:tcPr>
            <w:tcW w:w="8100" w:type="dxa"/>
            <w:vAlign w:val="bottom"/>
            <w:gridSpan w:val="5"/>
          </w:tcPr>
          <w:p>
            <w:pPr>
              <w:spacing w:after="0"/>
              <w:rPr>
                <w:sz w:val="17"/>
                <w:szCs w:val="17"/>
                <w:color w:val="auto"/>
              </w:rPr>
            </w:pPr>
          </w:p>
        </w:tc>
        <w:tc>
          <w:tcPr>
            <w:tcW w:w="46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78</w:t>
            </w:r>
          </w:p>
        </w:tc>
      </w:tr>
      <w:tr>
        <w:trPr>
          <w:trHeight w:val="196"/>
        </w:trPr>
        <w:tc>
          <w:tcPr>
            <w:tcW w:w="3160" w:type="dxa"/>
            <w:vAlign w:val="bottom"/>
            <w:tcBorders>
              <w:bottom w:val="single" w:sz="8" w:color="0000EE"/>
            </w:tcBorders>
            <w:gridSpan w:val="4"/>
          </w:tcPr>
          <w:p>
            <w:pPr>
              <w:spacing w:after="0" w:line="196" w:lineRule="exact"/>
              <w:rPr>
                <w:rFonts w:ascii="Arial" w:cs="Arial" w:eastAsia="Arial" w:hAnsi="Arial"/>
                <w:sz w:val="18"/>
                <w:szCs w:val="18"/>
                <w:color w:val="0000EE"/>
                <w:w w:val="89"/>
              </w:rPr>
            </w:pPr>
            <w:hyperlink w:anchor="page80">
              <w:r>
                <w:rPr>
                  <w:rFonts w:ascii="Arial" w:cs="Arial" w:eastAsia="Arial" w:hAnsi="Arial"/>
                  <w:sz w:val="18"/>
                  <w:szCs w:val="18"/>
                  <w:color w:val="0000EE"/>
                  <w:w w:val="89"/>
                </w:rPr>
                <w:t>Notes to Consolidated Financial Statements</w:t>
              </w:r>
            </w:hyperlink>
          </w:p>
        </w:tc>
        <w:tc>
          <w:tcPr>
            <w:tcW w:w="7820" w:type="dxa"/>
            <w:vAlign w:val="bottom"/>
            <w:gridSpan w:val="4"/>
          </w:tcPr>
          <w:p>
            <w:pPr>
              <w:spacing w:after="0"/>
              <w:rPr>
                <w:sz w:val="17"/>
                <w:szCs w:val="17"/>
                <w:color w:val="auto"/>
              </w:rPr>
            </w:pPr>
          </w:p>
        </w:tc>
        <w:tc>
          <w:tcPr>
            <w:tcW w:w="46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79</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37" w:right="239" w:bottom="1440" w:gutter="0" w:footer="0" w:header="0"/>
        </w:sectPr>
      </w:pPr>
    </w:p>
    <w:bookmarkStart w:id="73" w:name="page74"/>
    <w:bookmarkEnd w:id="73"/>
    <w:p>
      <w:pPr>
        <w:ind w:left="2640"/>
        <w:spacing w:after="0"/>
        <w:rPr>
          <w:sz w:val="20"/>
          <w:szCs w:val="20"/>
          <w:color w:val="auto"/>
        </w:rPr>
      </w:pPr>
      <w:r>
        <w:rPr>
          <w:rFonts w:ascii="Arial" w:cs="Arial" w:eastAsia="Arial" w:hAnsi="Arial"/>
          <w:sz w:val="18"/>
          <w:szCs w:val="18"/>
          <w:b w:val="1"/>
          <w:bCs w:val="1"/>
          <w:color w:val="auto"/>
        </w:rPr>
        <w:t>REPORT OF INDEPENDENT REGISTERED PUBLIC ACCOUNTING FIRM</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Board of Directors and Stockholders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Restoration Robotics, Inc.</w:t>
      </w:r>
    </w:p>
    <w:p>
      <w:pPr>
        <w:spacing w:after="0" w:line="103" w:lineRule="exact"/>
        <w:rPr>
          <w:sz w:val="20"/>
          <w:szCs w:val="20"/>
          <w:color w:val="auto"/>
        </w:rPr>
      </w:pPr>
    </w:p>
    <w:p>
      <w:pPr>
        <w:spacing w:after="0"/>
        <w:rPr>
          <w:sz w:val="20"/>
          <w:szCs w:val="20"/>
          <w:color w:val="auto"/>
        </w:rPr>
      </w:pPr>
      <w:r>
        <w:rPr>
          <w:rFonts w:ascii="Arial" w:cs="Arial" w:eastAsia="Arial" w:hAnsi="Arial"/>
          <w:sz w:val="18"/>
          <w:szCs w:val="18"/>
          <w:color w:val="auto"/>
        </w:rPr>
        <w:t>Opinion on the financial statements</w:t>
      </w:r>
    </w:p>
    <w:p>
      <w:pPr>
        <w:spacing w:after="0" w:line="117"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We have audited the accompanying consolidated balance sheets of Restoration Robotics, Inc. a Delaware corporation, and subsidiaries (the “Company”) as of December 31, 2017 and 2016, the related consolidated statements of operations, comprehensive loss, convertible preferred stock and stockholders’ equity (deficit), and cash flows for each of the three years in the period ended December 31, 2017, and the related notes (collectively referred to as the “financial statements”). In our opinion, the financial statements present fairly, in all material respects, the financial position of the Company as of December 31, 2017 and 2016, and the results of its operations and its cash flows for each of the three years in the period ended December 31, 2017, in conformity with accounting principles generally accepted in the United States of America.</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color w:val="auto"/>
        </w:rPr>
        <w:t>Going concern uncertainty</w:t>
      </w:r>
    </w:p>
    <w:p>
      <w:pPr>
        <w:spacing w:after="0" w:line="117" w:lineRule="exact"/>
        <w:rPr>
          <w:sz w:val="20"/>
          <w:szCs w:val="20"/>
          <w:color w:val="auto"/>
        </w:rPr>
      </w:pPr>
    </w:p>
    <w:p>
      <w:pPr>
        <w:ind w:right="260"/>
        <w:spacing w:after="0" w:line="257" w:lineRule="auto"/>
        <w:rPr>
          <w:sz w:val="20"/>
          <w:szCs w:val="20"/>
          <w:color w:val="auto"/>
        </w:rPr>
      </w:pPr>
      <w:r>
        <w:rPr>
          <w:rFonts w:ascii="Arial" w:cs="Arial" w:eastAsia="Arial" w:hAnsi="Arial"/>
          <w:sz w:val="18"/>
          <w:szCs w:val="18"/>
          <w:color w:val="auto"/>
        </w:rPr>
        <w:t>The accompanying financial statements have been prepared assuming that the Company will continue as a going concern. As discussed in Note 2 to the financial statements, the Company suffered recurring losses from operations, negative cash flows since inception and has a net stockholders’ deficit. These conditions, along with other matters as set forth in Note 2, raise substantial doubt about its ability to continue as a going concern. Management’s plans in regard to these matters are also described in Note 2. The financial statements do not include any adjustments that might result from the outcome of this uncertainty.</w:t>
      </w:r>
    </w:p>
    <w:p>
      <w:pPr>
        <w:spacing w:after="0" w:line="107" w:lineRule="exact"/>
        <w:rPr>
          <w:sz w:val="20"/>
          <w:szCs w:val="20"/>
          <w:color w:val="auto"/>
        </w:rPr>
      </w:pPr>
    </w:p>
    <w:p>
      <w:pPr>
        <w:spacing w:after="0"/>
        <w:rPr>
          <w:sz w:val="20"/>
          <w:szCs w:val="20"/>
          <w:color w:val="auto"/>
        </w:rPr>
      </w:pPr>
      <w:r>
        <w:rPr>
          <w:rFonts w:ascii="Arial" w:cs="Arial" w:eastAsia="Arial" w:hAnsi="Arial"/>
          <w:sz w:val="18"/>
          <w:szCs w:val="18"/>
          <w:color w:val="auto"/>
        </w:rPr>
        <w:t>Basis for opinion</w:t>
      </w:r>
    </w:p>
    <w:p>
      <w:pPr>
        <w:spacing w:after="0" w:line="117" w:lineRule="exact"/>
        <w:rPr>
          <w:sz w:val="20"/>
          <w:szCs w:val="20"/>
          <w:color w:val="auto"/>
        </w:rPr>
      </w:pPr>
    </w:p>
    <w:p>
      <w:pPr>
        <w:ind w:right="140"/>
        <w:spacing w:after="0" w:line="259" w:lineRule="auto"/>
        <w:rPr>
          <w:sz w:val="20"/>
          <w:szCs w:val="20"/>
          <w:color w:val="auto"/>
        </w:rPr>
      </w:pPr>
      <w:r>
        <w:rPr>
          <w:rFonts w:ascii="Arial" w:cs="Arial" w:eastAsia="Arial" w:hAnsi="Arial"/>
          <w:sz w:val="18"/>
          <w:szCs w:val="18"/>
          <w:color w:val="auto"/>
        </w:rPr>
        <w:t>These financial statements are the responsibility of the Company’s management. Our responsibility is to express an opinion on the Company’s financial statements based on our audits. We are a public accounting firm registered with the Public Company Accounting Oversight Board (United States) (“PCAOB”) and are required to be independent with respect to the Company in accordance with the U.S. federal securities laws and the applicable rules and regulations of the Securities and Exchange Commission and the PCAOB.</w:t>
      </w:r>
    </w:p>
    <w:p>
      <w:pPr>
        <w:spacing w:after="0" w:line="79" w:lineRule="exact"/>
        <w:rPr>
          <w:sz w:val="20"/>
          <w:szCs w:val="20"/>
          <w:color w:val="auto"/>
        </w:rPr>
      </w:pPr>
    </w:p>
    <w:p>
      <w:pPr>
        <w:ind w:right="80"/>
        <w:spacing w:after="0" w:line="257" w:lineRule="auto"/>
        <w:rPr>
          <w:sz w:val="20"/>
          <w:szCs w:val="20"/>
          <w:color w:val="auto"/>
        </w:rPr>
      </w:pPr>
      <w:r>
        <w:rPr>
          <w:rFonts w:ascii="Arial" w:cs="Arial" w:eastAsia="Arial" w:hAnsi="Arial"/>
          <w:sz w:val="18"/>
          <w:szCs w:val="18"/>
          <w:color w:val="auto"/>
        </w:rPr>
        <w:t>We conducted our audits in accordance with the standards of the PCAOB. Those standards require that we plan and perform the audit to obtain reasonable assurance about whether the financial statements are free of material misstatement, whether due to error or fraud. The Company is not required to have, nor were we engaged to perform, an audit of its internal control over financial reporting. As part of our audits we are required to obtain an understanding of internal control over financial reporting but not for the purpose of expressing an opinion on the effectiveness of the Company’s internal control over financial reporting. Accordingly, we express no such opinion.</w:t>
      </w:r>
    </w:p>
    <w:p>
      <w:pPr>
        <w:spacing w:after="0" w:line="80" w:lineRule="exact"/>
        <w:rPr>
          <w:sz w:val="20"/>
          <w:szCs w:val="20"/>
          <w:color w:val="auto"/>
        </w:rPr>
      </w:pPr>
    </w:p>
    <w:p>
      <w:pPr>
        <w:ind w:right="200"/>
        <w:spacing w:after="0" w:line="302" w:lineRule="auto"/>
        <w:rPr>
          <w:sz w:val="20"/>
          <w:szCs w:val="20"/>
          <w:color w:val="auto"/>
        </w:rPr>
      </w:pPr>
      <w:r>
        <w:rPr>
          <w:rFonts w:ascii="Arial" w:cs="Arial" w:eastAsia="Arial" w:hAnsi="Arial"/>
          <w:sz w:val="16"/>
          <w:szCs w:val="16"/>
          <w:color w:val="auto"/>
        </w:rPr>
        <w:t>Our audits included performing procedures to assess the risks of material misstatement of the financial statements, whether due to error or fraud, and performing procedures that respond to those risks. Such procedures included examining, on a test basis, evidence supporting the amounts and disclosures in the financial statements. Our audits also included evaluating the accounting principles used and significant estimates made by management, as well as evaluating the overall presentation of the financial statements. We believe that our audits provide a reasonable basis for our opinion.</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/s/ GRANT THORNTON LLP</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We have served as the Company’s auditor since 2008.</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Denver, CO</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March 5, 2018</w:t>
      </w: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37" w:right="239" w:bottom="1440" w:gutter="0" w:footer="0" w:header="0"/>
        </w:sectPr>
      </w:pPr>
    </w:p>
    <w:bookmarkStart w:id="74" w:name="page75"/>
    <w:bookmarkEnd w:id="74"/>
    <w:p>
      <w:pPr>
        <w:ind w:left="4320"/>
        <w:spacing w:after="0"/>
        <w:rPr>
          <w:sz w:val="20"/>
          <w:szCs w:val="20"/>
          <w:color w:val="auto"/>
        </w:rPr>
      </w:pPr>
      <w:r>
        <w:rPr>
          <w:rFonts w:ascii="Arial" w:cs="Arial" w:eastAsia="Arial" w:hAnsi="Arial"/>
          <w:sz w:val="18"/>
          <w:szCs w:val="18"/>
          <w:b w:val="1"/>
          <w:bCs w:val="1"/>
          <w:color w:val="auto"/>
        </w:rPr>
        <w:t>RESTORATION ROBOTICS, INC.</w:t>
      </w:r>
    </w:p>
    <w:p>
      <w:pPr>
        <w:spacing w:after="0" w:line="117" w:lineRule="exact"/>
        <w:rPr>
          <w:sz w:val="20"/>
          <w:szCs w:val="20"/>
          <w:color w:val="auto"/>
        </w:rPr>
      </w:pPr>
    </w:p>
    <w:p>
      <w:pPr>
        <w:ind w:left="4620"/>
        <w:spacing w:after="0"/>
        <w:rPr>
          <w:sz w:val="20"/>
          <w:szCs w:val="20"/>
          <w:color w:val="auto"/>
        </w:rPr>
      </w:pPr>
      <w:r>
        <w:rPr>
          <w:rFonts w:ascii="Arial" w:cs="Arial" w:eastAsia="Arial" w:hAnsi="Arial"/>
          <w:sz w:val="18"/>
          <w:szCs w:val="18"/>
          <w:b w:val="1"/>
          <w:bCs w:val="1"/>
          <w:color w:val="auto"/>
        </w:rPr>
        <w:t>Consolidated Balance Sheets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i w:val="1"/>
          <w:iCs w:val="1"/>
          <w:color w:val="auto"/>
        </w:rPr>
        <w:t>(in thousands, except share and per share data)</w:t>
      </w:r>
    </w:p>
    <w:p>
      <w:pPr>
        <w:spacing w:after="0" w:line="270"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664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3220" w:type="dxa"/>
            <w:vAlign w:val="bottom"/>
            <w:gridSpan w:val="6"/>
          </w:tcPr>
          <w:p>
            <w:pPr>
              <w:jc w:val="right"/>
              <w:ind w:right="1040"/>
              <w:spacing w:after="0"/>
              <w:rPr>
                <w:sz w:val="20"/>
                <w:szCs w:val="20"/>
                <w:color w:val="auto"/>
              </w:rPr>
            </w:pPr>
            <w:r>
              <w:rPr>
                <w:rFonts w:ascii="Arial" w:cs="Arial" w:eastAsia="Arial" w:hAnsi="Arial"/>
                <w:sz w:val="14"/>
                <w:szCs w:val="14"/>
                <w:b w:val="1"/>
                <w:bCs w:val="1"/>
                <w:color w:val="auto"/>
              </w:rPr>
              <w:t>Year Ended, December 31,</w:t>
            </w:r>
          </w:p>
        </w:tc>
      </w:tr>
      <w:tr>
        <w:trPr>
          <w:trHeight w:val="156"/>
        </w:trPr>
        <w:tc>
          <w:tcPr>
            <w:tcW w:w="6640" w:type="dxa"/>
            <w:vAlign w:val="bottom"/>
            <w:tcBorders>
              <w:bottom w:val="single" w:sz="8" w:color="CFF0FC"/>
            </w:tcBorders>
          </w:tcPr>
          <w:p>
            <w:pPr>
              <w:spacing w:after="0"/>
              <w:rPr>
                <w:sz w:val="13"/>
                <w:szCs w:val="13"/>
                <w:color w:val="auto"/>
              </w:rPr>
            </w:pPr>
          </w:p>
        </w:tc>
        <w:tc>
          <w:tcPr>
            <w:tcW w:w="1200" w:type="dxa"/>
            <w:vAlign w:val="bottom"/>
            <w:tcBorders>
              <w:bottom w:val="single" w:sz="8" w:color="CFF0FC"/>
            </w:tcBorders>
          </w:tcPr>
          <w:p>
            <w:pPr>
              <w:spacing w:after="0"/>
              <w:rPr>
                <w:sz w:val="13"/>
                <w:szCs w:val="13"/>
                <w:color w:val="auto"/>
              </w:rPr>
            </w:pPr>
          </w:p>
        </w:tc>
        <w:tc>
          <w:tcPr>
            <w:tcW w:w="360" w:type="dxa"/>
            <w:vAlign w:val="bottom"/>
            <w:tcBorders>
              <w:top w:val="single" w:sz="8" w:color="auto"/>
              <w:bottom w:val="single" w:sz="8" w:color="auto"/>
            </w:tcBorders>
          </w:tcPr>
          <w:p>
            <w:pPr>
              <w:spacing w:after="0"/>
              <w:rPr>
                <w:sz w:val="13"/>
                <w:szCs w:val="13"/>
                <w:color w:val="auto"/>
              </w:rPr>
            </w:pPr>
          </w:p>
        </w:tc>
        <w:tc>
          <w:tcPr>
            <w:tcW w:w="1220" w:type="dxa"/>
            <w:vAlign w:val="bottom"/>
            <w:tcBorders>
              <w:top w:val="single" w:sz="8" w:color="auto"/>
              <w:bottom w:val="single" w:sz="8" w:color="auto"/>
            </w:tcBorders>
          </w:tcPr>
          <w:p>
            <w:pPr>
              <w:jc w:val="right"/>
              <w:ind w:right="571"/>
              <w:spacing w:after="0" w:line="155" w:lineRule="exact"/>
              <w:rPr>
                <w:sz w:val="20"/>
                <w:szCs w:val="20"/>
                <w:color w:val="auto"/>
              </w:rPr>
            </w:pPr>
            <w:r>
              <w:rPr>
                <w:rFonts w:ascii="Arial" w:cs="Arial" w:eastAsia="Arial" w:hAnsi="Arial"/>
                <w:sz w:val="14"/>
                <w:szCs w:val="14"/>
                <w:b w:val="1"/>
                <w:bCs w:val="1"/>
                <w:color w:val="auto"/>
              </w:rPr>
              <w:t>2017</w:t>
            </w:r>
          </w:p>
        </w:tc>
        <w:tc>
          <w:tcPr>
            <w:tcW w:w="180" w:type="dxa"/>
            <w:vAlign w:val="bottom"/>
            <w:tcBorders>
              <w:top w:val="single" w:sz="8" w:color="auto"/>
              <w:bottom w:val="single" w:sz="8" w:color="CFF0FC"/>
            </w:tcBorders>
          </w:tcPr>
          <w:p>
            <w:pPr>
              <w:spacing w:after="0"/>
              <w:rPr>
                <w:sz w:val="13"/>
                <w:szCs w:val="13"/>
                <w:color w:val="auto"/>
              </w:rPr>
            </w:pPr>
          </w:p>
        </w:tc>
        <w:tc>
          <w:tcPr>
            <w:tcW w:w="120" w:type="dxa"/>
            <w:vAlign w:val="bottom"/>
            <w:tcBorders>
              <w:top w:val="single" w:sz="8" w:color="auto"/>
              <w:bottom w:val="single" w:sz="8" w:color="CFF0FC"/>
            </w:tcBorders>
          </w:tcPr>
          <w:p>
            <w:pPr>
              <w:spacing w:after="0"/>
              <w:rPr>
                <w:sz w:val="13"/>
                <w:szCs w:val="13"/>
                <w:color w:val="auto"/>
              </w:rPr>
            </w:pPr>
          </w:p>
        </w:tc>
        <w:tc>
          <w:tcPr>
            <w:tcW w:w="360" w:type="dxa"/>
            <w:vAlign w:val="bottom"/>
            <w:tcBorders>
              <w:top w:val="single" w:sz="8" w:color="auto"/>
              <w:bottom w:val="single" w:sz="8" w:color="auto"/>
            </w:tcBorders>
          </w:tcPr>
          <w:p>
            <w:pPr>
              <w:spacing w:after="0"/>
              <w:rPr>
                <w:sz w:val="13"/>
                <w:szCs w:val="13"/>
                <w:color w:val="auto"/>
              </w:rPr>
            </w:pPr>
          </w:p>
        </w:tc>
        <w:tc>
          <w:tcPr>
            <w:tcW w:w="1240" w:type="dxa"/>
            <w:vAlign w:val="bottom"/>
            <w:tcBorders>
              <w:top w:val="single" w:sz="8" w:color="auto"/>
              <w:bottom w:val="single" w:sz="8" w:color="auto"/>
            </w:tcBorders>
          </w:tcPr>
          <w:p>
            <w:pPr>
              <w:jc w:val="right"/>
              <w:ind w:right="571"/>
              <w:spacing w:after="0" w:line="155" w:lineRule="exact"/>
              <w:rPr>
                <w:sz w:val="20"/>
                <w:szCs w:val="20"/>
                <w:color w:val="auto"/>
              </w:rPr>
            </w:pPr>
            <w:r>
              <w:rPr>
                <w:rFonts w:ascii="Arial" w:cs="Arial" w:eastAsia="Arial" w:hAnsi="Arial"/>
                <w:sz w:val="14"/>
                <w:szCs w:val="14"/>
                <w:b w:val="1"/>
                <w:bCs w:val="1"/>
                <w:color w:val="auto"/>
              </w:rPr>
              <w:t>2016</w:t>
            </w:r>
          </w:p>
        </w:tc>
        <w:tc>
          <w:tcPr>
            <w:tcW w:w="100" w:type="dxa"/>
            <w:vAlign w:val="bottom"/>
            <w:tcBorders>
              <w:bottom w:val="single" w:sz="8" w:color="CFF0FC"/>
            </w:tcBorders>
          </w:tcPr>
          <w:p>
            <w:pPr>
              <w:spacing w:after="0"/>
              <w:rPr>
                <w:sz w:val="13"/>
                <w:szCs w:val="13"/>
                <w:color w:val="auto"/>
              </w:rPr>
            </w:pPr>
          </w:p>
        </w:tc>
      </w:tr>
      <w:tr>
        <w:trPr>
          <w:trHeight w:val="223"/>
        </w:trPr>
        <w:tc>
          <w:tcPr>
            <w:tcW w:w="664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ASSETS</w:t>
            </w:r>
          </w:p>
        </w:tc>
        <w:tc>
          <w:tcPr>
            <w:tcW w:w="120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2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2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r>
      <w:tr>
        <w:trPr>
          <w:trHeight w:val="230"/>
        </w:trPr>
        <w:tc>
          <w:tcPr>
            <w:tcW w:w="6640" w:type="dxa"/>
            <w:vAlign w:val="bottom"/>
          </w:tcPr>
          <w:p>
            <w:pPr>
              <w:spacing w:after="0"/>
              <w:rPr>
                <w:sz w:val="20"/>
                <w:szCs w:val="20"/>
                <w:color w:val="auto"/>
              </w:rPr>
            </w:pPr>
            <w:r>
              <w:rPr>
                <w:rFonts w:ascii="Arial" w:cs="Arial" w:eastAsia="Arial" w:hAnsi="Arial"/>
                <w:sz w:val="18"/>
                <w:szCs w:val="18"/>
                <w:b w:val="1"/>
                <w:bCs w:val="1"/>
                <w:color w:val="auto"/>
              </w:rPr>
              <w:t>CURRENT ASSETS:</w:t>
            </w:r>
          </w:p>
        </w:tc>
        <w:tc>
          <w:tcPr>
            <w:tcW w:w="12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30"/>
        </w:trPr>
        <w:tc>
          <w:tcPr>
            <w:tcW w:w="6640" w:type="dxa"/>
            <w:vAlign w:val="bottom"/>
            <w:shd w:val="clear" w:color="auto" w:fill="CFF0FC"/>
          </w:tcPr>
          <w:p>
            <w:pPr>
              <w:ind w:left="260"/>
              <w:spacing w:after="0"/>
              <w:rPr>
                <w:sz w:val="20"/>
                <w:szCs w:val="20"/>
                <w:color w:val="auto"/>
              </w:rPr>
            </w:pPr>
            <w:r>
              <w:rPr>
                <w:rFonts w:ascii="Arial" w:cs="Arial" w:eastAsia="Arial" w:hAnsi="Arial"/>
                <w:sz w:val="18"/>
                <w:szCs w:val="18"/>
                <w:color w:val="auto"/>
              </w:rPr>
              <w:t>Cash and cash equivalents</w:t>
            </w:r>
          </w:p>
        </w:tc>
        <w:tc>
          <w:tcPr>
            <w:tcW w:w="1560" w:type="dxa"/>
            <w:vAlign w:val="bottom"/>
            <w:gridSpan w:val="2"/>
            <w:shd w:val="clear" w:color="auto" w:fill="CFF0FC"/>
          </w:tcPr>
          <w:p>
            <w:pPr>
              <w:jc w:val="right"/>
              <w:ind w:right="170"/>
              <w:spacing w:after="0"/>
              <w:rPr>
                <w:sz w:val="20"/>
                <w:szCs w:val="20"/>
                <w:color w:val="auto"/>
              </w:rPr>
            </w:pPr>
            <w:r>
              <w:rPr>
                <w:rFonts w:ascii="Arial" w:cs="Arial" w:eastAsia="Arial" w:hAnsi="Arial"/>
                <w:sz w:val="18"/>
                <w:szCs w:val="18"/>
                <w:color w:val="auto"/>
              </w:rPr>
              <w:t>$</w:t>
            </w:r>
          </w:p>
        </w:tc>
        <w:tc>
          <w:tcPr>
            <w:tcW w:w="12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23,545</w:t>
            </w:r>
          </w:p>
        </w:tc>
        <w:tc>
          <w:tcPr>
            <w:tcW w:w="180" w:type="dxa"/>
            <w:vAlign w:val="bottom"/>
            <w:shd w:val="clear" w:color="auto" w:fill="CFF0FC"/>
          </w:tcPr>
          <w:p>
            <w:pPr>
              <w:spacing w:after="0"/>
              <w:rPr>
                <w:sz w:val="19"/>
                <w:szCs w:val="19"/>
                <w:color w:val="auto"/>
              </w:rPr>
            </w:pPr>
          </w:p>
        </w:tc>
        <w:tc>
          <w:tcPr>
            <w:tcW w:w="480" w:type="dxa"/>
            <w:vAlign w:val="bottom"/>
            <w:gridSpan w:val="2"/>
            <w:shd w:val="clear" w:color="auto" w:fill="CFF0FC"/>
          </w:tcPr>
          <w:p>
            <w:pPr>
              <w:jc w:val="right"/>
              <w:ind w:right="205"/>
              <w:spacing w:after="0"/>
              <w:rPr>
                <w:sz w:val="20"/>
                <w:szCs w:val="20"/>
                <w:color w:val="auto"/>
              </w:rPr>
            </w:pPr>
            <w:r>
              <w:rPr>
                <w:rFonts w:ascii="Arial" w:cs="Arial" w:eastAsia="Arial" w:hAnsi="Arial"/>
                <w:sz w:val="18"/>
                <w:szCs w:val="18"/>
                <w:color w:val="auto"/>
              </w:rPr>
              <w:t>$</w:t>
            </w:r>
          </w:p>
        </w:tc>
        <w:tc>
          <w:tcPr>
            <w:tcW w:w="12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11,906</w:t>
            </w:r>
          </w:p>
        </w:tc>
        <w:tc>
          <w:tcPr>
            <w:tcW w:w="100" w:type="dxa"/>
            <w:vAlign w:val="bottom"/>
            <w:shd w:val="clear" w:color="auto" w:fill="CFF0FC"/>
          </w:tcPr>
          <w:p>
            <w:pPr>
              <w:spacing w:after="0"/>
              <w:rPr>
                <w:sz w:val="19"/>
                <w:szCs w:val="19"/>
                <w:color w:val="auto"/>
              </w:rPr>
            </w:pPr>
          </w:p>
        </w:tc>
      </w:tr>
      <w:tr>
        <w:trPr>
          <w:trHeight w:val="230"/>
        </w:trPr>
        <w:tc>
          <w:tcPr>
            <w:tcW w:w="6640" w:type="dxa"/>
            <w:vAlign w:val="bottom"/>
          </w:tcPr>
          <w:p>
            <w:pPr>
              <w:ind w:left="260"/>
              <w:spacing w:after="0"/>
              <w:rPr>
                <w:sz w:val="20"/>
                <w:szCs w:val="20"/>
                <w:color w:val="auto"/>
              </w:rPr>
            </w:pPr>
            <w:r>
              <w:rPr>
                <w:rFonts w:ascii="Arial" w:cs="Arial" w:eastAsia="Arial" w:hAnsi="Arial"/>
                <w:sz w:val="18"/>
                <w:szCs w:val="18"/>
                <w:color w:val="auto"/>
              </w:rPr>
              <w:t>Accounts receivable, net</w:t>
            </w:r>
          </w:p>
        </w:tc>
        <w:tc>
          <w:tcPr>
            <w:tcW w:w="12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3,864</w:t>
            </w: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2,481</w:t>
            </w:r>
          </w:p>
        </w:tc>
        <w:tc>
          <w:tcPr>
            <w:tcW w:w="100" w:type="dxa"/>
            <w:vAlign w:val="bottom"/>
          </w:tcPr>
          <w:p>
            <w:pPr>
              <w:spacing w:after="0"/>
              <w:rPr>
                <w:sz w:val="19"/>
                <w:szCs w:val="19"/>
                <w:color w:val="auto"/>
              </w:rPr>
            </w:pPr>
          </w:p>
        </w:tc>
      </w:tr>
      <w:tr>
        <w:trPr>
          <w:trHeight w:val="230"/>
        </w:trPr>
        <w:tc>
          <w:tcPr>
            <w:tcW w:w="6640" w:type="dxa"/>
            <w:vAlign w:val="bottom"/>
            <w:shd w:val="clear" w:color="auto" w:fill="CFF0FC"/>
          </w:tcPr>
          <w:p>
            <w:pPr>
              <w:ind w:left="260"/>
              <w:spacing w:after="0"/>
              <w:rPr>
                <w:sz w:val="20"/>
                <w:szCs w:val="20"/>
                <w:color w:val="auto"/>
              </w:rPr>
            </w:pPr>
            <w:r>
              <w:rPr>
                <w:rFonts w:ascii="Arial" w:cs="Arial" w:eastAsia="Arial" w:hAnsi="Arial"/>
                <w:sz w:val="18"/>
                <w:szCs w:val="18"/>
                <w:color w:val="auto"/>
              </w:rPr>
              <w:t>Inventory</w:t>
            </w:r>
          </w:p>
        </w:tc>
        <w:tc>
          <w:tcPr>
            <w:tcW w:w="120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2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2,761</w:t>
            </w:r>
          </w:p>
        </w:tc>
        <w:tc>
          <w:tcPr>
            <w:tcW w:w="1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2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2,742</w:t>
            </w:r>
          </w:p>
        </w:tc>
        <w:tc>
          <w:tcPr>
            <w:tcW w:w="100" w:type="dxa"/>
            <w:vAlign w:val="bottom"/>
            <w:shd w:val="clear" w:color="auto" w:fill="CFF0FC"/>
          </w:tcPr>
          <w:p>
            <w:pPr>
              <w:spacing w:after="0"/>
              <w:rPr>
                <w:sz w:val="19"/>
                <w:szCs w:val="19"/>
                <w:color w:val="auto"/>
              </w:rPr>
            </w:pPr>
          </w:p>
        </w:tc>
      </w:tr>
      <w:tr>
        <w:trPr>
          <w:trHeight w:val="230"/>
        </w:trPr>
        <w:tc>
          <w:tcPr>
            <w:tcW w:w="6640" w:type="dxa"/>
            <w:vAlign w:val="bottom"/>
            <w:tcBorders>
              <w:bottom w:val="single" w:sz="8" w:color="CFF0FC"/>
            </w:tcBorders>
          </w:tcPr>
          <w:p>
            <w:pPr>
              <w:ind w:left="260"/>
              <w:spacing w:after="0"/>
              <w:rPr>
                <w:sz w:val="20"/>
                <w:szCs w:val="20"/>
                <w:color w:val="auto"/>
              </w:rPr>
            </w:pPr>
            <w:r>
              <w:rPr>
                <w:rFonts w:ascii="Arial" w:cs="Arial" w:eastAsia="Arial" w:hAnsi="Arial"/>
                <w:sz w:val="18"/>
                <w:szCs w:val="18"/>
                <w:color w:val="auto"/>
              </w:rPr>
              <w:t>Prepaid expenses and other current assets</w:t>
            </w:r>
          </w:p>
        </w:tc>
        <w:tc>
          <w:tcPr>
            <w:tcW w:w="1200" w:type="dxa"/>
            <w:vAlign w:val="bottom"/>
            <w:tcBorders>
              <w:bottom w:val="single" w:sz="8" w:color="CFF0FC"/>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1,562</w:t>
            </w:r>
          </w:p>
        </w:tc>
        <w:tc>
          <w:tcPr>
            <w:tcW w:w="180" w:type="dxa"/>
            <w:vAlign w:val="bottom"/>
            <w:tcBorders>
              <w:bottom w:val="single" w:sz="8" w:color="CFF0FC"/>
            </w:tcBorders>
          </w:tcPr>
          <w:p>
            <w:pPr>
              <w:spacing w:after="0"/>
              <w:rPr>
                <w:sz w:val="19"/>
                <w:szCs w:val="19"/>
                <w:color w:val="auto"/>
              </w:rPr>
            </w:pPr>
          </w:p>
        </w:tc>
        <w:tc>
          <w:tcPr>
            <w:tcW w:w="120" w:type="dxa"/>
            <w:vAlign w:val="bottom"/>
            <w:tcBorders>
              <w:bottom w:val="single" w:sz="8" w:color="CFF0FC"/>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810</w:t>
            </w:r>
          </w:p>
        </w:tc>
        <w:tc>
          <w:tcPr>
            <w:tcW w:w="100" w:type="dxa"/>
            <w:vAlign w:val="bottom"/>
            <w:tcBorders>
              <w:bottom w:val="single" w:sz="8" w:color="CFF0FC"/>
            </w:tcBorders>
          </w:tcPr>
          <w:p>
            <w:pPr>
              <w:spacing w:after="0"/>
              <w:rPr>
                <w:sz w:val="19"/>
                <w:szCs w:val="19"/>
                <w:color w:val="auto"/>
              </w:rPr>
            </w:pPr>
          </w:p>
        </w:tc>
      </w:tr>
      <w:tr>
        <w:trPr>
          <w:trHeight w:val="223"/>
        </w:trPr>
        <w:tc>
          <w:tcPr>
            <w:tcW w:w="6640" w:type="dxa"/>
            <w:vAlign w:val="bottom"/>
            <w:shd w:val="clear" w:color="auto" w:fill="CFF0FC"/>
          </w:tcPr>
          <w:p>
            <w:pPr>
              <w:ind w:left="500"/>
              <w:spacing w:after="0"/>
              <w:rPr>
                <w:sz w:val="20"/>
                <w:szCs w:val="20"/>
                <w:color w:val="auto"/>
              </w:rPr>
            </w:pPr>
            <w:r>
              <w:rPr>
                <w:rFonts w:ascii="Arial" w:cs="Arial" w:eastAsia="Arial" w:hAnsi="Arial"/>
                <w:sz w:val="18"/>
                <w:szCs w:val="18"/>
                <w:color w:val="auto"/>
              </w:rPr>
              <w:t>Total current assets</w:t>
            </w:r>
          </w:p>
        </w:tc>
        <w:tc>
          <w:tcPr>
            <w:tcW w:w="120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2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31,732</w:t>
            </w:r>
          </w:p>
        </w:tc>
        <w:tc>
          <w:tcPr>
            <w:tcW w:w="1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2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17,939</w:t>
            </w:r>
          </w:p>
        </w:tc>
        <w:tc>
          <w:tcPr>
            <w:tcW w:w="100" w:type="dxa"/>
            <w:vAlign w:val="bottom"/>
            <w:shd w:val="clear" w:color="auto" w:fill="CFF0FC"/>
          </w:tcPr>
          <w:p>
            <w:pPr>
              <w:spacing w:after="0"/>
              <w:rPr>
                <w:sz w:val="19"/>
                <w:szCs w:val="19"/>
                <w:color w:val="auto"/>
              </w:rPr>
            </w:pPr>
          </w:p>
        </w:tc>
      </w:tr>
      <w:tr>
        <w:trPr>
          <w:trHeight w:val="230"/>
        </w:trPr>
        <w:tc>
          <w:tcPr>
            <w:tcW w:w="6640" w:type="dxa"/>
            <w:vAlign w:val="bottom"/>
          </w:tcPr>
          <w:p>
            <w:pPr>
              <w:spacing w:after="0"/>
              <w:rPr>
                <w:sz w:val="20"/>
                <w:szCs w:val="20"/>
                <w:color w:val="auto"/>
              </w:rPr>
            </w:pPr>
            <w:r>
              <w:rPr>
                <w:rFonts w:ascii="Arial" w:cs="Arial" w:eastAsia="Arial" w:hAnsi="Arial"/>
                <w:sz w:val="18"/>
                <w:szCs w:val="18"/>
                <w:color w:val="auto"/>
              </w:rPr>
              <w:t>Property and equipment, net</w:t>
            </w:r>
          </w:p>
        </w:tc>
        <w:tc>
          <w:tcPr>
            <w:tcW w:w="12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1,138</w:t>
            </w: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1,459</w:t>
            </w:r>
          </w:p>
        </w:tc>
        <w:tc>
          <w:tcPr>
            <w:tcW w:w="100" w:type="dxa"/>
            <w:vAlign w:val="bottom"/>
          </w:tcPr>
          <w:p>
            <w:pPr>
              <w:spacing w:after="0"/>
              <w:rPr>
                <w:sz w:val="19"/>
                <w:szCs w:val="19"/>
                <w:color w:val="auto"/>
              </w:rPr>
            </w:pPr>
          </w:p>
        </w:tc>
      </w:tr>
      <w:tr>
        <w:trPr>
          <w:trHeight w:val="230"/>
        </w:trPr>
        <w:tc>
          <w:tcPr>
            <w:tcW w:w="6640" w:type="dxa"/>
            <w:vAlign w:val="bottom"/>
            <w:shd w:val="clear" w:color="auto" w:fill="CFF0FC"/>
          </w:tcPr>
          <w:p>
            <w:pPr>
              <w:spacing w:after="0"/>
              <w:rPr>
                <w:sz w:val="20"/>
                <w:szCs w:val="20"/>
                <w:color w:val="auto"/>
              </w:rPr>
            </w:pPr>
            <w:r>
              <w:rPr>
                <w:rFonts w:ascii="Arial" w:cs="Arial" w:eastAsia="Arial" w:hAnsi="Arial"/>
                <w:sz w:val="18"/>
                <w:szCs w:val="18"/>
                <w:color w:val="auto"/>
              </w:rPr>
              <w:t>Other assets</w:t>
            </w:r>
          </w:p>
        </w:tc>
        <w:tc>
          <w:tcPr>
            <w:tcW w:w="1200" w:type="dxa"/>
            <w:vAlign w:val="bottom"/>
            <w:shd w:val="clear" w:color="auto" w:fill="CFF0FC"/>
          </w:tcPr>
          <w:p>
            <w:pPr>
              <w:spacing w:after="0"/>
              <w:rPr>
                <w:sz w:val="19"/>
                <w:szCs w:val="19"/>
                <w:color w:val="auto"/>
              </w:rPr>
            </w:pPr>
          </w:p>
        </w:tc>
        <w:tc>
          <w:tcPr>
            <w:tcW w:w="360" w:type="dxa"/>
            <w:vAlign w:val="bottom"/>
            <w:tcBorders>
              <w:bottom w:val="single" w:sz="8" w:color="auto"/>
            </w:tcBorders>
            <w:shd w:val="clear" w:color="auto" w:fill="CFF0FC"/>
          </w:tcPr>
          <w:p>
            <w:pPr>
              <w:spacing w:after="0"/>
              <w:rPr>
                <w:sz w:val="19"/>
                <w:szCs w:val="19"/>
                <w:color w:val="auto"/>
              </w:rPr>
            </w:pPr>
          </w:p>
        </w:tc>
        <w:tc>
          <w:tcPr>
            <w:tcW w:w="12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100</w:t>
            </w:r>
          </w:p>
        </w:tc>
        <w:tc>
          <w:tcPr>
            <w:tcW w:w="1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360" w:type="dxa"/>
            <w:vAlign w:val="bottom"/>
            <w:tcBorders>
              <w:bottom w:val="single" w:sz="8" w:color="auto"/>
            </w:tcBorders>
            <w:shd w:val="clear" w:color="auto" w:fill="CFF0FC"/>
          </w:tcPr>
          <w:p>
            <w:pPr>
              <w:spacing w:after="0"/>
              <w:rPr>
                <w:sz w:val="19"/>
                <w:szCs w:val="19"/>
                <w:color w:val="auto"/>
              </w:rPr>
            </w:pPr>
          </w:p>
        </w:tc>
        <w:tc>
          <w:tcPr>
            <w:tcW w:w="12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100</w:t>
            </w:r>
          </w:p>
        </w:tc>
        <w:tc>
          <w:tcPr>
            <w:tcW w:w="100" w:type="dxa"/>
            <w:vAlign w:val="bottom"/>
            <w:shd w:val="clear" w:color="auto" w:fill="CFF0FC"/>
          </w:tcPr>
          <w:p>
            <w:pPr>
              <w:spacing w:after="0"/>
              <w:rPr>
                <w:sz w:val="19"/>
                <w:szCs w:val="19"/>
                <w:color w:val="auto"/>
              </w:rPr>
            </w:pPr>
          </w:p>
        </w:tc>
      </w:tr>
      <w:tr>
        <w:trPr>
          <w:trHeight w:val="263"/>
        </w:trPr>
        <w:tc>
          <w:tcPr>
            <w:tcW w:w="664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TOTAL ASSETS</w:t>
            </w:r>
          </w:p>
        </w:tc>
        <w:tc>
          <w:tcPr>
            <w:tcW w:w="1200" w:type="dxa"/>
            <w:vAlign w:val="bottom"/>
            <w:tcBorders>
              <w:bottom w:val="single" w:sz="8" w:color="CFF0FC"/>
            </w:tcBorders>
          </w:tcPr>
          <w:p>
            <w:pPr>
              <w:spacing w:after="0"/>
              <w:rPr>
                <w:sz w:val="22"/>
                <w:szCs w:val="22"/>
                <w:color w:val="auto"/>
              </w:rPr>
            </w:pPr>
          </w:p>
        </w:tc>
        <w:tc>
          <w:tcPr>
            <w:tcW w:w="36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w w:val="79"/>
              </w:rPr>
              <w:t>$</w:t>
            </w: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32,970</w:t>
            </w:r>
          </w:p>
        </w:tc>
        <w:tc>
          <w:tcPr>
            <w:tcW w:w="180" w:type="dxa"/>
            <w:vAlign w:val="bottom"/>
            <w:tcBorders>
              <w:bottom w:val="single" w:sz="8" w:color="CFF0FC"/>
            </w:tcBorders>
          </w:tcPr>
          <w:p>
            <w:pPr>
              <w:spacing w:after="0"/>
              <w:rPr>
                <w:sz w:val="22"/>
                <w:szCs w:val="22"/>
                <w:color w:val="auto"/>
              </w:rPr>
            </w:pPr>
          </w:p>
        </w:tc>
        <w:tc>
          <w:tcPr>
            <w:tcW w:w="120" w:type="dxa"/>
            <w:vAlign w:val="bottom"/>
            <w:tcBorders>
              <w:bottom w:val="single" w:sz="8" w:color="CFF0FC"/>
            </w:tcBorders>
          </w:tcPr>
          <w:p>
            <w:pPr>
              <w:spacing w:after="0"/>
              <w:rPr>
                <w:sz w:val="22"/>
                <w:szCs w:val="22"/>
                <w:color w:val="auto"/>
              </w:rPr>
            </w:pPr>
          </w:p>
        </w:tc>
        <w:tc>
          <w:tcPr>
            <w:tcW w:w="360" w:type="dxa"/>
            <w:vAlign w:val="bottom"/>
            <w:tcBorders>
              <w:bottom w:val="single" w:sz="8" w:color="auto"/>
            </w:tcBorders>
          </w:tcPr>
          <w:p>
            <w:pPr>
              <w:jc w:val="right"/>
              <w:ind w:right="205"/>
              <w:spacing w:after="0"/>
              <w:rPr>
                <w:sz w:val="20"/>
                <w:szCs w:val="20"/>
                <w:color w:val="auto"/>
              </w:rPr>
            </w:pPr>
            <w:r>
              <w:rPr>
                <w:rFonts w:ascii="Arial" w:cs="Arial" w:eastAsia="Arial" w:hAnsi="Arial"/>
                <w:sz w:val="15"/>
                <w:szCs w:val="15"/>
                <w:color w:val="auto"/>
                <w:w w:val="71"/>
              </w:rPr>
              <w:t>$</w:t>
            </w: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19,498</w:t>
            </w:r>
          </w:p>
        </w:tc>
        <w:tc>
          <w:tcPr>
            <w:tcW w:w="100" w:type="dxa"/>
            <w:vAlign w:val="bottom"/>
            <w:tcBorders>
              <w:bottom w:val="single" w:sz="8" w:color="CFF0FC"/>
            </w:tcBorders>
          </w:tcPr>
          <w:p>
            <w:pPr>
              <w:spacing w:after="0"/>
              <w:rPr>
                <w:sz w:val="22"/>
                <w:szCs w:val="22"/>
                <w:color w:val="auto"/>
              </w:rPr>
            </w:pPr>
          </w:p>
        </w:tc>
      </w:tr>
      <w:tr>
        <w:trPr>
          <w:trHeight w:val="192"/>
        </w:trPr>
        <w:tc>
          <w:tcPr>
            <w:tcW w:w="6640" w:type="dxa"/>
            <w:vAlign w:val="bottom"/>
            <w:shd w:val="clear" w:color="auto" w:fill="CFF0FC"/>
          </w:tcPr>
          <w:p>
            <w:pPr>
              <w:spacing w:after="0" w:line="192" w:lineRule="exact"/>
              <w:rPr>
                <w:sz w:val="20"/>
                <w:szCs w:val="20"/>
                <w:color w:val="auto"/>
              </w:rPr>
            </w:pPr>
            <w:r>
              <w:rPr>
                <w:rFonts w:ascii="Arial" w:cs="Arial" w:eastAsia="Arial" w:hAnsi="Arial"/>
                <w:sz w:val="18"/>
                <w:szCs w:val="18"/>
                <w:b w:val="1"/>
                <w:bCs w:val="1"/>
                <w:color w:val="auto"/>
              </w:rPr>
              <w:t>LIABILITIES, CONVERTIBLE PREFERRED STOCK AND</w:t>
            </w:r>
          </w:p>
        </w:tc>
        <w:tc>
          <w:tcPr>
            <w:tcW w:w="1200" w:type="dxa"/>
            <w:vAlign w:val="bottom"/>
            <w:shd w:val="clear" w:color="auto" w:fill="CFF0FC"/>
          </w:tcPr>
          <w:p>
            <w:pPr>
              <w:spacing w:after="0"/>
              <w:rPr>
                <w:sz w:val="16"/>
                <w:szCs w:val="16"/>
                <w:color w:val="auto"/>
              </w:rPr>
            </w:pPr>
          </w:p>
        </w:tc>
        <w:tc>
          <w:tcPr>
            <w:tcW w:w="360" w:type="dxa"/>
            <w:vAlign w:val="bottom"/>
            <w:shd w:val="clear" w:color="auto" w:fill="CFF0FC"/>
          </w:tcPr>
          <w:p>
            <w:pPr>
              <w:spacing w:after="0"/>
              <w:rPr>
                <w:sz w:val="16"/>
                <w:szCs w:val="16"/>
                <w:color w:val="auto"/>
              </w:rPr>
            </w:pPr>
          </w:p>
        </w:tc>
        <w:tc>
          <w:tcPr>
            <w:tcW w:w="1220" w:type="dxa"/>
            <w:vAlign w:val="bottom"/>
            <w:shd w:val="clear" w:color="auto" w:fill="CFF0FC"/>
          </w:tcPr>
          <w:p>
            <w:pPr>
              <w:spacing w:after="0"/>
              <w:rPr>
                <w:sz w:val="16"/>
                <w:szCs w:val="16"/>
                <w:color w:val="auto"/>
              </w:rPr>
            </w:pPr>
          </w:p>
        </w:tc>
        <w:tc>
          <w:tcPr>
            <w:tcW w:w="18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360" w:type="dxa"/>
            <w:vAlign w:val="bottom"/>
            <w:shd w:val="clear" w:color="auto" w:fill="CFF0FC"/>
          </w:tcPr>
          <w:p>
            <w:pPr>
              <w:spacing w:after="0"/>
              <w:rPr>
                <w:sz w:val="16"/>
                <w:szCs w:val="16"/>
                <w:color w:val="auto"/>
              </w:rPr>
            </w:pPr>
          </w:p>
        </w:tc>
        <w:tc>
          <w:tcPr>
            <w:tcW w:w="124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r>
      <w:tr>
        <w:trPr>
          <w:trHeight w:val="234"/>
        </w:trPr>
        <w:tc>
          <w:tcPr>
            <w:tcW w:w="6640" w:type="dxa"/>
            <w:vAlign w:val="bottom"/>
            <w:shd w:val="clear" w:color="auto" w:fill="CFF0FC"/>
          </w:tcPr>
          <w:p>
            <w:pPr>
              <w:ind w:left="140"/>
              <w:spacing w:after="0"/>
              <w:rPr>
                <w:sz w:val="20"/>
                <w:szCs w:val="20"/>
                <w:color w:val="auto"/>
              </w:rPr>
            </w:pPr>
            <w:r>
              <w:rPr>
                <w:rFonts w:ascii="Arial" w:cs="Arial" w:eastAsia="Arial" w:hAnsi="Arial"/>
                <w:sz w:val="18"/>
                <w:szCs w:val="18"/>
                <w:b w:val="1"/>
                <w:bCs w:val="1"/>
                <w:color w:val="auto"/>
              </w:rPr>
              <w:t>STOCKHOLDERS’ EQUITY (DEFICIT)</w:t>
            </w:r>
          </w:p>
        </w:tc>
        <w:tc>
          <w:tcPr>
            <w:tcW w:w="1200" w:type="dxa"/>
            <w:vAlign w:val="bottom"/>
            <w:shd w:val="clear" w:color="auto" w:fill="CFF0FC"/>
          </w:tcPr>
          <w:p>
            <w:pPr>
              <w:spacing w:after="0"/>
              <w:rPr>
                <w:sz w:val="20"/>
                <w:szCs w:val="20"/>
                <w:color w:val="auto"/>
              </w:rPr>
            </w:pPr>
          </w:p>
        </w:tc>
        <w:tc>
          <w:tcPr>
            <w:tcW w:w="360" w:type="dxa"/>
            <w:vAlign w:val="bottom"/>
            <w:shd w:val="clear" w:color="auto" w:fill="CFF0FC"/>
          </w:tcPr>
          <w:p>
            <w:pPr>
              <w:spacing w:after="0"/>
              <w:rPr>
                <w:sz w:val="20"/>
                <w:szCs w:val="20"/>
                <w:color w:val="auto"/>
              </w:rPr>
            </w:pPr>
          </w:p>
        </w:tc>
        <w:tc>
          <w:tcPr>
            <w:tcW w:w="1220" w:type="dxa"/>
            <w:vAlign w:val="bottom"/>
            <w:shd w:val="clear" w:color="auto" w:fill="CFF0FC"/>
          </w:tcPr>
          <w:p>
            <w:pPr>
              <w:spacing w:after="0"/>
              <w:rPr>
                <w:sz w:val="20"/>
                <w:szCs w:val="20"/>
                <w:color w:val="auto"/>
              </w:rPr>
            </w:pPr>
          </w:p>
        </w:tc>
        <w:tc>
          <w:tcPr>
            <w:tcW w:w="18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360" w:type="dxa"/>
            <w:vAlign w:val="bottom"/>
            <w:shd w:val="clear" w:color="auto" w:fill="CFF0FC"/>
          </w:tcPr>
          <w:p>
            <w:pPr>
              <w:spacing w:after="0"/>
              <w:rPr>
                <w:sz w:val="20"/>
                <w:szCs w:val="20"/>
                <w:color w:val="auto"/>
              </w:rPr>
            </w:pPr>
          </w:p>
        </w:tc>
        <w:tc>
          <w:tcPr>
            <w:tcW w:w="124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r>
      <w:tr>
        <w:trPr>
          <w:trHeight w:val="230"/>
        </w:trPr>
        <w:tc>
          <w:tcPr>
            <w:tcW w:w="6640" w:type="dxa"/>
            <w:vAlign w:val="bottom"/>
          </w:tcPr>
          <w:p>
            <w:pPr>
              <w:spacing w:after="0"/>
              <w:rPr>
                <w:sz w:val="20"/>
                <w:szCs w:val="20"/>
                <w:color w:val="auto"/>
              </w:rPr>
            </w:pPr>
            <w:r>
              <w:rPr>
                <w:rFonts w:ascii="Arial" w:cs="Arial" w:eastAsia="Arial" w:hAnsi="Arial"/>
                <w:sz w:val="18"/>
                <w:szCs w:val="18"/>
                <w:color w:val="auto"/>
              </w:rPr>
              <w:t>CURRENT LIABILITIES:</w:t>
            </w:r>
          </w:p>
        </w:tc>
        <w:tc>
          <w:tcPr>
            <w:tcW w:w="12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30"/>
        </w:trPr>
        <w:tc>
          <w:tcPr>
            <w:tcW w:w="6640" w:type="dxa"/>
            <w:vAlign w:val="bottom"/>
            <w:shd w:val="clear" w:color="auto" w:fill="CFF0FC"/>
          </w:tcPr>
          <w:p>
            <w:pPr>
              <w:ind w:left="260"/>
              <w:spacing w:after="0"/>
              <w:rPr>
                <w:sz w:val="20"/>
                <w:szCs w:val="20"/>
                <w:color w:val="auto"/>
              </w:rPr>
            </w:pPr>
            <w:r>
              <w:rPr>
                <w:rFonts w:ascii="Arial" w:cs="Arial" w:eastAsia="Arial" w:hAnsi="Arial"/>
                <w:sz w:val="18"/>
                <w:szCs w:val="18"/>
                <w:color w:val="auto"/>
              </w:rPr>
              <w:t>Accounts payable</w:t>
            </w:r>
          </w:p>
        </w:tc>
        <w:tc>
          <w:tcPr>
            <w:tcW w:w="1560" w:type="dxa"/>
            <w:vAlign w:val="bottom"/>
            <w:gridSpan w:val="2"/>
            <w:shd w:val="clear" w:color="auto" w:fill="CFF0FC"/>
          </w:tcPr>
          <w:p>
            <w:pPr>
              <w:jc w:val="right"/>
              <w:ind w:right="170"/>
              <w:spacing w:after="0"/>
              <w:rPr>
                <w:sz w:val="20"/>
                <w:szCs w:val="20"/>
                <w:color w:val="auto"/>
              </w:rPr>
            </w:pPr>
            <w:r>
              <w:rPr>
                <w:rFonts w:ascii="Arial" w:cs="Arial" w:eastAsia="Arial" w:hAnsi="Arial"/>
                <w:sz w:val="18"/>
                <w:szCs w:val="18"/>
                <w:color w:val="auto"/>
              </w:rPr>
              <w:t>$</w:t>
            </w:r>
          </w:p>
        </w:tc>
        <w:tc>
          <w:tcPr>
            <w:tcW w:w="12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2,044</w:t>
            </w:r>
          </w:p>
        </w:tc>
        <w:tc>
          <w:tcPr>
            <w:tcW w:w="180" w:type="dxa"/>
            <w:vAlign w:val="bottom"/>
            <w:shd w:val="clear" w:color="auto" w:fill="CFF0FC"/>
          </w:tcPr>
          <w:p>
            <w:pPr>
              <w:spacing w:after="0"/>
              <w:rPr>
                <w:sz w:val="19"/>
                <w:szCs w:val="19"/>
                <w:color w:val="auto"/>
              </w:rPr>
            </w:pPr>
          </w:p>
        </w:tc>
        <w:tc>
          <w:tcPr>
            <w:tcW w:w="480" w:type="dxa"/>
            <w:vAlign w:val="bottom"/>
            <w:gridSpan w:val="2"/>
            <w:shd w:val="clear" w:color="auto" w:fill="CFF0FC"/>
          </w:tcPr>
          <w:p>
            <w:pPr>
              <w:jc w:val="right"/>
              <w:ind w:right="205"/>
              <w:spacing w:after="0"/>
              <w:rPr>
                <w:sz w:val="20"/>
                <w:szCs w:val="20"/>
                <w:color w:val="auto"/>
              </w:rPr>
            </w:pPr>
            <w:r>
              <w:rPr>
                <w:rFonts w:ascii="Arial" w:cs="Arial" w:eastAsia="Arial" w:hAnsi="Arial"/>
                <w:sz w:val="18"/>
                <w:szCs w:val="18"/>
                <w:color w:val="auto"/>
              </w:rPr>
              <w:t>$</w:t>
            </w:r>
          </w:p>
        </w:tc>
        <w:tc>
          <w:tcPr>
            <w:tcW w:w="12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1,740</w:t>
            </w:r>
          </w:p>
        </w:tc>
        <w:tc>
          <w:tcPr>
            <w:tcW w:w="100" w:type="dxa"/>
            <w:vAlign w:val="bottom"/>
            <w:shd w:val="clear" w:color="auto" w:fill="CFF0FC"/>
          </w:tcPr>
          <w:p>
            <w:pPr>
              <w:spacing w:after="0"/>
              <w:rPr>
                <w:sz w:val="19"/>
                <w:szCs w:val="19"/>
                <w:color w:val="auto"/>
              </w:rPr>
            </w:pPr>
          </w:p>
        </w:tc>
      </w:tr>
      <w:tr>
        <w:trPr>
          <w:trHeight w:val="230"/>
        </w:trPr>
        <w:tc>
          <w:tcPr>
            <w:tcW w:w="6640" w:type="dxa"/>
            <w:vAlign w:val="bottom"/>
          </w:tcPr>
          <w:p>
            <w:pPr>
              <w:ind w:left="260"/>
              <w:spacing w:after="0"/>
              <w:rPr>
                <w:sz w:val="20"/>
                <w:szCs w:val="20"/>
                <w:color w:val="auto"/>
              </w:rPr>
            </w:pPr>
            <w:r>
              <w:rPr>
                <w:rFonts w:ascii="Arial" w:cs="Arial" w:eastAsia="Arial" w:hAnsi="Arial"/>
                <w:sz w:val="18"/>
                <w:szCs w:val="18"/>
                <w:color w:val="auto"/>
              </w:rPr>
              <w:t>Accrued and other liabilities</w:t>
            </w:r>
          </w:p>
        </w:tc>
        <w:tc>
          <w:tcPr>
            <w:tcW w:w="12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2,755</w:t>
            </w: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2,438</w:t>
            </w:r>
          </w:p>
        </w:tc>
        <w:tc>
          <w:tcPr>
            <w:tcW w:w="100" w:type="dxa"/>
            <w:vAlign w:val="bottom"/>
          </w:tcPr>
          <w:p>
            <w:pPr>
              <w:spacing w:after="0"/>
              <w:rPr>
                <w:sz w:val="19"/>
                <w:szCs w:val="19"/>
                <w:color w:val="auto"/>
              </w:rPr>
            </w:pPr>
          </w:p>
        </w:tc>
      </w:tr>
      <w:tr>
        <w:trPr>
          <w:trHeight w:val="230"/>
        </w:trPr>
        <w:tc>
          <w:tcPr>
            <w:tcW w:w="6640" w:type="dxa"/>
            <w:vAlign w:val="bottom"/>
            <w:shd w:val="clear" w:color="auto" w:fill="CFF0FC"/>
          </w:tcPr>
          <w:p>
            <w:pPr>
              <w:ind w:left="260"/>
              <w:spacing w:after="0"/>
              <w:rPr>
                <w:sz w:val="20"/>
                <w:szCs w:val="20"/>
                <w:color w:val="auto"/>
              </w:rPr>
            </w:pPr>
            <w:r>
              <w:rPr>
                <w:rFonts w:ascii="Arial" w:cs="Arial" w:eastAsia="Arial" w:hAnsi="Arial"/>
                <w:sz w:val="18"/>
                <w:szCs w:val="18"/>
                <w:color w:val="auto"/>
              </w:rPr>
              <w:t>Deferred revenue</w:t>
            </w:r>
          </w:p>
        </w:tc>
        <w:tc>
          <w:tcPr>
            <w:tcW w:w="120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2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1,517</w:t>
            </w:r>
          </w:p>
        </w:tc>
        <w:tc>
          <w:tcPr>
            <w:tcW w:w="1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2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1,423</w:t>
            </w:r>
          </w:p>
        </w:tc>
        <w:tc>
          <w:tcPr>
            <w:tcW w:w="100" w:type="dxa"/>
            <w:vAlign w:val="bottom"/>
            <w:shd w:val="clear" w:color="auto" w:fill="CFF0FC"/>
          </w:tcPr>
          <w:p>
            <w:pPr>
              <w:spacing w:after="0"/>
              <w:rPr>
                <w:sz w:val="19"/>
                <w:szCs w:val="19"/>
                <w:color w:val="auto"/>
              </w:rPr>
            </w:pPr>
          </w:p>
        </w:tc>
      </w:tr>
      <w:tr>
        <w:trPr>
          <w:trHeight w:val="215"/>
        </w:trPr>
        <w:tc>
          <w:tcPr>
            <w:tcW w:w="6640" w:type="dxa"/>
            <w:vAlign w:val="bottom"/>
          </w:tcPr>
          <w:p>
            <w:pPr>
              <w:ind w:left="260"/>
              <w:spacing w:after="0"/>
              <w:rPr>
                <w:sz w:val="20"/>
                <w:szCs w:val="20"/>
                <w:color w:val="auto"/>
              </w:rPr>
            </w:pPr>
            <w:r>
              <w:rPr>
                <w:rFonts w:ascii="Arial" w:cs="Arial" w:eastAsia="Arial" w:hAnsi="Arial"/>
                <w:sz w:val="18"/>
                <w:szCs w:val="18"/>
                <w:color w:val="auto"/>
              </w:rPr>
              <w:t>Current portion of long-term debt, net of discount of $270 and $551</w:t>
            </w:r>
          </w:p>
        </w:tc>
        <w:tc>
          <w:tcPr>
            <w:tcW w:w="12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0"/>
        </w:trPr>
        <w:tc>
          <w:tcPr>
            <w:tcW w:w="6640" w:type="dxa"/>
            <w:vAlign w:val="bottom"/>
            <w:tcBorders>
              <w:bottom w:val="single" w:sz="8" w:color="CFF0FC"/>
            </w:tcBorders>
          </w:tcPr>
          <w:p>
            <w:pPr>
              <w:ind w:left="380"/>
              <w:spacing w:after="0"/>
              <w:rPr>
                <w:sz w:val="20"/>
                <w:szCs w:val="20"/>
                <w:color w:val="auto"/>
              </w:rPr>
            </w:pPr>
            <w:r>
              <w:rPr>
                <w:rFonts w:ascii="Arial" w:cs="Arial" w:eastAsia="Arial" w:hAnsi="Arial"/>
                <w:sz w:val="18"/>
                <w:szCs w:val="18"/>
                <w:color w:val="auto"/>
              </w:rPr>
              <w:t>as of December 31, 2017 and 2016</w:t>
            </w:r>
          </w:p>
        </w:tc>
        <w:tc>
          <w:tcPr>
            <w:tcW w:w="1200" w:type="dxa"/>
            <w:vAlign w:val="bottom"/>
            <w:tcBorders>
              <w:bottom w:val="single" w:sz="8" w:color="CFF0FC"/>
            </w:tcBorders>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7,730</w:t>
            </w:r>
          </w:p>
        </w:tc>
        <w:tc>
          <w:tcPr>
            <w:tcW w:w="180" w:type="dxa"/>
            <w:vAlign w:val="bottom"/>
            <w:tcBorders>
              <w:bottom w:val="single" w:sz="8" w:color="CFF0FC"/>
            </w:tcBorders>
          </w:tcPr>
          <w:p>
            <w:pPr>
              <w:spacing w:after="0"/>
              <w:rPr>
                <w:sz w:val="20"/>
                <w:szCs w:val="20"/>
                <w:color w:val="auto"/>
              </w:rPr>
            </w:pPr>
          </w:p>
        </w:tc>
        <w:tc>
          <w:tcPr>
            <w:tcW w:w="120" w:type="dxa"/>
            <w:vAlign w:val="bottom"/>
            <w:tcBorders>
              <w:bottom w:val="single" w:sz="8" w:color="CFF0FC"/>
            </w:tcBorders>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7,449</w:t>
            </w:r>
          </w:p>
        </w:tc>
        <w:tc>
          <w:tcPr>
            <w:tcW w:w="100" w:type="dxa"/>
            <w:vAlign w:val="bottom"/>
            <w:tcBorders>
              <w:bottom w:val="single" w:sz="8" w:color="CFF0FC"/>
            </w:tcBorders>
          </w:tcPr>
          <w:p>
            <w:pPr>
              <w:spacing w:after="0"/>
              <w:rPr>
                <w:sz w:val="20"/>
                <w:szCs w:val="20"/>
                <w:color w:val="auto"/>
              </w:rPr>
            </w:pPr>
          </w:p>
        </w:tc>
      </w:tr>
      <w:tr>
        <w:trPr>
          <w:trHeight w:val="223"/>
        </w:trPr>
        <w:tc>
          <w:tcPr>
            <w:tcW w:w="6640" w:type="dxa"/>
            <w:vAlign w:val="bottom"/>
            <w:shd w:val="clear" w:color="auto" w:fill="CFF0FC"/>
          </w:tcPr>
          <w:p>
            <w:pPr>
              <w:ind w:left="500"/>
              <w:spacing w:after="0"/>
              <w:rPr>
                <w:sz w:val="20"/>
                <w:szCs w:val="20"/>
                <w:color w:val="auto"/>
              </w:rPr>
            </w:pPr>
            <w:r>
              <w:rPr>
                <w:rFonts w:ascii="Arial" w:cs="Arial" w:eastAsia="Arial" w:hAnsi="Arial"/>
                <w:sz w:val="18"/>
                <w:szCs w:val="18"/>
                <w:color w:val="auto"/>
              </w:rPr>
              <w:t>Total current liabilities</w:t>
            </w:r>
          </w:p>
        </w:tc>
        <w:tc>
          <w:tcPr>
            <w:tcW w:w="120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2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14,046</w:t>
            </w:r>
          </w:p>
        </w:tc>
        <w:tc>
          <w:tcPr>
            <w:tcW w:w="1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2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13,050</w:t>
            </w:r>
          </w:p>
        </w:tc>
        <w:tc>
          <w:tcPr>
            <w:tcW w:w="100" w:type="dxa"/>
            <w:vAlign w:val="bottom"/>
            <w:shd w:val="clear" w:color="auto" w:fill="CFF0FC"/>
          </w:tcPr>
          <w:p>
            <w:pPr>
              <w:spacing w:after="0"/>
              <w:rPr>
                <w:sz w:val="19"/>
                <w:szCs w:val="19"/>
                <w:color w:val="auto"/>
              </w:rPr>
            </w:pPr>
          </w:p>
        </w:tc>
      </w:tr>
      <w:tr>
        <w:trPr>
          <w:trHeight w:val="230"/>
        </w:trPr>
        <w:tc>
          <w:tcPr>
            <w:tcW w:w="6640" w:type="dxa"/>
            <w:vAlign w:val="bottom"/>
          </w:tcPr>
          <w:p>
            <w:pPr>
              <w:spacing w:after="0"/>
              <w:rPr>
                <w:sz w:val="20"/>
                <w:szCs w:val="20"/>
                <w:color w:val="auto"/>
              </w:rPr>
            </w:pPr>
            <w:r>
              <w:rPr>
                <w:rFonts w:ascii="Arial" w:cs="Arial" w:eastAsia="Arial" w:hAnsi="Arial"/>
                <w:sz w:val="18"/>
                <w:szCs w:val="18"/>
                <w:color w:val="auto"/>
              </w:rPr>
              <w:t>Other long-term liabilities</w:t>
            </w:r>
          </w:p>
        </w:tc>
        <w:tc>
          <w:tcPr>
            <w:tcW w:w="12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459</w:t>
            </w: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563</w:t>
            </w:r>
          </w:p>
        </w:tc>
        <w:tc>
          <w:tcPr>
            <w:tcW w:w="100" w:type="dxa"/>
            <w:vAlign w:val="bottom"/>
          </w:tcPr>
          <w:p>
            <w:pPr>
              <w:spacing w:after="0"/>
              <w:rPr>
                <w:sz w:val="19"/>
                <w:szCs w:val="19"/>
                <w:color w:val="auto"/>
              </w:rPr>
            </w:pPr>
          </w:p>
        </w:tc>
      </w:tr>
      <w:tr>
        <w:trPr>
          <w:trHeight w:val="230"/>
        </w:trPr>
        <w:tc>
          <w:tcPr>
            <w:tcW w:w="6640" w:type="dxa"/>
            <w:vAlign w:val="bottom"/>
            <w:shd w:val="clear" w:color="auto" w:fill="CFF0FC"/>
          </w:tcPr>
          <w:p>
            <w:pPr>
              <w:spacing w:after="0"/>
              <w:rPr>
                <w:sz w:val="20"/>
                <w:szCs w:val="20"/>
                <w:color w:val="auto"/>
              </w:rPr>
            </w:pPr>
            <w:r>
              <w:rPr>
                <w:rFonts w:ascii="Arial" w:cs="Arial" w:eastAsia="Arial" w:hAnsi="Arial"/>
                <w:sz w:val="18"/>
                <w:szCs w:val="18"/>
                <w:color w:val="auto"/>
              </w:rPr>
              <w:t>Preferred stock warrant liabilities</w:t>
            </w:r>
          </w:p>
        </w:tc>
        <w:tc>
          <w:tcPr>
            <w:tcW w:w="120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40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2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693</w:t>
            </w:r>
          </w:p>
        </w:tc>
        <w:tc>
          <w:tcPr>
            <w:tcW w:w="100" w:type="dxa"/>
            <w:vAlign w:val="bottom"/>
            <w:shd w:val="clear" w:color="auto" w:fill="CFF0FC"/>
          </w:tcPr>
          <w:p>
            <w:pPr>
              <w:spacing w:after="0"/>
              <w:rPr>
                <w:sz w:val="19"/>
                <w:szCs w:val="19"/>
                <w:color w:val="auto"/>
              </w:rPr>
            </w:pPr>
          </w:p>
        </w:tc>
      </w:tr>
      <w:tr>
        <w:trPr>
          <w:trHeight w:val="215"/>
        </w:trPr>
        <w:tc>
          <w:tcPr>
            <w:tcW w:w="6640" w:type="dxa"/>
            <w:vAlign w:val="bottom"/>
          </w:tcPr>
          <w:p>
            <w:pPr>
              <w:spacing w:after="0"/>
              <w:rPr>
                <w:sz w:val="20"/>
                <w:szCs w:val="20"/>
                <w:color w:val="auto"/>
              </w:rPr>
            </w:pPr>
            <w:r>
              <w:rPr>
                <w:rFonts w:ascii="Arial" w:cs="Arial" w:eastAsia="Arial" w:hAnsi="Arial"/>
                <w:sz w:val="18"/>
                <w:szCs w:val="18"/>
                <w:color w:val="auto"/>
              </w:rPr>
              <w:t>Long-term debt, net of discount of $29 and $299 as of December 31,</w:t>
            </w:r>
          </w:p>
        </w:tc>
        <w:tc>
          <w:tcPr>
            <w:tcW w:w="12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0"/>
        </w:trPr>
        <w:tc>
          <w:tcPr>
            <w:tcW w:w="6640" w:type="dxa"/>
            <w:vAlign w:val="bottom"/>
            <w:tcBorders>
              <w:bottom w:val="single" w:sz="8" w:color="CFF0FC"/>
            </w:tcBorders>
          </w:tcPr>
          <w:p>
            <w:pPr>
              <w:ind w:left="140"/>
              <w:spacing w:after="0"/>
              <w:rPr>
                <w:sz w:val="20"/>
                <w:szCs w:val="20"/>
                <w:color w:val="auto"/>
              </w:rPr>
            </w:pPr>
            <w:r>
              <w:rPr>
                <w:rFonts w:ascii="Arial" w:cs="Arial" w:eastAsia="Arial" w:hAnsi="Arial"/>
                <w:sz w:val="18"/>
                <w:szCs w:val="18"/>
                <w:color w:val="auto"/>
              </w:rPr>
              <w:t>2017 and 2016</w:t>
            </w:r>
          </w:p>
        </w:tc>
        <w:tc>
          <w:tcPr>
            <w:tcW w:w="1200" w:type="dxa"/>
            <w:vAlign w:val="bottom"/>
            <w:tcBorders>
              <w:bottom w:val="single" w:sz="8" w:color="CFF0FC"/>
            </w:tcBorders>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5,271</w:t>
            </w:r>
          </w:p>
        </w:tc>
        <w:tc>
          <w:tcPr>
            <w:tcW w:w="180" w:type="dxa"/>
            <w:vAlign w:val="bottom"/>
            <w:tcBorders>
              <w:bottom w:val="single" w:sz="8" w:color="CFF0FC"/>
            </w:tcBorders>
          </w:tcPr>
          <w:p>
            <w:pPr>
              <w:spacing w:after="0"/>
              <w:rPr>
                <w:sz w:val="20"/>
                <w:szCs w:val="20"/>
                <w:color w:val="auto"/>
              </w:rPr>
            </w:pPr>
          </w:p>
        </w:tc>
        <w:tc>
          <w:tcPr>
            <w:tcW w:w="120" w:type="dxa"/>
            <w:vAlign w:val="bottom"/>
            <w:tcBorders>
              <w:bottom w:val="single" w:sz="8" w:color="CFF0FC"/>
            </w:tcBorders>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13,001</w:t>
            </w:r>
          </w:p>
        </w:tc>
        <w:tc>
          <w:tcPr>
            <w:tcW w:w="100" w:type="dxa"/>
            <w:vAlign w:val="bottom"/>
            <w:tcBorders>
              <w:bottom w:val="single" w:sz="8" w:color="CFF0FC"/>
            </w:tcBorders>
          </w:tcPr>
          <w:p>
            <w:pPr>
              <w:spacing w:after="0"/>
              <w:rPr>
                <w:sz w:val="20"/>
                <w:szCs w:val="20"/>
                <w:color w:val="auto"/>
              </w:rPr>
            </w:pPr>
          </w:p>
        </w:tc>
      </w:tr>
      <w:tr>
        <w:trPr>
          <w:trHeight w:val="223"/>
        </w:trPr>
        <w:tc>
          <w:tcPr>
            <w:tcW w:w="6640" w:type="dxa"/>
            <w:vAlign w:val="bottom"/>
            <w:shd w:val="clear" w:color="auto" w:fill="CFF0FC"/>
          </w:tcPr>
          <w:p>
            <w:pPr>
              <w:spacing w:after="0"/>
              <w:rPr>
                <w:sz w:val="20"/>
                <w:szCs w:val="20"/>
                <w:color w:val="auto"/>
              </w:rPr>
            </w:pPr>
            <w:r>
              <w:rPr>
                <w:rFonts w:ascii="Arial" w:cs="Arial" w:eastAsia="Arial" w:hAnsi="Arial"/>
                <w:sz w:val="18"/>
                <w:szCs w:val="18"/>
                <w:color w:val="auto"/>
              </w:rPr>
              <w:t>TOTAL LIABILITIES</w:t>
            </w:r>
          </w:p>
        </w:tc>
        <w:tc>
          <w:tcPr>
            <w:tcW w:w="1200" w:type="dxa"/>
            <w:vAlign w:val="bottom"/>
            <w:shd w:val="clear" w:color="auto" w:fill="CFF0FC"/>
          </w:tcPr>
          <w:p>
            <w:pPr>
              <w:spacing w:after="0"/>
              <w:rPr>
                <w:sz w:val="19"/>
                <w:szCs w:val="19"/>
                <w:color w:val="auto"/>
              </w:rPr>
            </w:pPr>
          </w:p>
        </w:tc>
        <w:tc>
          <w:tcPr>
            <w:tcW w:w="360" w:type="dxa"/>
            <w:vAlign w:val="bottom"/>
            <w:tcBorders>
              <w:bottom w:val="single" w:sz="8" w:color="auto"/>
            </w:tcBorders>
            <w:shd w:val="clear" w:color="auto" w:fill="CFF0FC"/>
          </w:tcPr>
          <w:p>
            <w:pPr>
              <w:spacing w:after="0"/>
              <w:rPr>
                <w:sz w:val="19"/>
                <w:szCs w:val="19"/>
                <w:color w:val="auto"/>
              </w:rPr>
            </w:pPr>
          </w:p>
        </w:tc>
        <w:tc>
          <w:tcPr>
            <w:tcW w:w="12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19,776</w:t>
            </w:r>
          </w:p>
        </w:tc>
        <w:tc>
          <w:tcPr>
            <w:tcW w:w="1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360" w:type="dxa"/>
            <w:vAlign w:val="bottom"/>
            <w:tcBorders>
              <w:bottom w:val="single" w:sz="8" w:color="auto"/>
            </w:tcBorders>
            <w:shd w:val="clear" w:color="auto" w:fill="CFF0FC"/>
          </w:tcPr>
          <w:p>
            <w:pPr>
              <w:spacing w:after="0"/>
              <w:rPr>
                <w:sz w:val="19"/>
                <w:szCs w:val="19"/>
                <w:color w:val="auto"/>
              </w:rPr>
            </w:pPr>
          </w:p>
        </w:tc>
        <w:tc>
          <w:tcPr>
            <w:tcW w:w="12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27,307</w:t>
            </w:r>
          </w:p>
        </w:tc>
        <w:tc>
          <w:tcPr>
            <w:tcW w:w="100" w:type="dxa"/>
            <w:vAlign w:val="bottom"/>
            <w:shd w:val="clear" w:color="auto" w:fill="CFF0FC"/>
          </w:tcPr>
          <w:p>
            <w:pPr>
              <w:spacing w:after="0"/>
              <w:rPr>
                <w:sz w:val="19"/>
                <w:szCs w:val="19"/>
                <w:color w:val="auto"/>
              </w:rPr>
            </w:pPr>
          </w:p>
        </w:tc>
      </w:tr>
      <w:tr>
        <w:trPr>
          <w:trHeight w:val="223"/>
        </w:trPr>
        <w:tc>
          <w:tcPr>
            <w:tcW w:w="6640" w:type="dxa"/>
            <w:vAlign w:val="bottom"/>
          </w:tcPr>
          <w:p>
            <w:pPr>
              <w:spacing w:after="0"/>
              <w:rPr>
                <w:sz w:val="20"/>
                <w:szCs w:val="20"/>
                <w:color w:val="auto"/>
              </w:rPr>
            </w:pPr>
            <w:r>
              <w:rPr>
                <w:rFonts w:ascii="Arial" w:cs="Arial" w:eastAsia="Arial" w:hAnsi="Arial"/>
                <w:sz w:val="18"/>
                <w:szCs w:val="18"/>
                <w:color w:val="auto"/>
              </w:rPr>
              <w:t>Commitments and Contingencies (Note 6)</w:t>
            </w:r>
          </w:p>
        </w:tc>
        <w:tc>
          <w:tcPr>
            <w:tcW w:w="12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15"/>
        </w:trPr>
        <w:tc>
          <w:tcPr>
            <w:tcW w:w="6640" w:type="dxa"/>
            <w:vAlign w:val="bottom"/>
            <w:shd w:val="clear" w:color="auto" w:fill="CFF0FC"/>
          </w:tcPr>
          <w:p>
            <w:pPr>
              <w:spacing w:after="0"/>
              <w:rPr>
                <w:sz w:val="20"/>
                <w:szCs w:val="20"/>
                <w:color w:val="auto"/>
              </w:rPr>
            </w:pPr>
            <w:r>
              <w:rPr>
                <w:rFonts w:ascii="Arial" w:cs="Arial" w:eastAsia="Arial" w:hAnsi="Arial"/>
                <w:sz w:val="18"/>
                <w:szCs w:val="18"/>
                <w:color w:val="auto"/>
              </w:rPr>
              <w:t>Convertible preferred stock, $0.0001 par value; no and 236,154,444</w:t>
            </w:r>
          </w:p>
        </w:tc>
        <w:tc>
          <w:tcPr>
            <w:tcW w:w="120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122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12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6"/>
        </w:trPr>
        <w:tc>
          <w:tcPr>
            <w:tcW w:w="6640" w:type="dxa"/>
            <w:vAlign w:val="bottom"/>
            <w:shd w:val="clear" w:color="auto" w:fill="CFF0FC"/>
          </w:tcPr>
          <w:p>
            <w:pPr>
              <w:ind w:left="140"/>
              <w:spacing w:after="0"/>
              <w:rPr>
                <w:sz w:val="20"/>
                <w:szCs w:val="20"/>
                <w:color w:val="auto"/>
              </w:rPr>
            </w:pPr>
            <w:r>
              <w:rPr>
                <w:rFonts w:ascii="Arial" w:cs="Arial" w:eastAsia="Arial" w:hAnsi="Arial"/>
                <w:sz w:val="18"/>
                <w:szCs w:val="18"/>
                <w:color w:val="auto"/>
              </w:rPr>
              <w:t>shares authorized as of December 31, 2017 and 2016; no and 21,142,295</w:t>
            </w:r>
          </w:p>
        </w:tc>
        <w:tc>
          <w:tcPr>
            <w:tcW w:w="120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122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12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6"/>
        </w:trPr>
        <w:tc>
          <w:tcPr>
            <w:tcW w:w="6640" w:type="dxa"/>
            <w:vAlign w:val="bottom"/>
            <w:shd w:val="clear" w:color="auto" w:fill="CFF0FC"/>
          </w:tcPr>
          <w:p>
            <w:pPr>
              <w:ind w:left="140"/>
              <w:spacing w:after="0"/>
              <w:rPr>
                <w:sz w:val="20"/>
                <w:szCs w:val="20"/>
                <w:color w:val="auto"/>
              </w:rPr>
            </w:pPr>
            <w:r>
              <w:rPr>
                <w:rFonts w:ascii="Arial" w:cs="Arial" w:eastAsia="Arial" w:hAnsi="Arial"/>
                <w:sz w:val="18"/>
                <w:szCs w:val="18"/>
                <w:color w:val="auto"/>
              </w:rPr>
              <w:t>shares issued and outstanding as of December 31, 2017 and 2016;</w:t>
            </w:r>
          </w:p>
        </w:tc>
        <w:tc>
          <w:tcPr>
            <w:tcW w:w="120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122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12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6"/>
        </w:trPr>
        <w:tc>
          <w:tcPr>
            <w:tcW w:w="6640" w:type="dxa"/>
            <w:vAlign w:val="bottom"/>
            <w:shd w:val="clear" w:color="auto" w:fill="CFF0FC"/>
          </w:tcPr>
          <w:p>
            <w:pPr>
              <w:ind w:left="140"/>
              <w:spacing w:after="0"/>
              <w:rPr>
                <w:sz w:val="20"/>
                <w:szCs w:val="20"/>
                <w:color w:val="auto"/>
              </w:rPr>
            </w:pPr>
            <w:r>
              <w:rPr>
                <w:rFonts w:ascii="Arial" w:cs="Arial" w:eastAsia="Arial" w:hAnsi="Arial"/>
                <w:sz w:val="18"/>
                <w:szCs w:val="18"/>
                <w:color w:val="auto"/>
              </w:rPr>
              <w:t>aggregate liquidation preference of no and $142,231 as of December 31,</w:t>
            </w:r>
          </w:p>
        </w:tc>
        <w:tc>
          <w:tcPr>
            <w:tcW w:w="120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122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12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30"/>
        </w:trPr>
        <w:tc>
          <w:tcPr>
            <w:tcW w:w="6640" w:type="dxa"/>
            <w:vAlign w:val="bottom"/>
            <w:shd w:val="clear" w:color="auto" w:fill="CFF0FC"/>
          </w:tcPr>
          <w:p>
            <w:pPr>
              <w:ind w:left="140"/>
              <w:spacing w:after="0"/>
              <w:rPr>
                <w:sz w:val="20"/>
                <w:szCs w:val="20"/>
                <w:color w:val="auto"/>
              </w:rPr>
            </w:pPr>
            <w:r>
              <w:rPr>
                <w:rFonts w:ascii="Arial" w:cs="Arial" w:eastAsia="Arial" w:hAnsi="Arial"/>
                <w:sz w:val="18"/>
                <w:szCs w:val="18"/>
                <w:color w:val="auto"/>
              </w:rPr>
              <w:t>2017 and 2016</w:t>
            </w:r>
          </w:p>
        </w:tc>
        <w:tc>
          <w:tcPr>
            <w:tcW w:w="1200" w:type="dxa"/>
            <w:vAlign w:val="bottom"/>
            <w:shd w:val="clear" w:color="auto" w:fill="CFF0FC"/>
          </w:tcPr>
          <w:p>
            <w:pPr>
              <w:spacing w:after="0"/>
              <w:rPr>
                <w:sz w:val="20"/>
                <w:szCs w:val="20"/>
                <w:color w:val="auto"/>
              </w:rPr>
            </w:pPr>
          </w:p>
        </w:tc>
        <w:tc>
          <w:tcPr>
            <w:tcW w:w="360" w:type="dxa"/>
            <w:vAlign w:val="bottom"/>
            <w:shd w:val="clear" w:color="auto" w:fill="CFF0FC"/>
          </w:tcPr>
          <w:p>
            <w:pPr>
              <w:spacing w:after="0"/>
              <w:rPr>
                <w:sz w:val="20"/>
                <w:szCs w:val="20"/>
                <w:color w:val="auto"/>
              </w:rPr>
            </w:pPr>
          </w:p>
        </w:tc>
        <w:tc>
          <w:tcPr>
            <w:tcW w:w="140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FF0FC"/>
          </w:tcPr>
          <w:p>
            <w:pPr>
              <w:spacing w:after="0"/>
              <w:rPr>
                <w:sz w:val="20"/>
                <w:szCs w:val="20"/>
                <w:color w:val="auto"/>
              </w:rPr>
            </w:pPr>
          </w:p>
        </w:tc>
        <w:tc>
          <w:tcPr>
            <w:tcW w:w="360" w:type="dxa"/>
            <w:vAlign w:val="bottom"/>
            <w:shd w:val="clear" w:color="auto" w:fill="CFF0FC"/>
          </w:tcPr>
          <w:p>
            <w:pPr>
              <w:spacing w:after="0"/>
              <w:rPr>
                <w:sz w:val="20"/>
                <w:szCs w:val="20"/>
                <w:color w:val="auto"/>
              </w:rPr>
            </w:pPr>
          </w:p>
        </w:tc>
        <w:tc>
          <w:tcPr>
            <w:tcW w:w="12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135,735</w:t>
            </w:r>
          </w:p>
        </w:tc>
        <w:tc>
          <w:tcPr>
            <w:tcW w:w="100" w:type="dxa"/>
            <w:vAlign w:val="bottom"/>
            <w:shd w:val="clear" w:color="auto" w:fill="CFF0FC"/>
          </w:tcPr>
          <w:p>
            <w:pPr>
              <w:spacing w:after="0"/>
              <w:rPr>
                <w:sz w:val="20"/>
                <w:szCs w:val="20"/>
                <w:color w:val="auto"/>
              </w:rPr>
            </w:pPr>
          </w:p>
        </w:tc>
      </w:tr>
      <w:tr>
        <w:trPr>
          <w:trHeight w:val="230"/>
        </w:trPr>
        <w:tc>
          <w:tcPr>
            <w:tcW w:w="6640" w:type="dxa"/>
            <w:vAlign w:val="bottom"/>
          </w:tcPr>
          <w:p>
            <w:pPr>
              <w:spacing w:after="0"/>
              <w:rPr>
                <w:sz w:val="20"/>
                <w:szCs w:val="20"/>
                <w:color w:val="auto"/>
              </w:rPr>
            </w:pPr>
            <w:r>
              <w:rPr>
                <w:rFonts w:ascii="Arial" w:cs="Arial" w:eastAsia="Arial" w:hAnsi="Arial"/>
                <w:sz w:val="18"/>
                <w:szCs w:val="18"/>
                <w:color w:val="auto"/>
              </w:rPr>
              <w:t>STOCKHOLDERS’ EQUITY (DEFICIT):</w:t>
            </w:r>
          </w:p>
        </w:tc>
        <w:tc>
          <w:tcPr>
            <w:tcW w:w="12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15"/>
        </w:trPr>
        <w:tc>
          <w:tcPr>
            <w:tcW w:w="6640" w:type="dxa"/>
            <w:vAlign w:val="bottom"/>
            <w:shd w:val="clear" w:color="auto" w:fill="CFF0FC"/>
          </w:tcPr>
          <w:p>
            <w:pPr>
              <w:spacing w:after="0"/>
              <w:rPr>
                <w:sz w:val="20"/>
                <w:szCs w:val="20"/>
                <w:color w:val="auto"/>
              </w:rPr>
            </w:pPr>
            <w:r>
              <w:rPr>
                <w:rFonts w:ascii="Arial" w:cs="Arial" w:eastAsia="Arial" w:hAnsi="Arial"/>
                <w:sz w:val="18"/>
                <w:szCs w:val="18"/>
                <w:color w:val="auto"/>
              </w:rPr>
              <w:t>Preferred stock, $0.0001 par value: 10,000,000 and no shares authorized</w:t>
            </w:r>
          </w:p>
        </w:tc>
        <w:tc>
          <w:tcPr>
            <w:tcW w:w="120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122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12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6"/>
        </w:trPr>
        <w:tc>
          <w:tcPr>
            <w:tcW w:w="6640" w:type="dxa"/>
            <w:vAlign w:val="bottom"/>
            <w:shd w:val="clear" w:color="auto" w:fill="CFF0FC"/>
          </w:tcPr>
          <w:p>
            <w:pPr>
              <w:ind w:left="140"/>
              <w:spacing w:after="0"/>
              <w:rPr>
                <w:sz w:val="20"/>
                <w:szCs w:val="20"/>
                <w:color w:val="auto"/>
              </w:rPr>
            </w:pPr>
            <w:r>
              <w:rPr>
                <w:rFonts w:ascii="Arial" w:cs="Arial" w:eastAsia="Arial" w:hAnsi="Arial"/>
                <w:sz w:val="18"/>
                <w:szCs w:val="18"/>
                <w:color w:val="auto"/>
              </w:rPr>
              <w:t>as of December 31, 2017 and 2016; no shares issued and outstanding</w:t>
            </w:r>
          </w:p>
        </w:tc>
        <w:tc>
          <w:tcPr>
            <w:tcW w:w="120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122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12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30"/>
        </w:trPr>
        <w:tc>
          <w:tcPr>
            <w:tcW w:w="6640" w:type="dxa"/>
            <w:vAlign w:val="bottom"/>
            <w:shd w:val="clear" w:color="auto" w:fill="CFF0FC"/>
          </w:tcPr>
          <w:p>
            <w:pPr>
              <w:ind w:left="140"/>
              <w:spacing w:after="0"/>
              <w:rPr>
                <w:sz w:val="20"/>
                <w:szCs w:val="20"/>
                <w:color w:val="auto"/>
              </w:rPr>
            </w:pPr>
            <w:r>
              <w:rPr>
                <w:rFonts w:ascii="Arial" w:cs="Arial" w:eastAsia="Arial" w:hAnsi="Arial"/>
                <w:sz w:val="18"/>
                <w:szCs w:val="18"/>
                <w:color w:val="auto"/>
              </w:rPr>
              <w:t>as of December 31, 2017 and 2016</w:t>
            </w:r>
          </w:p>
        </w:tc>
        <w:tc>
          <w:tcPr>
            <w:tcW w:w="1200" w:type="dxa"/>
            <w:vAlign w:val="bottom"/>
            <w:shd w:val="clear" w:color="auto" w:fill="CFF0FC"/>
          </w:tcPr>
          <w:p>
            <w:pPr>
              <w:spacing w:after="0"/>
              <w:rPr>
                <w:sz w:val="20"/>
                <w:szCs w:val="20"/>
                <w:color w:val="auto"/>
              </w:rPr>
            </w:pPr>
          </w:p>
        </w:tc>
        <w:tc>
          <w:tcPr>
            <w:tcW w:w="360" w:type="dxa"/>
            <w:vAlign w:val="bottom"/>
            <w:shd w:val="clear" w:color="auto" w:fill="CFF0FC"/>
          </w:tcPr>
          <w:p>
            <w:pPr>
              <w:spacing w:after="0"/>
              <w:rPr>
                <w:sz w:val="20"/>
                <w:szCs w:val="20"/>
                <w:color w:val="auto"/>
              </w:rPr>
            </w:pPr>
          </w:p>
        </w:tc>
        <w:tc>
          <w:tcPr>
            <w:tcW w:w="140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FF0FC"/>
          </w:tcPr>
          <w:p>
            <w:pPr>
              <w:spacing w:after="0"/>
              <w:rPr>
                <w:sz w:val="20"/>
                <w:szCs w:val="20"/>
                <w:color w:val="auto"/>
              </w:rPr>
            </w:pPr>
          </w:p>
        </w:tc>
        <w:tc>
          <w:tcPr>
            <w:tcW w:w="360" w:type="dxa"/>
            <w:vAlign w:val="bottom"/>
            <w:shd w:val="clear" w:color="auto" w:fill="CFF0FC"/>
          </w:tcPr>
          <w:p>
            <w:pPr>
              <w:spacing w:after="0"/>
              <w:rPr>
                <w:sz w:val="20"/>
                <w:szCs w:val="20"/>
                <w:color w:val="auto"/>
              </w:rPr>
            </w:pPr>
          </w:p>
        </w:tc>
        <w:tc>
          <w:tcPr>
            <w:tcW w:w="134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w:t>
            </w:r>
          </w:p>
        </w:tc>
      </w:tr>
      <w:tr>
        <w:trPr>
          <w:trHeight w:val="215"/>
        </w:trPr>
        <w:tc>
          <w:tcPr>
            <w:tcW w:w="6640" w:type="dxa"/>
            <w:vAlign w:val="bottom"/>
          </w:tcPr>
          <w:p>
            <w:pPr>
              <w:spacing w:after="0"/>
              <w:rPr>
                <w:sz w:val="20"/>
                <w:szCs w:val="20"/>
                <w:color w:val="auto"/>
              </w:rPr>
            </w:pPr>
            <w:r>
              <w:rPr>
                <w:rFonts w:ascii="Arial" w:cs="Arial" w:eastAsia="Arial" w:hAnsi="Arial"/>
                <w:sz w:val="18"/>
                <w:szCs w:val="18"/>
                <w:color w:val="auto"/>
              </w:rPr>
              <w:t>Common stock, $0.0001 par value: 300,000,000 and 350,490,000 shares</w:t>
            </w:r>
          </w:p>
        </w:tc>
        <w:tc>
          <w:tcPr>
            <w:tcW w:w="12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6640" w:type="dxa"/>
            <w:vAlign w:val="bottom"/>
          </w:tcPr>
          <w:p>
            <w:pPr>
              <w:ind w:left="140"/>
              <w:spacing w:after="0"/>
              <w:rPr>
                <w:sz w:val="20"/>
                <w:szCs w:val="20"/>
                <w:color w:val="auto"/>
              </w:rPr>
            </w:pPr>
            <w:r>
              <w:rPr>
                <w:rFonts w:ascii="Arial" w:cs="Arial" w:eastAsia="Arial" w:hAnsi="Arial"/>
                <w:sz w:val="18"/>
                <w:szCs w:val="18"/>
                <w:color w:val="auto"/>
              </w:rPr>
              <w:t>authorized as of December 31, 2017 and 2016; 28,940,282 and 1,615,495</w:t>
            </w:r>
          </w:p>
        </w:tc>
        <w:tc>
          <w:tcPr>
            <w:tcW w:w="12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0"/>
        </w:trPr>
        <w:tc>
          <w:tcPr>
            <w:tcW w:w="6640" w:type="dxa"/>
            <w:vAlign w:val="bottom"/>
          </w:tcPr>
          <w:p>
            <w:pPr>
              <w:ind w:left="140"/>
              <w:spacing w:after="0"/>
              <w:rPr>
                <w:sz w:val="20"/>
                <w:szCs w:val="20"/>
                <w:color w:val="auto"/>
              </w:rPr>
            </w:pPr>
            <w:r>
              <w:rPr>
                <w:rFonts w:ascii="Arial" w:cs="Arial" w:eastAsia="Arial" w:hAnsi="Arial"/>
                <w:sz w:val="18"/>
                <w:szCs w:val="18"/>
                <w:color w:val="auto"/>
              </w:rPr>
              <w:t>shares issued and outstanding as of December 31, 2017 and 2016</w:t>
            </w:r>
          </w:p>
        </w:tc>
        <w:tc>
          <w:tcPr>
            <w:tcW w:w="12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3</w:t>
            </w:r>
          </w:p>
        </w:tc>
        <w:tc>
          <w:tcPr>
            <w:tcW w:w="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34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r>
      <w:tr>
        <w:trPr>
          <w:trHeight w:val="230"/>
        </w:trPr>
        <w:tc>
          <w:tcPr>
            <w:tcW w:w="6640" w:type="dxa"/>
            <w:vAlign w:val="bottom"/>
            <w:shd w:val="clear" w:color="auto" w:fill="CFF0FC"/>
          </w:tcPr>
          <w:p>
            <w:pPr>
              <w:spacing w:after="0"/>
              <w:rPr>
                <w:sz w:val="20"/>
                <w:szCs w:val="20"/>
                <w:color w:val="auto"/>
              </w:rPr>
            </w:pPr>
            <w:r>
              <w:rPr>
                <w:rFonts w:ascii="Arial" w:cs="Arial" w:eastAsia="Arial" w:hAnsi="Arial"/>
                <w:sz w:val="18"/>
                <w:szCs w:val="18"/>
                <w:color w:val="auto"/>
              </w:rPr>
              <w:t>Additional paid-in capital</w:t>
            </w:r>
          </w:p>
        </w:tc>
        <w:tc>
          <w:tcPr>
            <w:tcW w:w="120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2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177,757</w:t>
            </w:r>
          </w:p>
        </w:tc>
        <w:tc>
          <w:tcPr>
            <w:tcW w:w="1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2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3,087</w:t>
            </w:r>
          </w:p>
        </w:tc>
        <w:tc>
          <w:tcPr>
            <w:tcW w:w="100" w:type="dxa"/>
            <w:vAlign w:val="bottom"/>
            <w:shd w:val="clear" w:color="auto" w:fill="CFF0FC"/>
          </w:tcPr>
          <w:p>
            <w:pPr>
              <w:spacing w:after="0"/>
              <w:rPr>
                <w:sz w:val="19"/>
                <w:szCs w:val="19"/>
                <w:color w:val="auto"/>
              </w:rPr>
            </w:pPr>
          </w:p>
        </w:tc>
      </w:tr>
      <w:tr>
        <w:trPr>
          <w:trHeight w:val="230"/>
        </w:trPr>
        <w:tc>
          <w:tcPr>
            <w:tcW w:w="6640" w:type="dxa"/>
            <w:vAlign w:val="bottom"/>
          </w:tcPr>
          <w:p>
            <w:pPr>
              <w:spacing w:after="0"/>
              <w:rPr>
                <w:sz w:val="20"/>
                <w:szCs w:val="20"/>
                <w:color w:val="auto"/>
              </w:rPr>
            </w:pPr>
            <w:r>
              <w:rPr>
                <w:rFonts w:ascii="Arial" w:cs="Arial" w:eastAsia="Arial" w:hAnsi="Arial"/>
                <w:sz w:val="18"/>
                <w:szCs w:val="18"/>
                <w:color w:val="auto"/>
              </w:rPr>
              <w:t>Accumulated other comprehensive income (loss)</w:t>
            </w:r>
          </w:p>
        </w:tc>
        <w:tc>
          <w:tcPr>
            <w:tcW w:w="12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400" w:type="dxa"/>
            <w:vAlign w:val="bottom"/>
            <w:gridSpan w:val="2"/>
          </w:tcPr>
          <w:p>
            <w:pPr>
              <w:jc w:val="right"/>
              <w:ind w:right="120"/>
              <w:spacing w:after="0"/>
              <w:rPr>
                <w:sz w:val="20"/>
                <w:szCs w:val="20"/>
                <w:color w:val="auto"/>
              </w:rPr>
            </w:pPr>
            <w:r>
              <w:rPr>
                <w:rFonts w:ascii="Arial" w:cs="Arial" w:eastAsia="Arial" w:hAnsi="Arial"/>
                <w:sz w:val="18"/>
                <w:szCs w:val="18"/>
                <w:color w:val="auto"/>
              </w:rPr>
              <w:t>(79)</w:t>
            </w: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14</w:t>
            </w:r>
          </w:p>
        </w:tc>
        <w:tc>
          <w:tcPr>
            <w:tcW w:w="100" w:type="dxa"/>
            <w:vAlign w:val="bottom"/>
          </w:tcPr>
          <w:p>
            <w:pPr>
              <w:spacing w:after="0"/>
              <w:rPr>
                <w:sz w:val="19"/>
                <w:szCs w:val="19"/>
                <w:color w:val="auto"/>
              </w:rPr>
            </w:pPr>
          </w:p>
        </w:tc>
      </w:tr>
      <w:tr>
        <w:trPr>
          <w:trHeight w:val="230"/>
        </w:trPr>
        <w:tc>
          <w:tcPr>
            <w:tcW w:w="6640" w:type="dxa"/>
            <w:vAlign w:val="bottom"/>
            <w:shd w:val="clear" w:color="auto" w:fill="CFF0FC"/>
          </w:tcPr>
          <w:p>
            <w:pPr>
              <w:spacing w:after="0"/>
              <w:rPr>
                <w:sz w:val="20"/>
                <w:szCs w:val="20"/>
                <w:color w:val="auto"/>
              </w:rPr>
            </w:pPr>
            <w:r>
              <w:rPr>
                <w:rFonts w:ascii="Arial" w:cs="Arial" w:eastAsia="Arial" w:hAnsi="Arial"/>
                <w:sz w:val="18"/>
                <w:szCs w:val="18"/>
                <w:color w:val="auto"/>
              </w:rPr>
              <w:t>Accumulated deficit</w:t>
            </w:r>
          </w:p>
        </w:tc>
        <w:tc>
          <w:tcPr>
            <w:tcW w:w="120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40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(164,487)</w:t>
            </w:r>
          </w:p>
        </w:tc>
        <w:tc>
          <w:tcPr>
            <w:tcW w:w="12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34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(146,645)</w:t>
            </w:r>
          </w:p>
        </w:tc>
      </w:tr>
      <w:tr>
        <w:trPr>
          <w:trHeight w:val="223"/>
        </w:trPr>
        <w:tc>
          <w:tcPr>
            <w:tcW w:w="664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TOTAL STOCKHOLDERS’ EQUITY (DEFICIT)</w:t>
            </w:r>
          </w:p>
        </w:tc>
        <w:tc>
          <w:tcPr>
            <w:tcW w:w="1200" w:type="dxa"/>
            <w:vAlign w:val="bottom"/>
            <w:tcBorders>
              <w:bottom w:val="single" w:sz="8" w:color="CFF0FC"/>
            </w:tcBorders>
          </w:tcPr>
          <w:p>
            <w:pPr>
              <w:spacing w:after="0"/>
              <w:rPr>
                <w:sz w:val="19"/>
                <w:szCs w:val="19"/>
                <w:color w:val="auto"/>
              </w:rPr>
            </w:pPr>
          </w:p>
        </w:tc>
        <w:tc>
          <w:tcPr>
            <w:tcW w:w="360" w:type="dxa"/>
            <w:vAlign w:val="bottom"/>
            <w:tcBorders>
              <w:top w:val="single" w:sz="8" w:color="auto"/>
              <w:bottom w:val="single" w:sz="8" w:color="auto"/>
            </w:tcBorders>
          </w:tcPr>
          <w:p>
            <w:pPr>
              <w:spacing w:after="0"/>
              <w:rPr>
                <w:sz w:val="19"/>
                <w:szCs w:val="19"/>
                <w:color w:val="auto"/>
              </w:rPr>
            </w:pPr>
          </w:p>
        </w:tc>
        <w:tc>
          <w:tcPr>
            <w:tcW w:w="12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13,194</w:t>
            </w:r>
          </w:p>
        </w:tc>
        <w:tc>
          <w:tcPr>
            <w:tcW w:w="180" w:type="dxa"/>
            <w:vAlign w:val="bottom"/>
            <w:tcBorders>
              <w:bottom w:val="single" w:sz="8" w:color="CFF0FC"/>
            </w:tcBorders>
          </w:tcPr>
          <w:p>
            <w:pPr>
              <w:spacing w:after="0"/>
              <w:rPr>
                <w:sz w:val="19"/>
                <w:szCs w:val="19"/>
                <w:color w:val="auto"/>
              </w:rPr>
            </w:pPr>
          </w:p>
        </w:tc>
        <w:tc>
          <w:tcPr>
            <w:tcW w:w="120" w:type="dxa"/>
            <w:vAlign w:val="bottom"/>
            <w:tcBorders>
              <w:bottom w:val="single" w:sz="8" w:color="CFF0FC"/>
            </w:tcBorders>
          </w:tcPr>
          <w:p>
            <w:pPr>
              <w:spacing w:after="0"/>
              <w:rPr>
                <w:sz w:val="19"/>
                <w:szCs w:val="19"/>
                <w:color w:val="auto"/>
              </w:rPr>
            </w:pPr>
          </w:p>
        </w:tc>
        <w:tc>
          <w:tcPr>
            <w:tcW w:w="360" w:type="dxa"/>
            <w:vAlign w:val="bottom"/>
            <w:tcBorders>
              <w:top w:val="single" w:sz="8" w:color="auto"/>
              <w:bottom w:val="single" w:sz="8" w:color="auto"/>
            </w:tcBorders>
          </w:tcPr>
          <w:p>
            <w:pPr>
              <w:spacing w:after="0"/>
              <w:rPr>
                <w:sz w:val="19"/>
                <w:szCs w:val="19"/>
                <w:color w:val="auto"/>
              </w:rPr>
            </w:pPr>
          </w:p>
        </w:tc>
        <w:tc>
          <w:tcPr>
            <w:tcW w:w="12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(143,544)</w:t>
            </w:r>
          </w:p>
        </w:tc>
        <w:tc>
          <w:tcPr>
            <w:tcW w:w="100" w:type="dxa"/>
            <w:vAlign w:val="bottom"/>
            <w:tcBorders>
              <w:bottom w:val="single" w:sz="8" w:color="CFF0FC"/>
            </w:tcBorders>
          </w:tcPr>
          <w:p>
            <w:pPr>
              <w:spacing w:after="0"/>
              <w:rPr>
                <w:sz w:val="19"/>
                <w:szCs w:val="19"/>
                <w:color w:val="auto"/>
              </w:rPr>
            </w:pPr>
          </w:p>
        </w:tc>
      </w:tr>
      <w:tr>
        <w:trPr>
          <w:trHeight w:val="209"/>
        </w:trPr>
        <w:tc>
          <w:tcPr>
            <w:tcW w:w="6640" w:type="dxa"/>
            <w:vAlign w:val="bottom"/>
            <w:shd w:val="clear" w:color="auto" w:fill="CFF0FC"/>
          </w:tcPr>
          <w:p>
            <w:pPr>
              <w:spacing w:after="0"/>
              <w:rPr>
                <w:sz w:val="20"/>
                <w:szCs w:val="20"/>
                <w:color w:val="auto"/>
              </w:rPr>
            </w:pPr>
            <w:r>
              <w:rPr>
                <w:rFonts w:ascii="Arial" w:cs="Arial" w:eastAsia="Arial" w:hAnsi="Arial"/>
                <w:sz w:val="18"/>
                <w:szCs w:val="18"/>
                <w:color w:val="auto"/>
              </w:rPr>
              <w:t>TOTAL LIABILITIES, CONVERTIBLE PREFERRED STOCK AND</w:t>
            </w:r>
          </w:p>
        </w:tc>
        <w:tc>
          <w:tcPr>
            <w:tcW w:w="120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122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12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30"/>
        </w:trPr>
        <w:tc>
          <w:tcPr>
            <w:tcW w:w="6640" w:type="dxa"/>
            <w:vAlign w:val="bottom"/>
            <w:shd w:val="clear" w:color="auto" w:fill="CFF0FC"/>
          </w:tcPr>
          <w:p>
            <w:pPr>
              <w:ind w:left="140"/>
              <w:spacing w:after="0"/>
              <w:rPr>
                <w:sz w:val="20"/>
                <w:szCs w:val="20"/>
                <w:color w:val="auto"/>
              </w:rPr>
            </w:pPr>
            <w:r>
              <w:rPr>
                <w:rFonts w:ascii="Arial" w:cs="Arial" w:eastAsia="Arial" w:hAnsi="Arial"/>
                <w:sz w:val="18"/>
                <w:szCs w:val="18"/>
                <w:color w:val="auto"/>
              </w:rPr>
              <w:t>STOCKHOLDERS’ EQUITY (DEFICIT)</w:t>
            </w:r>
          </w:p>
        </w:tc>
        <w:tc>
          <w:tcPr>
            <w:tcW w:w="1560" w:type="dxa"/>
            <w:vAlign w:val="bottom"/>
            <w:gridSpan w:val="2"/>
            <w:shd w:val="clear" w:color="auto" w:fill="CFF0FC"/>
          </w:tcPr>
          <w:p>
            <w:pPr>
              <w:jc w:val="right"/>
              <w:ind w:right="170"/>
              <w:spacing w:after="0"/>
              <w:rPr>
                <w:sz w:val="20"/>
                <w:szCs w:val="20"/>
                <w:color w:val="auto"/>
              </w:rPr>
            </w:pPr>
            <w:r>
              <w:rPr>
                <w:rFonts w:ascii="Arial" w:cs="Arial" w:eastAsia="Arial" w:hAnsi="Arial"/>
                <w:sz w:val="18"/>
                <w:szCs w:val="18"/>
                <w:color w:val="auto"/>
              </w:rPr>
              <w:t>$</w:t>
            </w:r>
          </w:p>
        </w:tc>
        <w:tc>
          <w:tcPr>
            <w:tcW w:w="12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32,970</w:t>
            </w:r>
          </w:p>
        </w:tc>
        <w:tc>
          <w:tcPr>
            <w:tcW w:w="180" w:type="dxa"/>
            <w:vAlign w:val="bottom"/>
            <w:shd w:val="clear" w:color="auto" w:fill="CFF0FC"/>
          </w:tcPr>
          <w:p>
            <w:pPr>
              <w:spacing w:after="0"/>
              <w:rPr>
                <w:sz w:val="20"/>
                <w:szCs w:val="20"/>
                <w:color w:val="auto"/>
              </w:rPr>
            </w:pPr>
          </w:p>
        </w:tc>
        <w:tc>
          <w:tcPr>
            <w:tcW w:w="480" w:type="dxa"/>
            <w:vAlign w:val="bottom"/>
            <w:gridSpan w:val="2"/>
            <w:shd w:val="clear" w:color="auto" w:fill="CFF0FC"/>
          </w:tcPr>
          <w:p>
            <w:pPr>
              <w:jc w:val="right"/>
              <w:ind w:right="205"/>
              <w:spacing w:after="0"/>
              <w:rPr>
                <w:sz w:val="20"/>
                <w:szCs w:val="20"/>
                <w:color w:val="auto"/>
              </w:rPr>
            </w:pPr>
            <w:r>
              <w:rPr>
                <w:rFonts w:ascii="Arial" w:cs="Arial" w:eastAsia="Arial" w:hAnsi="Arial"/>
                <w:sz w:val="18"/>
                <w:szCs w:val="18"/>
                <w:color w:val="auto"/>
              </w:rPr>
              <w:t>$</w:t>
            </w:r>
          </w:p>
        </w:tc>
        <w:tc>
          <w:tcPr>
            <w:tcW w:w="12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19,498</w:t>
            </w:r>
          </w:p>
        </w:tc>
        <w:tc>
          <w:tcPr>
            <w:tcW w:w="100" w:type="dxa"/>
            <w:vAlign w:val="bottom"/>
            <w:shd w:val="clear" w:color="auto" w:fill="CFF0FC"/>
          </w:tcPr>
          <w:p>
            <w:pPr>
              <w:spacing w:after="0"/>
              <w:rPr>
                <w:sz w:val="20"/>
                <w:szCs w:val="20"/>
                <w:color w:val="auto"/>
              </w:rPr>
            </w:pPr>
          </w:p>
        </w:tc>
      </w:tr>
      <w:tr>
        <w:trPr>
          <w:trHeight w:val="20"/>
        </w:trPr>
        <w:tc>
          <w:tcPr>
            <w:tcW w:w="6640" w:type="dxa"/>
            <w:vAlign w:val="bottom"/>
            <w:tcBorders>
              <w:top w:val="single" w:sz="8" w:color="CFF0FC"/>
            </w:tcBorders>
          </w:tcPr>
          <w:p>
            <w:pPr>
              <w:spacing w:after="0" w:line="20" w:lineRule="exact"/>
              <w:rPr>
                <w:sz w:val="1"/>
                <w:szCs w:val="1"/>
                <w:color w:val="auto"/>
              </w:rPr>
            </w:pPr>
          </w:p>
        </w:tc>
        <w:tc>
          <w:tcPr>
            <w:tcW w:w="1200" w:type="dxa"/>
            <w:vAlign w:val="bottom"/>
            <w:tcBorders>
              <w:top w:val="single" w:sz="8" w:color="CFF0FC"/>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CFF0FC"/>
            </w:tcBorders>
          </w:tcPr>
          <w:p>
            <w:pPr>
              <w:spacing w:after="0" w:line="20" w:lineRule="exact"/>
              <w:rPr>
                <w:sz w:val="1"/>
                <w:szCs w:val="1"/>
                <w:color w:val="auto"/>
              </w:rPr>
            </w:pPr>
          </w:p>
        </w:tc>
        <w:tc>
          <w:tcPr>
            <w:tcW w:w="120" w:type="dxa"/>
            <w:vAlign w:val="bottom"/>
            <w:tcBorders>
              <w:top w:val="single" w:sz="8" w:color="CFF0FC"/>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r>
    </w:tbl>
    <w:p>
      <w:pPr>
        <w:spacing w:after="0" w:line="188"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The accompanying notes are an integral part of these consolidated financial statements.</w:t>
      </w: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37" w:right="239" w:bottom="1440" w:gutter="0" w:footer="0" w:header="0"/>
        </w:sectPr>
      </w:pPr>
    </w:p>
    <w:bookmarkStart w:id="75" w:name="page76"/>
    <w:bookmarkEnd w:id="75"/>
    <w:p>
      <w:pPr>
        <w:ind w:left="4320"/>
        <w:spacing w:after="0"/>
        <w:rPr>
          <w:sz w:val="20"/>
          <w:szCs w:val="20"/>
          <w:color w:val="auto"/>
        </w:rPr>
      </w:pPr>
      <w:r>
        <w:rPr>
          <w:rFonts w:ascii="Arial" w:cs="Arial" w:eastAsia="Arial" w:hAnsi="Arial"/>
          <w:sz w:val="18"/>
          <w:szCs w:val="18"/>
          <w:b w:val="1"/>
          <w:bCs w:val="1"/>
          <w:color w:val="auto"/>
        </w:rPr>
        <w:t>RESTORATION ROBOTICS, INC.</w:t>
      </w:r>
    </w:p>
    <w:p>
      <w:pPr>
        <w:spacing w:after="0" w:line="117" w:lineRule="exact"/>
        <w:rPr>
          <w:sz w:val="20"/>
          <w:szCs w:val="20"/>
          <w:color w:val="auto"/>
        </w:rPr>
      </w:pPr>
    </w:p>
    <w:p>
      <w:pPr>
        <w:ind w:left="4220"/>
        <w:spacing w:after="0"/>
        <w:rPr>
          <w:sz w:val="20"/>
          <w:szCs w:val="20"/>
          <w:color w:val="auto"/>
        </w:rPr>
      </w:pPr>
      <w:r>
        <w:rPr>
          <w:rFonts w:ascii="Arial" w:cs="Arial" w:eastAsia="Arial" w:hAnsi="Arial"/>
          <w:sz w:val="18"/>
          <w:szCs w:val="18"/>
          <w:b w:val="1"/>
          <w:bCs w:val="1"/>
          <w:color w:val="auto"/>
        </w:rPr>
        <w:t>Consolidated Statements of Operations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share and per share data)</w:t>
      </w:r>
    </w:p>
    <w:p>
      <w:pPr>
        <w:spacing w:after="0" w:line="270"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56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800" w:type="dxa"/>
            <w:vAlign w:val="bottom"/>
            <w:tcBorders>
              <w:bottom w:val="single" w:sz="8" w:color="auto"/>
            </w:tcBorders>
            <w:gridSpan w:val="4"/>
          </w:tcPr>
          <w:p>
            <w:pPr>
              <w:jc w:val="right"/>
              <w:ind w:right="120"/>
              <w:spacing w:after="0"/>
              <w:rPr>
                <w:sz w:val="20"/>
                <w:szCs w:val="20"/>
                <w:color w:val="auto"/>
              </w:rPr>
            </w:pPr>
            <w:r>
              <w:rPr>
                <w:rFonts w:ascii="Arial" w:cs="Arial" w:eastAsia="Arial" w:hAnsi="Arial"/>
                <w:sz w:val="14"/>
                <w:szCs w:val="14"/>
                <w:b w:val="1"/>
                <w:bCs w:val="1"/>
                <w:color w:val="auto"/>
                <w:w w:val="94"/>
              </w:rPr>
              <w:t>Year Ended, December 31,</w:t>
            </w:r>
          </w:p>
        </w:tc>
        <w:tc>
          <w:tcPr>
            <w:tcW w:w="300" w:type="dxa"/>
            <w:vAlign w:val="bottom"/>
            <w:tcBorders>
              <w:bottom w:val="single" w:sz="8" w:color="auto"/>
            </w:tcBorders>
          </w:tcPr>
          <w:p>
            <w:pPr>
              <w:spacing w:after="0"/>
              <w:rPr>
                <w:sz w:val="14"/>
                <w:szCs w:val="14"/>
                <w:color w:val="auto"/>
              </w:rPr>
            </w:pPr>
          </w:p>
        </w:tc>
        <w:tc>
          <w:tcPr>
            <w:tcW w:w="106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5620" w:type="dxa"/>
            <w:vAlign w:val="bottom"/>
            <w:tcBorders>
              <w:bottom w:val="single" w:sz="8" w:color="CFF0FC"/>
            </w:tcBorders>
          </w:tcPr>
          <w:p>
            <w:pPr>
              <w:spacing w:after="0"/>
              <w:rPr>
                <w:sz w:val="13"/>
                <w:szCs w:val="13"/>
                <w:color w:val="auto"/>
              </w:rPr>
            </w:pPr>
          </w:p>
        </w:tc>
        <w:tc>
          <w:tcPr>
            <w:tcW w:w="1120" w:type="dxa"/>
            <w:vAlign w:val="bottom"/>
            <w:tcBorders>
              <w:bottom w:val="single" w:sz="8" w:color="CFF0FC"/>
            </w:tcBorders>
          </w:tcPr>
          <w:p>
            <w:pPr>
              <w:spacing w:after="0"/>
              <w:rPr>
                <w:sz w:val="13"/>
                <w:szCs w:val="13"/>
                <w:color w:val="auto"/>
              </w:rPr>
            </w:pPr>
          </w:p>
        </w:tc>
        <w:tc>
          <w:tcPr>
            <w:tcW w:w="300" w:type="dxa"/>
            <w:vAlign w:val="bottom"/>
            <w:tcBorders>
              <w:bottom w:val="single" w:sz="8" w:color="auto"/>
            </w:tcBorders>
          </w:tcPr>
          <w:p>
            <w:pPr>
              <w:spacing w:after="0"/>
              <w:rPr>
                <w:sz w:val="13"/>
                <w:szCs w:val="13"/>
                <w:color w:val="auto"/>
              </w:rPr>
            </w:pPr>
          </w:p>
        </w:tc>
        <w:tc>
          <w:tcPr>
            <w:tcW w:w="1040" w:type="dxa"/>
            <w:vAlign w:val="bottom"/>
            <w:tcBorders>
              <w:bottom w:val="single" w:sz="8" w:color="auto"/>
            </w:tcBorders>
          </w:tcPr>
          <w:p>
            <w:pPr>
              <w:jc w:val="right"/>
              <w:ind w:right="451"/>
              <w:spacing w:after="0" w:line="155" w:lineRule="exact"/>
              <w:rPr>
                <w:sz w:val="20"/>
                <w:szCs w:val="20"/>
                <w:color w:val="auto"/>
              </w:rPr>
            </w:pPr>
            <w:r>
              <w:rPr>
                <w:rFonts w:ascii="Arial" w:cs="Arial" w:eastAsia="Arial" w:hAnsi="Arial"/>
                <w:sz w:val="14"/>
                <w:szCs w:val="14"/>
                <w:b w:val="1"/>
                <w:bCs w:val="1"/>
                <w:color w:val="auto"/>
              </w:rPr>
              <w:t>2017</w:t>
            </w:r>
          </w:p>
        </w:tc>
        <w:tc>
          <w:tcPr>
            <w:tcW w:w="80" w:type="dxa"/>
            <w:vAlign w:val="bottom"/>
            <w:tcBorders>
              <w:bottom w:val="single" w:sz="8" w:color="CFF0FC"/>
            </w:tcBorders>
          </w:tcPr>
          <w:p>
            <w:pPr>
              <w:spacing w:after="0"/>
              <w:rPr>
                <w:sz w:val="13"/>
                <w:szCs w:val="13"/>
                <w:color w:val="auto"/>
              </w:rPr>
            </w:pPr>
          </w:p>
        </w:tc>
        <w:tc>
          <w:tcPr>
            <w:tcW w:w="180" w:type="dxa"/>
            <w:vAlign w:val="bottom"/>
            <w:tcBorders>
              <w:bottom w:val="single" w:sz="8" w:color="CFF0FC"/>
            </w:tcBorders>
          </w:tcPr>
          <w:p>
            <w:pPr>
              <w:spacing w:after="0"/>
              <w:rPr>
                <w:sz w:val="13"/>
                <w:szCs w:val="13"/>
                <w:color w:val="auto"/>
              </w:rPr>
            </w:pPr>
          </w:p>
        </w:tc>
        <w:tc>
          <w:tcPr>
            <w:tcW w:w="300" w:type="dxa"/>
            <w:vAlign w:val="bottom"/>
            <w:tcBorders>
              <w:bottom w:val="single" w:sz="8" w:color="auto"/>
            </w:tcBorders>
          </w:tcPr>
          <w:p>
            <w:pPr>
              <w:spacing w:after="0"/>
              <w:rPr>
                <w:sz w:val="13"/>
                <w:szCs w:val="13"/>
                <w:color w:val="auto"/>
              </w:rPr>
            </w:pPr>
          </w:p>
        </w:tc>
        <w:tc>
          <w:tcPr>
            <w:tcW w:w="1060" w:type="dxa"/>
            <w:vAlign w:val="bottom"/>
            <w:tcBorders>
              <w:bottom w:val="single" w:sz="8" w:color="auto"/>
            </w:tcBorders>
          </w:tcPr>
          <w:p>
            <w:pPr>
              <w:jc w:val="right"/>
              <w:ind w:right="451"/>
              <w:spacing w:after="0" w:line="155" w:lineRule="exact"/>
              <w:rPr>
                <w:sz w:val="20"/>
                <w:szCs w:val="20"/>
                <w:color w:val="auto"/>
              </w:rPr>
            </w:pPr>
            <w:r>
              <w:rPr>
                <w:rFonts w:ascii="Arial" w:cs="Arial" w:eastAsia="Arial" w:hAnsi="Arial"/>
                <w:sz w:val="14"/>
                <w:szCs w:val="14"/>
                <w:b w:val="1"/>
                <w:bCs w:val="1"/>
                <w:color w:val="auto"/>
              </w:rPr>
              <w:t>2016</w:t>
            </w:r>
          </w:p>
        </w:tc>
        <w:tc>
          <w:tcPr>
            <w:tcW w:w="260" w:type="dxa"/>
            <w:vAlign w:val="bottom"/>
            <w:tcBorders>
              <w:bottom w:val="single" w:sz="8" w:color="CFF0FC"/>
            </w:tcBorders>
          </w:tcPr>
          <w:p>
            <w:pPr>
              <w:spacing w:after="0"/>
              <w:rPr>
                <w:sz w:val="13"/>
                <w:szCs w:val="13"/>
                <w:color w:val="auto"/>
              </w:rPr>
            </w:pPr>
          </w:p>
        </w:tc>
        <w:tc>
          <w:tcPr>
            <w:tcW w:w="300" w:type="dxa"/>
            <w:vAlign w:val="bottom"/>
            <w:tcBorders>
              <w:bottom w:val="single" w:sz="8" w:color="auto"/>
            </w:tcBorders>
          </w:tcPr>
          <w:p>
            <w:pPr>
              <w:spacing w:after="0"/>
              <w:rPr>
                <w:sz w:val="13"/>
                <w:szCs w:val="13"/>
                <w:color w:val="auto"/>
              </w:rPr>
            </w:pPr>
          </w:p>
        </w:tc>
        <w:tc>
          <w:tcPr>
            <w:tcW w:w="1060" w:type="dxa"/>
            <w:vAlign w:val="bottom"/>
            <w:tcBorders>
              <w:bottom w:val="single" w:sz="8" w:color="auto"/>
            </w:tcBorders>
          </w:tcPr>
          <w:p>
            <w:pPr>
              <w:jc w:val="right"/>
              <w:ind w:right="451"/>
              <w:spacing w:after="0" w:line="155" w:lineRule="exact"/>
              <w:rPr>
                <w:sz w:val="20"/>
                <w:szCs w:val="20"/>
                <w:color w:val="auto"/>
              </w:rPr>
            </w:pPr>
            <w:r>
              <w:rPr>
                <w:rFonts w:ascii="Arial" w:cs="Arial" w:eastAsia="Arial" w:hAnsi="Arial"/>
                <w:sz w:val="14"/>
                <w:szCs w:val="14"/>
                <w:b w:val="1"/>
                <w:bCs w:val="1"/>
                <w:color w:val="auto"/>
              </w:rPr>
              <w:t>2015</w:t>
            </w:r>
          </w:p>
        </w:tc>
        <w:tc>
          <w:tcPr>
            <w:tcW w:w="100" w:type="dxa"/>
            <w:vAlign w:val="bottom"/>
            <w:tcBorders>
              <w:bottom w:val="single" w:sz="8" w:color="CFF0FC"/>
            </w:tcBorders>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562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Consolidated Statements of Operations Data:</w:t>
            </w:r>
          </w:p>
        </w:tc>
        <w:tc>
          <w:tcPr>
            <w:tcW w:w="112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0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06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0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620" w:type="dxa"/>
            <w:vAlign w:val="bottom"/>
          </w:tcPr>
          <w:p>
            <w:pPr>
              <w:spacing w:after="0"/>
              <w:rPr>
                <w:sz w:val="20"/>
                <w:szCs w:val="20"/>
                <w:color w:val="auto"/>
              </w:rPr>
            </w:pPr>
            <w:r>
              <w:rPr>
                <w:rFonts w:ascii="Arial" w:cs="Arial" w:eastAsia="Arial" w:hAnsi="Arial"/>
                <w:sz w:val="18"/>
                <w:szCs w:val="18"/>
                <w:color w:val="auto"/>
              </w:rPr>
              <w:t>Revenue, net</w:t>
            </w:r>
          </w:p>
        </w:tc>
        <w:tc>
          <w:tcPr>
            <w:tcW w:w="1420" w:type="dxa"/>
            <w:vAlign w:val="bottom"/>
            <w:gridSpan w:val="2"/>
          </w:tcPr>
          <w:p>
            <w:pPr>
              <w:jc w:val="right"/>
              <w:ind w:right="145"/>
              <w:spacing w:after="0"/>
              <w:rPr>
                <w:sz w:val="20"/>
                <w:szCs w:val="20"/>
                <w:color w:val="auto"/>
              </w:rPr>
            </w:pPr>
            <w:r>
              <w:rPr>
                <w:rFonts w:ascii="Arial" w:cs="Arial" w:eastAsia="Arial" w:hAnsi="Arial"/>
                <w:sz w:val="18"/>
                <w:szCs w:val="18"/>
                <w:color w:val="auto"/>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21,297</w:t>
            </w:r>
          </w:p>
        </w:tc>
        <w:tc>
          <w:tcPr>
            <w:tcW w:w="80" w:type="dxa"/>
            <w:vAlign w:val="bottom"/>
          </w:tcPr>
          <w:p>
            <w:pPr>
              <w:spacing w:after="0"/>
              <w:rPr>
                <w:sz w:val="19"/>
                <w:szCs w:val="19"/>
                <w:color w:val="auto"/>
              </w:rPr>
            </w:pPr>
          </w:p>
        </w:tc>
        <w:tc>
          <w:tcPr>
            <w:tcW w:w="480" w:type="dxa"/>
            <w:vAlign w:val="bottom"/>
            <w:gridSpan w:val="2"/>
          </w:tcPr>
          <w:p>
            <w:pPr>
              <w:jc w:val="right"/>
              <w:ind w:right="110"/>
              <w:spacing w:after="0"/>
              <w:rPr>
                <w:sz w:val="20"/>
                <w:szCs w:val="20"/>
                <w:color w:val="auto"/>
              </w:rPr>
            </w:pPr>
            <w:r>
              <w:rPr>
                <w:rFonts w:ascii="Arial" w:cs="Arial" w:eastAsia="Arial" w:hAnsi="Arial"/>
                <w:sz w:val="18"/>
                <w:szCs w:val="18"/>
                <w:color w:val="auto"/>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15,600</w:t>
            </w:r>
          </w:p>
        </w:tc>
        <w:tc>
          <w:tcPr>
            <w:tcW w:w="260" w:type="dxa"/>
            <w:vAlign w:val="bottom"/>
          </w:tcPr>
          <w:p>
            <w:pPr>
              <w:spacing w:after="0"/>
              <w:rPr>
                <w:sz w:val="19"/>
                <w:szCs w:val="19"/>
                <w:color w:val="auto"/>
              </w:rPr>
            </w:pP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17,230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620" w:type="dxa"/>
            <w:vAlign w:val="bottom"/>
            <w:shd w:val="clear" w:color="auto" w:fill="CFF0FC"/>
          </w:tcPr>
          <w:p>
            <w:pPr>
              <w:spacing w:after="0"/>
              <w:rPr>
                <w:sz w:val="20"/>
                <w:szCs w:val="20"/>
                <w:color w:val="auto"/>
              </w:rPr>
            </w:pPr>
            <w:r>
              <w:rPr>
                <w:rFonts w:ascii="Arial" w:cs="Arial" w:eastAsia="Arial" w:hAnsi="Arial"/>
                <w:sz w:val="18"/>
                <w:szCs w:val="18"/>
                <w:color w:val="auto"/>
              </w:rPr>
              <w:t>Cost of revenue</w:t>
            </w:r>
          </w:p>
        </w:tc>
        <w:tc>
          <w:tcPr>
            <w:tcW w:w="1120" w:type="dxa"/>
            <w:vAlign w:val="bottom"/>
            <w:shd w:val="clear" w:color="auto" w:fill="CFF0FC"/>
          </w:tcPr>
          <w:p>
            <w:pPr>
              <w:spacing w:after="0"/>
              <w:rPr>
                <w:sz w:val="19"/>
                <w:szCs w:val="19"/>
                <w:color w:val="auto"/>
              </w:rPr>
            </w:pPr>
          </w:p>
        </w:tc>
        <w:tc>
          <w:tcPr>
            <w:tcW w:w="300" w:type="dxa"/>
            <w:vAlign w:val="bottom"/>
            <w:tcBorders>
              <w:bottom w:val="single" w:sz="8" w:color="auto"/>
            </w:tcBorders>
            <w:shd w:val="clear" w:color="auto" w:fill="CFF0FC"/>
          </w:tcPr>
          <w:p>
            <w:pPr>
              <w:spacing w:after="0"/>
              <w:rPr>
                <w:sz w:val="19"/>
                <w:szCs w:val="19"/>
                <w:color w:val="auto"/>
              </w:rPr>
            </w:pPr>
          </w:p>
        </w:tc>
        <w:tc>
          <w:tcPr>
            <w:tcW w:w="10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12,150</w:t>
            </w:r>
          </w:p>
        </w:tc>
        <w:tc>
          <w:tcPr>
            <w:tcW w:w="8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300" w:type="dxa"/>
            <w:vAlign w:val="bottom"/>
            <w:tcBorders>
              <w:bottom w:val="single" w:sz="8" w:color="auto"/>
            </w:tcBorders>
            <w:shd w:val="clear" w:color="auto" w:fill="CFF0FC"/>
          </w:tcPr>
          <w:p>
            <w:pPr>
              <w:spacing w:after="0"/>
              <w:rPr>
                <w:sz w:val="19"/>
                <w:szCs w:val="19"/>
                <w:color w:val="auto"/>
              </w:rPr>
            </w:pPr>
          </w:p>
        </w:tc>
        <w:tc>
          <w:tcPr>
            <w:tcW w:w="10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10,431</w:t>
            </w:r>
          </w:p>
        </w:tc>
        <w:tc>
          <w:tcPr>
            <w:tcW w:w="260" w:type="dxa"/>
            <w:vAlign w:val="bottom"/>
            <w:shd w:val="clear" w:color="auto" w:fill="CFF0FC"/>
          </w:tcPr>
          <w:p>
            <w:pPr>
              <w:spacing w:after="0"/>
              <w:rPr>
                <w:sz w:val="19"/>
                <w:szCs w:val="19"/>
                <w:color w:val="auto"/>
              </w:rPr>
            </w:pPr>
          </w:p>
        </w:tc>
        <w:tc>
          <w:tcPr>
            <w:tcW w:w="300" w:type="dxa"/>
            <w:vAlign w:val="bottom"/>
            <w:tcBorders>
              <w:bottom w:val="single" w:sz="8" w:color="auto"/>
            </w:tcBorders>
            <w:shd w:val="clear" w:color="auto" w:fill="CFF0FC"/>
          </w:tcPr>
          <w:p>
            <w:pPr>
              <w:spacing w:after="0"/>
              <w:rPr>
                <w:sz w:val="19"/>
                <w:szCs w:val="19"/>
                <w:color w:val="auto"/>
              </w:rPr>
            </w:pPr>
          </w:p>
        </w:tc>
        <w:tc>
          <w:tcPr>
            <w:tcW w:w="10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12,513</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620" w:type="dxa"/>
            <w:vAlign w:val="bottom"/>
          </w:tcPr>
          <w:p>
            <w:pPr>
              <w:spacing w:after="0"/>
              <w:rPr>
                <w:sz w:val="20"/>
                <w:szCs w:val="20"/>
                <w:color w:val="auto"/>
              </w:rPr>
            </w:pPr>
            <w:r>
              <w:rPr>
                <w:rFonts w:ascii="Arial" w:cs="Arial" w:eastAsia="Arial" w:hAnsi="Arial"/>
                <w:sz w:val="18"/>
                <w:szCs w:val="18"/>
                <w:color w:val="auto"/>
              </w:rPr>
              <w:t>Gross profit</w:t>
            </w:r>
          </w:p>
        </w:tc>
        <w:tc>
          <w:tcPr>
            <w:tcW w:w="1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9,147</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5,169</w:t>
            </w:r>
          </w:p>
        </w:tc>
        <w:tc>
          <w:tcPr>
            <w:tcW w:w="2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4,717</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620" w:type="dxa"/>
            <w:vAlign w:val="bottom"/>
            <w:shd w:val="clear" w:color="auto" w:fill="CFF0FC"/>
          </w:tcPr>
          <w:p>
            <w:pPr>
              <w:spacing w:after="0"/>
              <w:rPr>
                <w:sz w:val="20"/>
                <w:szCs w:val="20"/>
                <w:color w:val="auto"/>
              </w:rPr>
            </w:pPr>
            <w:r>
              <w:rPr>
                <w:rFonts w:ascii="Arial" w:cs="Arial" w:eastAsia="Arial" w:hAnsi="Arial"/>
                <w:sz w:val="18"/>
                <w:szCs w:val="18"/>
                <w:color w:val="auto"/>
              </w:rPr>
              <w:t>Operating expenses:</w:t>
            </w:r>
          </w:p>
        </w:tc>
        <w:tc>
          <w:tcPr>
            <w:tcW w:w="112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0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06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0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620" w:type="dxa"/>
            <w:vAlign w:val="bottom"/>
          </w:tcPr>
          <w:p>
            <w:pPr>
              <w:ind w:left="260"/>
              <w:spacing w:after="0"/>
              <w:rPr>
                <w:sz w:val="20"/>
                <w:szCs w:val="20"/>
                <w:color w:val="auto"/>
              </w:rPr>
            </w:pPr>
            <w:r>
              <w:rPr>
                <w:rFonts w:ascii="Arial" w:cs="Arial" w:eastAsia="Arial" w:hAnsi="Arial"/>
                <w:sz w:val="18"/>
                <w:szCs w:val="18"/>
                <w:color w:val="auto"/>
              </w:rPr>
              <w:t>Research and development</w:t>
            </w:r>
          </w:p>
        </w:tc>
        <w:tc>
          <w:tcPr>
            <w:tcW w:w="1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7,135</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7,474</w:t>
            </w:r>
          </w:p>
        </w:tc>
        <w:tc>
          <w:tcPr>
            <w:tcW w:w="2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7,399</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620" w:type="dxa"/>
            <w:vAlign w:val="bottom"/>
            <w:shd w:val="clear" w:color="auto" w:fill="CFF0FC"/>
          </w:tcPr>
          <w:p>
            <w:pPr>
              <w:ind w:left="260"/>
              <w:spacing w:after="0"/>
              <w:rPr>
                <w:sz w:val="20"/>
                <w:szCs w:val="20"/>
                <w:color w:val="auto"/>
              </w:rPr>
            </w:pPr>
            <w:r>
              <w:rPr>
                <w:rFonts w:ascii="Arial" w:cs="Arial" w:eastAsia="Arial" w:hAnsi="Arial"/>
                <w:sz w:val="18"/>
                <w:szCs w:val="18"/>
                <w:color w:val="auto"/>
              </w:rPr>
              <w:t>Sales and marketing</w:t>
            </w:r>
          </w:p>
        </w:tc>
        <w:tc>
          <w:tcPr>
            <w:tcW w:w="112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14,390</w:t>
            </w:r>
          </w:p>
        </w:tc>
        <w:tc>
          <w:tcPr>
            <w:tcW w:w="8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0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12,483</w:t>
            </w:r>
          </w:p>
        </w:tc>
        <w:tc>
          <w:tcPr>
            <w:tcW w:w="26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0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14,587</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620" w:type="dxa"/>
            <w:vAlign w:val="bottom"/>
            <w:tcBorders>
              <w:bottom w:val="single" w:sz="8" w:color="CFF0FC"/>
            </w:tcBorders>
          </w:tcPr>
          <w:p>
            <w:pPr>
              <w:ind w:left="260"/>
              <w:spacing w:after="0"/>
              <w:rPr>
                <w:sz w:val="20"/>
                <w:szCs w:val="20"/>
                <w:color w:val="auto"/>
              </w:rPr>
            </w:pPr>
            <w:r>
              <w:rPr>
                <w:rFonts w:ascii="Arial" w:cs="Arial" w:eastAsia="Arial" w:hAnsi="Arial"/>
                <w:sz w:val="18"/>
                <w:szCs w:val="18"/>
                <w:color w:val="auto"/>
              </w:rPr>
              <w:t>General and administrative</w:t>
            </w:r>
          </w:p>
        </w:tc>
        <w:tc>
          <w:tcPr>
            <w:tcW w:w="1120" w:type="dxa"/>
            <w:vAlign w:val="bottom"/>
            <w:tcBorders>
              <w:bottom w:val="single" w:sz="8" w:color="CFF0FC"/>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4,904</w:t>
            </w:r>
          </w:p>
        </w:tc>
        <w:tc>
          <w:tcPr>
            <w:tcW w:w="80" w:type="dxa"/>
            <w:vAlign w:val="bottom"/>
            <w:tcBorders>
              <w:bottom w:val="single" w:sz="8" w:color="CFF0FC"/>
            </w:tcBorders>
          </w:tcPr>
          <w:p>
            <w:pPr>
              <w:spacing w:after="0"/>
              <w:rPr>
                <w:sz w:val="19"/>
                <w:szCs w:val="19"/>
                <w:color w:val="auto"/>
              </w:rPr>
            </w:pPr>
          </w:p>
        </w:tc>
        <w:tc>
          <w:tcPr>
            <w:tcW w:w="180" w:type="dxa"/>
            <w:vAlign w:val="bottom"/>
            <w:tcBorders>
              <w:bottom w:val="single" w:sz="8" w:color="CFF0FC"/>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4,144</w:t>
            </w:r>
          </w:p>
        </w:tc>
        <w:tc>
          <w:tcPr>
            <w:tcW w:w="260" w:type="dxa"/>
            <w:vAlign w:val="bottom"/>
            <w:tcBorders>
              <w:bottom w:val="single" w:sz="8" w:color="CFF0FC"/>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3,256</w:t>
            </w:r>
          </w:p>
        </w:tc>
        <w:tc>
          <w:tcPr>
            <w:tcW w:w="10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620" w:type="dxa"/>
            <w:vAlign w:val="bottom"/>
            <w:shd w:val="clear" w:color="auto" w:fill="CFF0FC"/>
          </w:tcPr>
          <w:p>
            <w:pPr>
              <w:spacing w:after="0"/>
              <w:rPr>
                <w:sz w:val="20"/>
                <w:szCs w:val="20"/>
                <w:color w:val="auto"/>
              </w:rPr>
            </w:pPr>
            <w:r>
              <w:rPr>
                <w:rFonts w:ascii="Arial" w:cs="Arial" w:eastAsia="Arial" w:hAnsi="Arial"/>
                <w:sz w:val="18"/>
                <w:szCs w:val="18"/>
                <w:color w:val="auto"/>
              </w:rPr>
              <w:t>Total operating expenses</w:t>
            </w:r>
          </w:p>
        </w:tc>
        <w:tc>
          <w:tcPr>
            <w:tcW w:w="1120" w:type="dxa"/>
            <w:vAlign w:val="bottom"/>
            <w:shd w:val="clear" w:color="auto" w:fill="CFF0FC"/>
          </w:tcPr>
          <w:p>
            <w:pPr>
              <w:spacing w:after="0"/>
              <w:rPr>
                <w:sz w:val="19"/>
                <w:szCs w:val="19"/>
                <w:color w:val="auto"/>
              </w:rPr>
            </w:pPr>
          </w:p>
        </w:tc>
        <w:tc>
          <w:tcPr>
            <w:tcW w:w="300" w:type="dxa"/>
            <w:vAlign w:val="bottom"/>
            <w:tcBorders>
              <w:bottom w:val="single" w:sz="8" w:color="auto"/>
            </w:tcBorders>
            <w:shd w:val="clear" w:color="auto" w:fill="CFF0FC"/>
          </w:tcPr>
          <w:p>
            <w:pPr>
              <w:spacing w:after="0"/>
              <w:rPr>
                <w:sz w:val="19"/>
                <w:szCs w:val="19"/>
                <w:color w:val="auto"/>
              </w:rPr>
            </w:pPr>
          </w:p>
        </w:tc>
        <w:tc>
          <w:tcPr>
            <w:tcW w:w="10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26,429</w:t>
            </w:r>
          </w:p>
        </w:tc>
        <w:tc>
          <w:tcPr>
            <w:tcW w:w="8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300" w:type="dxa"/>
            <w:vAlign w:val="bottom"/>
            <w:tcBorders>
              <w:bottom w:val="single" w:sz="8" w:color="auto"/>
            </w:tcBorders>
            <w:shd w:val="clear" w:color="auto" w:fill="CFF0FC"/>
          </w:tcPr>
          <w:p>
            <w:pPr>
              <w:spacing w:after="0"/>
              <w:rPr>
                <w:sz w:val="19"/>
                <w:szCs w:val="19"/>
                <w:color w:val="auto"/>
              </w:rPr>
            </w:pPr>
          </w:p>
        </w:tc>
        <w:tc>
          <w:tcPr>
            <w:tcW w:w="10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24,101</w:t>
            </w:r>
          </w:p>
        </w:tc>
        <w:tc>
          <w:tcPr>
            <w:tcW w:w="260" w:type="dxa"/>
            <w:vAlign w:val="bottom"/>
            <w:shd w:val="clear" w:color="auto" w:fill="CFF0FC"/>
          </w:tcPr>
          <w:p>
            <w:pPr>
              <w:spacing w:after="0"/>
              <w:rPr>
                <w:sz w:val="19"/>
                <w:szCs w:val="19"/>
                <w:color w:val="auto"/>
              </w:rPr>
            </w:pPr>
          </w:p>
        </w:tc>
        <w:tc>
          <w:tcPr>
            <w:tcW w:w="300" w:type="dxa"/>
            <w:vAlign w:val="bottom"/>
            <w:tcBorders>
              <w:bottom w:val="single" w:sz="8" w:color="auto"/>
            </w:tcBorders>
            <w:shd w:val="clear" w:color="auto" w:fill="CFF0FC"/>
          </w:tcPr>
          <w:p>
            <w:pPr>
              <w:spacing w:after="0"/>
              <w:rPr>
                <w:sz w:val="19"/>
                <w:szCs w:val="19"/>
                <w:color w:val="auto"/>
              </w:rPr>
            </w:pPr>
          </w:p>
        </w:tc>
        <w:tc>
          <w:tcPr>
            <w:tcW w:w="10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25,242</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620" w:type="dxa"/>
            <w:vAlign w:val="bottom"/>
          </w:tcPr>
          <w:p>
            <w:pPr>
              <w:spacing w:after="0"/>
              <w:rPr>
                <w:sz w:val="20"/>
                <w:szCs w:val="20"/>
                <w:color w:val="auto"/>
              </w:rPr>
            </w:pPr>
            <w:r>
              <w:rPr>
                <w:rFonts w:ascii="Arial" w:cs="Arial" w:eastAsia="Arial" w:hAnsi="Arial"/>
                <w:sz w:val="18"/>
                <w:szCs w:val="18"/>
                <w:color w:val="auto"/>
              </w:rPr>
              <w:t>Loss from operations</w:t>
            </w:r>
          </w:p>
        </w:tc>
        <w:tc>
          <w:tcPr>
            <w:tcW w:w="1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(17,282)</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(18,932)</w:t>
            </w:r>
          </w:p>
        </w:tc>
        <w:tc>
          <w:tcPr>
            <w:tcW w:w="2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(20,525)</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620" w:type="dxa"/>
            <w:vAlign w:val="bottom"/>
            <w:shd w:val="clear" w:color="auto" w:fill="CFF0FC"/>
          </w:tcPr>
          <w:p>
            <w:pPr>
              <w:spacing w:after="0"/>
              <w:rPr>
                <w:sz w:val="20"/>
                <w:szCs w:val="20"/>
                <w:color w:val="auto"/>
              </w:rPr>
            </w:pPr>
            <w:r>
              <w:rPr>
                <w:rFonts w:ascii="Arial" w:cs="Arial" w:eastAsia="Arial" w:hAnsi="Arial"/>
                <w:sz w:val="18"/>
                <w:szCs w:val="18"/>
                <w:color w:val="auto"/>
              </w:rPr>
              <w:t>Other income (expense), net:</w:t>
            </w:r>
          </w:p>
        </w:tc>
        <w:tc>
          <w:tcPr>
            <w:tcW w:w="112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0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06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0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620" w:type="dxa"/>
            <w:vAlign w:val="bottom"/>
          </w:tcPr>
          <w:p>
            <w:pPr>
              <w:ind w:left="260"/>
              <w:spacing w:after="0"/>
              <w:rPr>
                <w:sz w:val="20"/>
                <w:szCs w:val="20"/>
                <w:color w:val="auto"/>
              </w:rPr>
            </w:pPr>
            <w:r>
              <w:rPr>
                <w:rFonts w:ascii="Arial" w:cs="Arial" w:eastAsia="Arial" w:hAnsi="Arial"/>
                <w:sz w:val="18"/>
                <w:szCs w:val="18"/>
                <w:color w:val="auto"/>
              </w:rPr>
              <w:t>Interest expense</w:t>
            </w:r>
          </w:p>
        </w:tc>
        <w:tc>
          <w:tcPr>
            <w:tcW w:w="1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20" w:type="dxa"/>
            <w:vAlign w:val="bottom"/>
            <w:gridSpan w:val="2"/>
          </w:tcPr>
          <w:p>
            <w:pPr>
              <w:jc w:val="right"/>
              <w:ind w:right="20"/>
              <w:spacing w:after="0"/>
              <w:rPr>
                <w:sz w:val="20"/>
                <w:szCs w:val="20"/>
                <w:color w:val="auto"/>
              </w:rPr>
            </w:pPr>
            <w:r>
              <w:rPr>
                <w:rFonts w:ascii="Arial" w:cs="Arial" w:eastAsia="Arial" w:hAnsi="Arial"/>
                <w:sz w:val="18"/>
                <w:szCs w:val="18"/>
                <w:color w:val="auto"/>
              </w:rPr>
              <w:t>(2,027)</w:t>
            </w:r>
          </w:p>
        </w:tc>
        <w:tc>
          <w:tcPr>
            <w:tcW w:w="1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320" w:type="dxa"/>
            <w:vAlign w:val="bottom"/>
            <w:gridSpan w:val="2"/>
          </w:tcPr>
          <w:p>
            <w:pPr>
              <w:jc w:val="right"/>
              <w:ind w:right="200"/>
              <w:spacing w:after="0"/>
              <w:rPr>
                <w:sz w:val="20"/>
                <w:szCs w:val="20"/>
                <w:color w:val="auto"/>
              </w:rPr>
            </w:pPr>
            <w:r>
              <w:rPr>
                <w:rFonts w:ascii="Arial" w:cs="Arial" w:eastAsia="Arial" w:hAnsi="Arial"/>
                <w:sz w:val="18"/>
                <w:szCs w:val="18"/>
                <w:color w:val="auto"/>
              </w:rPr>
              <w:t>(2,483)</w:t>
            </w:r>
          </w:p>
        </w:tc>
        <w:tc>
          <w:tcPr>
            <w:tcW w:w="300" w:type="dxa"/>
            <w:vAlign w:val="bottom"/>
          </w:tcPr>
          <w:p>
            <w:pPr>
              <w:spacing w:after="0"/>
              <w:rPr>
                <w:sz w:val="19"/>
                <w:szCs w:val="19"/>
                <w:color w:val="auto"/>
              </w:rPr>
            </w:pPr>
          </w:p>
        </w:tc>
        <w:tc>
          <w:tcPr>
            <w:tcW w:w="1160" w:type="dxa"/>
            <w:vAlign w:val="bottom"/>
            <w:gridSpan w:val="2"/>
          </w:tcPr>
          <w:p>
            <w:pPr>
              <w:jc w:val="right"/>
              <w:ind w:right="40"/>
              <w:spacing w:after="0"/>
              <w:rPr>
                <w:sz w:val="20"/>
                <w:szCs w:val="20"/>
                <w:color w:val="auto"/>
              </w:rPr>
            </w:pPr>
            <w:r>
              <w:rPr>
                <w:rFonts w:ascii="Arial" w:cs="Arial" w:eastAsia="Arial" w:hAnsi="Arial"/>
                <w:sz w:val="18"/>
                <w:szCs w:val="18"/>
                <w:color w:val="auto"/>
              </w:rPr>
              <w:t>(2,892)</w:t>
            </w:r>
          </w:p>
        </w:tc>
        <w:tc>
          <w:tcPr>
            <w:tcW w:w="0" w:type="dxa"/>
            <w:vAlign w:val="bottom"/>
          </w:tcPr>
          <w:p>
            <w:pPr>
              <w:spacing w:after="0"/>
              <w:rPr>
                <w:sz w:val="1"/>
                <w:szCs w:val="1"/>
                <w:color w:val="auto"/>
              </w:rPr>
            </w:pPr>
          </w:p>
        </w:tc>
      </w:tr>
      <w:tr>
        <w:trPr>
          <w:trHeight w:val="230"/>
        </w:trPr>
        <w:tc>
          <w:tcPr>
            <w:tcW w:w="5620" w:type="dxa"/>
            <w:vAlign w:val="bottom"/>
            <w:shd w:val="clear" w:color="auto" w:fill="CFF0FC"/>
          </w:tcPr>
          <w:p>
            <w:pPr>
              <w:ind w:left="260"/>
              <w:spacing w:after="0"/>
              <w:rPr>
                <w:sz w:val="20"/>
                <w:szCs w:val="20"/>
                <w:color w:val="auto"/>
              </w:rPr>
            </w:pPr>
            <w:r>
              <w:rPr>
                <w:rFonts w:ascii="Arial" w:cs="Arial" w:eastAsia="Arial" w:hAnsi="Arial"/>
                <w:sz w:val="18"/>
                <w:szCs w:val="18"/>
                <w:color w:val="auto"/>
              </w:rPr>
              <w:t>Gain on sale of investment</w:t>
            </w:r>
          </w:p>
        </w:tc>
        <w:tc>
          <w:tcPr>
            <w:tcW w:w="112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1,851</w:t>
            </w:r>
          </w:p>
        </w:tc>
        <w:tc>
          <w:tcPr>
            <w:tcW w:w="8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320" w:type="dxa"/>
            <w:vAlign w:val="bottom"/>
            <w:gridSpan w:val="2"/>
            <w:shd w:val="clear" w:color="auto" w:fill="CFF0FC"/>
          </w:tcPr>
          <w:p>
            <w:pPr>
              <w:jc w:val="right"/>
              <w:ind w:right="280"/>
              <w:spacing w:after="0"/>
              <w:rPr>
                <w:sz w:val="20"/>
                <w:szCs w:val="20"/>
                <w:color w:val="auto"/>
              </w:rPr>
            </w:pPr>
            <w:r>
              <w:rPr>
                <w:rFonts w:ascii="Arial" w:cs="Arial" w:eastAsia="Arial" w:hAnsi="Arial"/>
                <w:sz w:val="18"/>
                <w:szCs w:val="18"/>
                <w:color w:val="auto"/>
              </w:rPr>
              <w:t>—</w:t>
            </w:r>
          </w:p>
        </w:tc>
        <w:tc>
          <w:tcPr>
            <w:tcW w:w="300" w:type="dxa"/>
            <w:vAlign w:val="bottom"/>
            <w:shd w:val="clear" w:color="auto" w:fill="CFF0FC"/>
          </w:tcPr>
          <w:p>
            <w:pPr>
              <w:spacing w:after="0"/>
              <w:rPr>
                <w:sz w:val="19"/>
                <w:szCs w:val="19"/>
                <w:color w:val="auto"/>
              </w:rPr>
            </w:pPr>
          </w:p>
        </w:tc>
        <w:tc>
          <w:tcPr>
            <w:tcW w:w="116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5620" w:type="dxa"/>
            <w:vAlign w:val="bottom"/>
          </w:tcPr>
          <w:p>
            <w:pPr>
              <w:ind w:left="260"/>
              <w:spacing w:after="0"/>
              <w:rPr>
                <w:sz w:val="20"/>
                <w:szCs w:val="20"/>
                <w:color w:val="auto"/>
              </w:rPr>
            </w:pPr>
            <w:r>
              <w:rPr>
                <w:rFonts w:ascii="Arial" w:cs="Arial" w:eastAsia="Arial" w:hAnsi="Arial"/>
                <w:sz w:val="18"/>
                <w:szCs w:val="18"/>
                <w:color w:val="auto"/>
              </w:rPr>
              <w:t>Other income (expense)</w:t>
            </w:r>
          </w:p>
        </w:tc>
        <w:tc>
          <w:tcPr>
            <w:tcW w:w="1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20" w:type="dxa"/>
            <w:vAlign w:val="bottom"/>
            <w:gridSpan w:val="2"/>
          </w:tcPr>
          <w:p>
            <w:pPr>
              <w:jc w:val="right"/>
              <w:ind w:right="20"/>
              <w:spacing w:after="0"/>
              <w:rPr>
                <w:sz w:val="20"/>
                <w:szCs w:val="20"/>
                <w:color w:val="auto"/>
              </w:rPr>
            </w:pPr>
            <w:r>
              <w:rPr>
                <w:rFonts w:ascii="Arial" w:cs="Arial" w:eastAsia="Arial" w:hAnsi="Arial"/>
                <w:sz w:val="18"/>
                <w:szCs w:val="18"/>
                <w:color w:val="auto"/>
              </w:rPr>
              <w:t>(328)</w:t>
            </w:r>
          </w:p>
        </w:tc>
        <w:tc>
          <w:tcPr>
            <w:tcW w:w="1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320" w:type="dxa"/>
            <w:vAlign w:val="bottom"/>
            <w:gridSpan w:val="2"/>
          </w:tcPr>
          <w:p>
            <w:pPr>
              <w:jc w:val="right"/>
              <w:ind w:right="200"/>
              <w:spacing w:after="0"/>
              <w:rPr>
                <w:sz w:val="20"/>
                <w:szCs w:val="20"/>
                <w:color w:val="auto"/>
              </w:rPr>
            </w:pPr>
            <w:r>
              <w:rPr>
                <w:rFonts w:ascii="Arial" w:cs="Arial" w:eastAsia="Arial" w:hAnsi="Arial"/>
                <w:sz w:val="18"/>
                <w:szCs w:val="18"/>
                <w:color w:val="auto"/>
              </w:rPr>
              <w:t>(431)</w:t>
            </w:r>
          </w:p>
        </w:tc>
        <w:tc>
          <w:tcPr>
            <w:tcW w:w="3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446</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62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Total other income (expense), net</w:t>
            </w:r>
          </w:p>
        </w:tc>
        <w:tc>
          <w:tcPr>
            <w:tcW w:w="1120" w:type="dxa"/>
            <w:vAlign w:val="bottom"/>
            <w:tcBorders>
              <w:top w:val="single" w:sz="8" w:color="CFF0FC"/>
            </w:tcBorders>
            <w:shd w:val="clear" w:color="auto" w:fill="CFF0FC"/>
          </w:tcPr>
          <w:p>
            <w:pPr>
              <w:spacing w:after="0"/>
              <w:rPr>
                <w:sz w:val="19"/>
                <w:szCs w:val="19"/>
                <w:color w:val="auto"/>
              </w:rPr>
            </w:pPr>
          </w:p>
        </w:tc>
        <w:tc>
          <w:tcPr>
            <w:tcW w:w="300" w:type="dxa"/>
            <w:vAlign w:val="bottom"/>
            <w:tcBorders>
              <w:top w:val="single" w:sz="8" w:color="auto"/>
              <w:bottom w:val="single" w:sz="8" w:color="auto"/>
            </w:tcBorders>
            <w:shd w:val="clear" w:color="auto" w:fill="CFF0FC"/>
          </w:tcPr>
          <w:p>
            <w:pPr>
              <w:spacing w:after="0"/>
              <w:rPr>
                <w:sz w:val="19"/>
                <w:szCs w:val="19"/>
                <w:color w:val="auto"/>
              </w:rPr>
            </w:pPr>
          </w:p>
        </w:tc>
        <w:tc>
          <w:tcPr>
            <w:tcW w:w="10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(504)</w:t>
            </w:r>
          </w:p>
        </w:tc>
        <w:tc>
          <w:tcPr>
            <w:tcW w:w="80" w:type="dxa"/>
            <w:vAlign w:val="bottom"/>
            <w:tcBorders>
              <w:top w:val="single" w:sz="8" w:color="CFF0FC"/>
            </w:tcBorders>
            <w:shd w:val="clear" w:color="auto" w:fill="CFF0FC"/>
          </w:tcPr>
          <w:p>
            <w:pPr>
              <w:spacing w:after="0"/>
              <w:rPr>
                <w:sz w:val="19"/>
                <w:szCs w:val="19"/>
                <w:color w:val="auto"/>
              </w:rPr>
            </w:pPr>
          </w:p>
        </w:tc>
        <w:tc>
          <w:tcPr>
            <w:tcW w:w="180" w:type="dxa"/>
            <w:vAlign w:val="bottom"/>
            <w:tcBorders>
              <w:top w:val="single" w:sz="8" w:color="CFF0FC"/>
            </w:tcBorders>
            <w:shd w:val="clear" w:color="auto" w:fill="CFF0FC"/>
          </w:tcPr>
          <w:p>
            <w:pPr>
              <w:spacing w:after="0"/>
              <w:rPr>
                <w:sz w:val="19"/>
                <w:szCs w:val="19"/>
                <w:color w:val="auto"/>
              </w:rPr>
            </w:pPr>
          </w:p>
        </w:tc>
        <w:tc>
          <w:tcPr>
            <w:tcW w:w="300" w:type="dxa"/>
            <w:vAlign w:val="bottom"/>
            <w:tcBorders>
              <w:top w:val="single" w:sz="8" w:color="auto"/>
              <w:bottom w:val="single" w:sz="8" w:color="auto"/>
            </w:tcBorders>
            <w:shd w:val="clear" w:color="auto" w:fill="CFF0FC"/>
          </w:tcPr>
          <w:p>
            <w:pPr>
              <w:spacing w:after="0"/>
              <w:rPr>
                <w:sz w:val="19"/>
                <w:szCs w:val="19"/>
                <w:color w:val="auto"/>
              </w:rPr>
            </w:pPr>
          </w:p>
        </w:tc>
        <w:tc>
          <w:tcPr>
            <w:tcW w:w="10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(2,914)</w:t>
            </w:r>
          </w:p>
        </w:tc>
        <w:tc>
          <w:tcPr>
            <w:tcW w:w="260" w:type="dxa"/>
            <w:vAlign w:val="bottom"/>
            <w:tcBorders>
              <w:top w:val="single" w:sz="8" w:color="CFF0FC"/>
            </w:tcBorders>
            <w:shd w:val="clear" w:color="auto" w:fill="CFF0FC"/>
          </w:tcPr>
          <w:p>
            <w:pPr>
              <w:spacing w:after="0"/>
              <w:rPr>
                <w:sz w:val="19"/>
                <w:szCs w:val="19"/>
                <w:color w:val="auto"/>
              </w:rPr>
            </w:pPr>
          </w:p>
        </w:tc>
        <w:tc>
          <w:tcPr>
            <w:tcW w:w="300" w:type="dxa"/>
            <w:vAlign w:val="bottom"/>
            <w:tcBorders>
              <w:top w:val="single" w:sz="8" w:color="auto"/>
              <w:bottom w:val="single" w:sz="8" w:color="auto"/>
            </w:tcBorders>
            <w:shd w:val="clear" w:color="auto" w:fill="CFF0FC"/>
          </w:tcPr>
          <w:p>
            <w:pPr>
              <w:spacing w:after="0"/>
              <w:rPr>
                <w:sz w:val="19"/>
                <w:szCs w:val="19"/>
                <w:color w:val="auto"/>
              </w:rPr>
            </w:pPr>
          </w:p>
        </w:tc>
        <w:tc>
          <w:tcPr>
            <w:tcW w:w="10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(2,446)</w:t>
            </w:r>
          </w:p>
        </w:tc>
        <w:tc>
          <w:tcPr>
            <w:tcW w:w="10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620" w:type="dxa"/>
            <w:vAlign w:val="bottom"/>
          </w:tcPr>
          <w:p>
            <w:pPr>
              <w:spacing w:after="0"/>
              <w:rPr>
                <w:sz w:val="20"/>
                <w:szCs w:val="20"/>
                <w:color w:val="auto"/>
              </w:rPr>
            </w:pPr>
            <w:r>
              <w:rPr>
                <w:rFonts w:ascii="Arial" w:cs="Arial" w:eastAsia="Arial" w:hAnsi="Arial"/>
                <w:sz w:val="18"/>
                <w:szCs w:val="18"/>
                <w:color w:val="auto"/>
              </w:rPr>
              <w:t>Net loss before provision for income taxes</w:t>
            </w:r>
          </w:p>
        </w:tc>
        <w:tc>
          <w:tcPr>
            <w:tcW w:w="1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(17,786)</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(21,846)</w:t>
            </w:r>
          </w:p>
        </w:tc>
        <w:tc>
          <w:tcPr>
            <w:tcW w:w="2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(22,971)</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620" w:type="dxa"/>
            <w:vAlign w:val="bottom"/>
            <w:shd w:val="clear" w:color="auto" w:fill="CFF0FC"/>
          </w:tcPr>
          <w:p>
            <w:pPr>
              <w:spacing w:after="0"/>
              <w:rPr>
                <w:sz w:val="20"/>
                <w:szCs w:val="20"/>
                <w:color w:val="auto"/>
              </w:rPr>
            </w:pPr>
            <w:r>
              <w:rPr>
                <w:rFonts w:ascii="Arial" w:cs="Arial" w:eastAsia="Arial" w:hAnsi="Arial"/>
                <w:sz w:val="18"/>
                <w:szCs w:val="18"/>
                <w:color w:val="auto"/>
              </w:rPr>
              <w:t>Provision for income taxes</w:t>
            </w:r>
          </w:p>
        </w:tc>
        <w:tc>
          <w:tcPr>
            <w:tcW w:w="112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56</w:t>
            </w:r>
          </w:p>
        </w:tc>
        <w:tc>
          <w:tcPr>
            <w:tcW w:w="8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320" w:type="dxa"/>
            <w:vAlign w:val="bottom"/>
            <w:gridSpan w:val="2"/>
            <w:shd w:val="clear" w:color="auto" w:fill="CFF0FC"/>
          </w:tcPr>
          <w:p>
            <w:pPr>
              <w:jc w:val="right"/>
              <w:ind w:right="280"/>
              <w:spacing w:after="0"/>
              <w:rPr>
                <w:sz w:val="20"/>
                <w:szCs w:val="20"/>
                <w:color w:val="auto"/>
              </w:rPr>
            </w:pPr>
            <w:r>
              <w:rPr>
                <w:rFonts w:ascii="Arial" w:cs="Arial" w:eastAsia="Arial" w:hAnsi="Arial"/>
                <w:sz w:val="18"/>
                <w:szCs w:val="18"/>
                <w:color w:val="auto"/>
              </w:rPr>
              <w:t>—</w:t>
            </w:r>
          </w:p>
        </w:tc>
        <w:tc>
          <w:tcPr>
            <w:tcW w:w="300" w:type="dxa"/>
            <w:vAlign w:val="bottom"/>
            <w:shd w:val="clear" w:color="auto" w:fill="CFF0FC"/>
          </w:tcPr>
          <w:p>
            <w:pPr>
              <w:spacing w:after="0"/>
              <w:rPr>
                <w:sz w:val="19"/>
                <w:szCs w:val="19"/>
                <w:color w:val="auto"/>
              </w:rPr>
            </w:pPr>
          </w:p>
        </w:tc>
        <w:tc>
          <w:tcPr>
            <w:tcW w:w="116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63"/>
        </w:trPr>
        <w:tc>
          <w:tcPr>
            <w:tcW w:w="562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Net loss</w:t>
            </w:r>
          </w:p>
        </w:tc>
        <w:tc>
          <w:tcPr>
            <w:tcW w:w="1120" w:type="dxa"/>
            <w:vAlign w:val="bottom"/>
            <w:tcBorders>
              <w:bottom w:val="single" w:sz="8" w:color="CFF0FC"/>
            </w:tcBorders>
          </w:tcPr>
          <w:p>
            <w:pPr>
              <w:spacing w:after="0"/>
              <w:rPr>
                <w:sz w:val="22"/>
                <w:szCs w:val="22"/>
                <w:color w:val="auto"/>
              </w:rPr>
            </w:pPr>
          </w:p>
        </w:tc>
        <w:tc>
          <w:tcPr>
            <w:tcW w:w="300" w:type="dxa"/>
            <w:vAlign w:val="bottom"/>
            <w:tcBorders>
              <w:top w:val="single" w:sz="8" w:color="auto"/>
              <w:bottom w:val="single" w:sz="8" w:color="auto"/>
            </w:tcBorders>
          </w:tcPr>
          <w:p>
            <w:pPr>
              <w:jc w:val="right"/>
              <w:ind w:right="145"/>
              <w:spacing w:after="0"/>
              <w:rPr>
                <w:sz w:val="20"/>
                <w:szCs w:val="20"/>
                <w:color w:val="auto"/>
              </w:rPr>
            </w:pPr>
            <w:r>
              <w:rPr>
                <w:rFonts w:ascii="Arial" w:cs="Arial" w:eastAsia="Arial" w:hAnsi="Arial"/>
                <w:sz w:val="15"/>
                <w:szCs w:val="15"/>
                <w:color w:val="auto"/>
                <w:w w:val="71"/>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(17,842)</w:t>
            </w:r>
          </w:p>
        </w:tc>
        <w:tc>
          <w:tcPr>
            <w:tcW w:w="80" w:type="dxa"/>
            <w:vAlign w:val="bottom"/>
            <w:tcBorders>
              <w:bottom w:val="single" w:sz="8" w:color="CFF0FC"/>
            </w:tcBorders>
          </w:tcPr>
          <w:p>
            <w:pPr>
              <w:spacing w:after="0"/>
              <w:rPr>
                <w:sz w:val="22"/>
                <w:szCs w:val="22"/>
                <w:color w:val="auto"/>
              </w:rPr>
            </w:pPr>
          </w:p>
        </w:tc>
        <w:tc>
          <w:tcPr>
            <w:tcW w:w="180" w:type="dxa"/>
            <w:vAlign w:val="bottom"/>
            <w:tcBorders>
              <w:bottom w:val="single" w:sz="8" w:color="CFF0FC"/>
            </w:tcBorders>
          </w:tcPr>
          <w:p>
            <w:pPr>
              <w:spacing w:after="0"/>
              <w:rPr>
                <w:sz w:val="22"/>
                <w:szCs w:val="22"/>
                <w:color w:val="auto"/>
              </w:rPr>
            </w:pPr>
          </w:p>
        </w:tc>
        <w:tc>
          <w:tcPr>
            <w:tcW w:w="300" w:type="dxa"/>
            <w:vAlign w:val="bottom"/>
            <w:tcBorders>
              <w:top w:val="single" w:sz="8" w:color="auto"/>
              <w:bottom w:val="single" w:sz="8" w:color="auto"/>
            </w:tcBorders>
          </w:tcPr>
          <w:p>
            <w:pPr>
              <w:jc w:val="right"/>
              <w:ind w:right="110"/>
              <w:spacing w:after="0"/>
              <w:rPr>
                <w:sz w:val="20"/>
                <w:szCs w:val="20"/>
                <w:color w:val="auto"/>
              </w:rPr>
            </w:pPr>
            <w:r>
              <w:rPr>
                <w:rFonts w:ascii="Arial" w:cs="Arial" w:eastAsia="Arial" w:hAnsi="Arial"/>
                <w:sz w:val="18"/>
                <w:szCs w:val="18"/>
                <w:color w:val="auto"/>
                <w:w w:val="79"/>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(21,846)</w:t>
            </w:r>
          </w:p>
        </w:tc>
        <w:tc>
          <w:tcPr>
            <w:tcW w:w="260" w:type="dxa"/>
            <w:vAlign w:val="bottom"/>
            <w:tcBorders>
              <w:bottom w:val="single" w:sz="8" w:color="CFF0FC"/>
            </w:tcBorders>
          </w:tcPr>
          <w:p>
            <w:pPr>
              <w:spacing w:after="0"/>
              <w:rPr>
                <w:sz w:val="22"/>
                <w:szCs w:val="22"/>
                <w:color w:val="auto"/>
              </w:rPr>
            </w:pPr>
          </w:p>
        </w:tc>
        <w:tc>
          <w:tcPr>
            <w:tcW w:w="300" w:type="dxa"/>
            <w:vAlign w:val="bottom"/>
            <w:tcBorders>
              <w:top w:val="single" w:sz="8" w:color="auto"/>
              <w:bottom w:val="single" w:sz="8" w:color="auto"/>
            </w:tcBorders>
          </w:tcPr>
          <w:p>
            <w:pPr>
              <w:jc w:val="right"/>
              <w:ind w:right="110"/>
              <w:spacing w:after="0"/>
              <w:rPr>
                <w:sz w:val="20"/>
                <w:szCs w:val="20"/>
                <w:color w:val="auto"/>
              </w:rPr>
            </w:pPr>
            <w:r>
              <w:rPr>
                <w:rFonts w:ascii="Arial" w:cs="Arial" w:eastAsia="Arial" w:hAnsi="Arial"/>
                <w:sz w:val="18"/>
                <w:szCs w:val="18"/>
                <w:color w:val="auto"/>
                <w:w w:val="79"/>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(22,971)</w:t>
            </w:r>
          </w:p>
        </w:tc>
        <w:tc>
          <w:tcPr>
            <w:tcW w:w="100" w:type="dxa"/>
            <w:vAlign w:val="bottom"/>
            <w:tcBorders>
              <w:bottom w:val="single" w:sz="8" w:color="CFF0FC"/>
            </w:tcBorders>
          </w:tcPr>
          <w:p>
            <w:pPr>
              <w:spacing w:after="0"/>
              <w:rPr>
                <w:sz w:val="22"/>
                <w:szCs w:val="22"/>
                <w:color w:val="auto"/>
              </w:rPr>
            </w:pPr>
          </w:p>
        </w:tc>
        <w:tc>
          <w:tcPr>
            <w:tcW w:w="0" w:type="dxa"/>
            <w:vAlign w:val="bottom"/>
          </w:tcPr>
          <w:p>
            <w:pPr>
              <w:spacing w:after="0"/>
              <w:rPr>
                <w:sz w:val="1"/>
                <w:szCs w:val="1"/>
                <w:color w:val="auto"/>
              </w:rPr>
            </w:pPr>
          </w:p>
        </w:tc>
      </w:tr>
      <w:tr>
        <w:trPr>
          <w:trHeight w:val="210"/>
        </w:trPr>
        <w:tc>
          <w:tcPr>
            <w:tcW w:w="562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Net loss per share, basic and diluted</w:t>
            </w:r>
          </w:p>
        </w:tc>
        <w:tc>
          <w:tcPr>
            <w:tcW w:w="1120" w:type="dxa"/>
            <w:vAlign w:val="bottom"/>
            <w:tcBorders>
              <w:bottom w:val="single" w:sz="8" w:color="CFF0FC"/>
            </w:tcBorders>
            <w:shd w:val="clear" w:color="auto" w:fill="CFF0FC"/>
          </w:tcPr>
          <w:p>
            <w:pPr>
              <w:spacing w:after="0"/>
              <w:rPr>
                <w:sz w:val="18"/>
                <w:szCs w:val="18"/>
                <w:color w:val="auto"/>
              </w:rPr>
            </w:pPr>
          </w:p>
        </w:tc>
        <w:tc>
          <w:tcPr>
            <w:tcW w:w="300" w:type="dxa"/>
            <w:vAlign w:val="bottom"/>
            <w:tcBorders>
              <w:bottom w:val="single" w:sz="8" w:color="auto"/>
            </w:tcBorders>
            <w:shd w:val="clear" w:color="auto" w:fill="CFF0FC"/>
          </w:tcPr>
          <w:p>
            <w:pPr>
              <w:jc w:val="right"/>
              <w:ind w:right="145"/>
              <w:spacing w:after="0"/>
              <w:rPr>
                <w:sz w:val="20"/>
                <w:szCs w:val="20"/>
                <w:color w:val="auto"/>
              </w:rPr>
            </w:pPr>
            <w:r>
              <w:rPr>
                <w:rFonts w:ascii="Arial" w:cs="Arial" w:eastAsia="Arial" w:hAnsi="Arial"/>
                <w:sz w:val="15"/>
                <w:szCs w:val="15"/>
                <w:color w:val="auto"/>
                <w:w w:val="71"/>
              </w:rPr>
              <w:t>$</w:t>
            </w:r>
          </w:p>
        </w:tc>
        <w:tc>
          <w:tcPr>
            <w:tcW w:w="10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(2.42)</w:t>
            </w:r>
          </w:p>
        </w:tc>
        <w:tc>
          <w:tcPr>
            <w:tcW w:w="80" w:type="dxa"/>
            <w:vAlign w:val="bottom"/>
            <w:tcBorders>
              <w:bottom w:val="single" w:sz="8" w:color="CFF0FC"/>
            </w:tcBorders>
            <w:shd w:val="clear" w:color="auto" w:fill="CFF0FC"/>
          </w:tcPr>
          <w:p>
            <w:pPr>
              <w:spacing w:after="0"/>
              <w:rPr>
                <w:sz w:val="18"/>
                <w:szCs w:val="18"/>
                <w:color w:val="auto"/>
              </w:rPr>
            </w:pPr>
          </w:p>
        </w:tc>
        <w:tc>
          <w:tcPr>
            <w:tcW w:w="180" w:type="dxa"/>
            <w:vAlign w:val="bottom"/>
            <w:tcBorders>
              <w:bottom w:val="single" w:sz="8" w:color="CFF0FC"/>
            </w:tcBorders>
            <w:shd w:val="clear" w:color="auto" w:fill="CFF0FC"/>
          </w:tcPr>
          <w:p>
            <w:pPr>
              <w:spacing w:after="0"/>
              <w:rPr>
                <w:sz w:val="18"/>
                <w:szCs w:val="18"/>
                <w:color w:val="auto"/>
              </w:rPr>
            </w:pPr>
          </w:p>
        </w:tc>
        <w:tc>
          <w:tcPr>
            <w:tcW w:w="300" w:type="dxa"/>
            <w:vAlign w:val="bottom"/>
            <w:tcBorders>
              <w:bottom w:val="single" w:sz="8" w:color="auto"/>
            </w:tcBorders>
            <w:shd w:val="clear" w:color="auto" w:fill="CFF0FC"/>
          </w:tcPr>
          <w:p>
            <w:pPr>
              <w:jc w:val="right"/>
              <w:ind w:right="110"/>
              <w:spacing w:after="0"/>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(13.54)</w:t>
            </w:r>
          </w:p>
        </w:tc>
        <w:tc>
          <w:tcPr>
            <w:tcW w:w="260" w:type="dxa"/>
            <w:vAlign w:val="bottom"/>
            <w:tcBorders>
              <w:bottom w:val="single" w:sz="8" w:color="CFF0FC"/>
            </w:tcBorders>
            <w:shd w:val="clear" w:color="auto" w:fill="CFF0FC"/>
          </w:tcPr>
          <w:p>
            <w:pPr>
              <w:spacing w:after="0"/>
              <w:rPr>
                <w:sz w:val="18"/>
                <w:szCs w:val="18"/>
                <w:color w:val="auto"/>
              </w:rPr>
            </w:pPr>
          </w:p>
        </w:tc>
        <w:tc>
          <w:tcPr>
            <w:tcW w:w="300" w:type="dxa"/>
            <w:vAlign w:val="bottom"/>
            <w:tcBorders>
              <w:bottom w:val="single" w:sz="8" w:color="auto"/>
            </w:tcBorders>
            <w:shd w:val="clear" w:color="auto" w:fill="CFF0FC"/>
          </w:tcPr>
          <w:p>
            <w:pPr>
              <w:jc w:val="right"/>
              <w:ind w:right="110"/>
              <w:spacing w:after="0"/>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(14.70)</w:t>
            </w:r>
          </w:p>
        </w:tc>
        <w:tc>
          <w:tcPr>
            <w:tcW w:w="100" w:type="dxa"/>
            <w:vAlign w:val="bottom"/>
            <w:tcBorders>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620" w:type="dxa"/>
            <w:vAlign w:val="bottom"/>
            <w:vMerge w:val="restart"/>
          </w:tcPr>
          <w:p>
            <w:pPr>
              <w:spacing w:after="0"/>
              <w:rPr>
                <w:sz w:val="20"/>
                <w:szCs w:val="20"/>
                <w:color w:val="auto"/>
              </w:rPr>
            </w:pPr>
            <w:r>
              <w:rPr>
                <w:rFonts w:ascii="Arial" w:cs="Arial" w:eastAsia="Arial" w:hAnsi="Arial"/>
                <w:sz w:val="18"/>
                <w:szCs w:val="18"/>
                <w:color w:val="auto"/>
              </w:rPr>
              <w:t>Weighted-average shares used in computing net loss per share,</w:t>
            </w:r>
          </w:p>
        </w:tc>
        <w:tc>
          <w:tcPr>
            <w:tcW w:w="1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5620" w:type="dxa"/>
            <w:vAlign w:val="bottom"/>
            <w:vMerge w:val="continue"/>
          </w:tcPr>
          <w:p>
            <w:pPr>
              <w:spacing w:after="0"/>
              <w:rPr>
                <w:sz w:val="17"/>
                <w:szCs w:val="17"/>
                <w:color w:val="auto"/>
              </w:rPr>
            </w:pPr>
          </w:p>
        </w:tc>
        <w:tc>
          <w:tcPr>
            <w:tcW w:w="11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5620" w:type="dxa"/>
            <w:vAlign w:val="bottom"/>
          </w:tcPr>
          <w:p>
            <w:pPr>
              <w:ind w:left="140"/>
              <w:spacing w:after="0"/>
              <w:rPr>
                <w:sz w:val="20"/>
                <w:szCs w:val="20"/>
                <w:color w:val="auto"/>
              </w:rPr>
            </w:pPr>
            <w:r>
              <w:rPr>
                <w:rFonts w:ascii="Arial" w:cs="Arial" w:eastAsia="Arial" w:hAnsi="Arial"/>
                <w:sz w:val="18"/>
                <w:szCs w:val="18"/>
                <w:color w:val="auto"/>
              </w:rPr>
              <w:t>basic and diluted</w:t>
            </w:r>
          </w:p>
        </w:tc>
        <w:tc>
          <w:tcPr>
            <w:tcW w:w="112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7,382,715</w:t>
            </w: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1,612,933</w:t>
            </w:r>
          </w:p>
        </w:tc>
        <w:tc>
          <w:tcPr>
            <w:tcW w:w="26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1,562,829</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562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88"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The accompanying notes are an integral part of these consolidated financial statements.</w:t>
      </w: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37" w:right="239" w:bottom="1440" w:gutter="0" w:footer="0" w:header="0"/>
        </w:sectPr>
      </w:pPr>
    </w:p>
    <w:bookmarkStart w:id="76" w:name="page77"/>
    <w:bookmarkEnd w:id="76"/>
    <w:p>
      <w:pPr>
        <w:jc w:val="center"/>
        <w:spacing w:after="0"/>
        <w:rPr>
          <w:sz w:val="20"/>
          <w:szCs w:val="20"/>
          <w:color w:val="auto"/>
        </w:rPr>
      </w:pPr>
      <w:r>
        <w:rPr>
          <w:rFonts w:ascii="Arial" w:cs="Arial" w:eastAsia="Arial" w:hAnsi="Arial"/>
          <w:sz w:val="18"/>
          <w:szCs w:val="18"/>
          <w:b w:val="1"/>
          <w:bCs w:val="1"/>
          <w:color w:val="auto"/>
        </w:rPr>
        <w:t>RESTORATION ROBOTICS, INC.</w:t>
      </w:r>
    </w:p>
    <w:p>
      <w:pPr>
        <w:spacing w:after="0" w:line="117" w:lineRule="exact"/>
        <w:rPr>
          <w:sz w:val="20"/>
          <w:szCs w:val="20"/>
          <w:color w:val="auto"/>
        </w:rPr>
      </w:pPr>
    </w:p>
    <w:p>
      <w:pPr>
        <w:ind w:left="3840"/>
        <w:spacing w:after="0"/>
        <w:rPr>
          <w:sz w:val="20"/>
          <w:szCs w:val="20"/>
          <w:color w:val="auto"/>
        </w:rPr>
      </w:pPr>
      <w:r>
        <w:rPr>
          <w:rFonts w:ascii="Arial" w:cs="Arial" w:eastAsia="Arial" w:hAnsi="Arial"/>
          <w:sz w:val="18"/>
          <w:szCs w:val="18"/>
          <w:b w:val="1"/>
          <w:bCs w:val="1"/>
          <w:color w:val="auto"/>
        </w:rPr>
        <w:t>Consolidated Statements of Comprehensive Loss</w:t>
      </w:r>
    </w:p>
    <w:p>
      <w:pPr>
        <w:spacing w:after="0" w:line="27" w:lineRule="exact"/>
        <w:rPr>
          <w:sz w:val="20"/>
          <w:szCs w:val="20"/>
          <w:color w:val="auto"/>
        </w:rPr>
      </w:pPr>
    </w:p>
    <w:p>
      <w:pPr>
        <w:ind w:left="3900"/>
        <w:spacing w:after="0"/>
        <w:rPr>
          <w:sz w:val="20"/>
          <w:szCs w:val="20"/>
          <w:color w:val="auto"/>
        </w:rPr>
      </w:pPr>
      <w:r>
        <w:rPr>
          <w:rFonts w:ascii="Arial" w:cs="Arial" w:eastAsia="Arial" w:hAnsi="Arial"/>
          <w:sz w:val="18"/>
          <w:szCs w:val="18"/>
          <w:b w:val="1"/>
          <w:bCs w:val="1"/>
          <w:color w:val="auto"/>
        </w:rPr>
        <w:t>(in thousands, except share and per share data)</w:t>
      </w:r>
    </w:p>
    <w:p>
      <w:pPr>
        <w:spacing w:after="0" w:line="270"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6740" w:type="dxa"/>
            <w:vAlign w:val="bottom"/>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780" w:type="dxa"/>
            <w:vAlign w:val="bottom"/>
            <w:tcBorders>
              <w:bottom w:val="single" w:sz="8" w:color="auto"/>
            </w:tcBorders>
            <w:gridSpan w:val="4"/>
          </w:tcPr>
          <w:p>
            <w:pPr>
              <w:ind w:left="40"/>
              <w:spacing w:after="0"/>
              <w:rPr>
                <w:sz w:val="20"/>
                <w:szCs w:val="20"/>
                <w:color w:val="auto"/>
              </w:rPr>
            </w:pPr>
            <w:r>
              <w:rPr>
                <w:rFonts w:ascii="Arial" w:cs="Arial" w:eastAsia="Arial" w:hAnsi="Arial"/>
                <w:sz w:val="14"/>
                <w:szCs w:val="14"/>
                <w:b w:val="1"/>
                <w:bCs w:val="1"/>
                <w:color w:val="auto"/>
                <w:w w:val="99"/>
              </w:rPr>
              <w:t>Year Ended December 31,</w:t>
            </w:r>
          </w:p>
        </w:tc>
        <w:tc>
          <w:tcPr>
            <w:tcW w:w="300" w:type="dxa"/>
            <w:vAlign w:val="bottom"/>
            <w:tcBorders>
              <w:bottom w:val="single" w:sz="8" w:color="auto"/>
            </w:tcBorders>
          </w:tcPr>
          <w:p>
            <w:pPr>
              <w:spacing w:after="0"/>
              <w:rPr>
                <w:sz w:val="14"/>
                <w:szCs w:val="14"/>
                <w:color w:val="auto"/>
              </w:rPr>
            </w:pPr>
          </w:p>
        </w:tc>
        <w:tc>
          <w:tcPr>
            <w:tcW w:w="106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156"/>
        </w:trPr>
        <w:tc>
          <w:tcPr>
            <w:tcW w:w="6740" w:type="dxa"/>
            <w:vAlign w:val="bottom"/>
            <w:tcBorders>
              <w:bottom w:val="single" w:sz="8" w:color="CFF0FC"/>
            </w:tcBorders>
          </w:tcPr>
          <w:p>
            <w:pPr>
              <w:spacing w:after="0"/>
              <w:rPr>
                <w:sz w:val="13"/>
                <w:szCs w:val="13"/>
                <w:color w:val="auto"/>
              </w:rPr>
            </w:pPr>
          </w:p>
        </w:tc>
        <w:tc>
          <w:tcPr>
            <w:tcW w:w="320" w:type="dxa"/>
            <w:vAlign w:val="bottom"/>
            <w:tcBorders>
              <w:bottom w:val="single" w:sz="8" w:color="auto"/>
            </w:tcBorders>
          </w:tcPr>
          <w:p>
            <w:pPr>
              <w:spacing w:after="0"/>
              <w:rPr>
                <w:sz w:val="13"/>
                <w:szCs w:val="13"/>
                <w:color w:val="auto"/>
              </w:rPr>
            </w:pPr>
          </w:p>
        </w:tc>
        <w:tc>
          <w:tcPr>
            <w:tcW w:w="1020" w:type="dxa"/>
            <w:vAlign w:val="bottom"/>
            <w:tcBorders>
              <w:bottom w:val="single" w:sz="8" w:color="auto"/>
            </w:tcBorders>
          </w:tcPr>
          <w:p>
            <w:pPr>
              <w:jc w:val="right"/>
              <w:ind w:right="434"/>
              <w:spacing w:after="0" w:line="155" w:lineRule="exact"/>
              <w:rPr>
                <w:sz w:val="20"/>
                <w:szCs w:val="20"/>
                <w:color w:val="auto"/>
              </w:rPr>
            </w:pPr>
            <w:r>
              <w:rPr>
                <w:rFonts w:ascii="Arial" w:cs="Arial" w:eastAsia="Arial" w:hAnsi="Arial"/>
                <w:sz w:val="14"/>
                <w:szCs w:val="14"/>
                <w:b w:val="1"/>
                <w:bCs w:val="1"/>
                <w:color w:val="auto"/>
              </w:rPr>
              <w:t>2017</w:t>
            </w:r>
          </w:p>
        </w:tc>
        <w:tc>
          <w:tcPr>
            <w:tcW w:w="100" w:type="dxa"/>
            <w:vAlign w:val="bottom"/>
            <w:tcBorders>
              <w:bottom w:val="single" w:sz="8" w:color="CFF0FC"/>
            </w:tcBorders>
          </w:tcPr>
          <w:p>
            <w:pPr>
              <w:spacing w:after="0"/>
              <w:rPr>
                <w:sz w:val="13"/>
                <w:szCs w:val="13"/>
                <w:color w:val="auto"/>
              </w:rPr>
            </w:pPr>
          </w:p>
        </w:tc>
        <w:tc>
          <w:tcPr>
            <w:tcW w:w="180" w:type="dxa"/>
            <w:vAlign w:val="bottom"/>
            <w:tcBorders>
              <w:bottom w:val="single" w:sz="8" w:color="CFF0FC"/>
            </w:tcBorders>
          </w:tcPr>
          <w:p>
            <w:pPr>
              <w:spacing w:after="0"/>
              <w:rPr>
                <w:sz w:val="13"/>
                <w:szCs w:val="13"/>
                <w:color w:val="auto"/>
              </w:rPr>
            </w:pPr>
          </w:p>
        </w:tc>
        <w:tc>
          <w:tcPr>
            <w:tcW w:w="300" w:type="dxa"/>
            <w:vAlign w:val="bottom"/>
            <w:tcBorders>
              <w:bottom w:val="single" w:sz="8" w:color="auto"/>
            </w:tcBorders>
          </w:tcPr>
          <w:p>
            <w:pPr>
              <w:spacing w:after="0"/>
              <w:rPr>
                <w:sz w:val="13"/>
                <w:szCs w:val="13"/>
                <w:color w:val="auto"/>
              </w:rPr>
            </w:pPr>
          </w:p>
        </w:tc>
        <w:tc>
          <w:tcPr>
            <w:tcW w:w="1040" w:type="dxa"/>
            <w:vAlign w:val="bottom"/>
            <w:tcBorders>
              <w:bottom w:val="single" w:sz="8" w:color="auto"/>
            </w:tcBorders>
          </w:tcPr>
          <w:p>
            <w:pPr>
              <w:jc w:val="right"/>
              <w:ind w:right="454"/>
              <w:spacing w:after="0" w:line="155" w:lineRule="exact"/>
              <w:rPr>
                <w:sz w:val="20"/>
                <w:szCs w:val="20"/>
                <w:color w:val="auto"/>
              </w:rPr>
            </w:pPr>
            <w:r>
              <w:rPr>
                <w:rFonts w:ascii="Arial" w:cs="Arial" w:eastAsia="Arial" w:hAnsi="Arial"/>
                <w:sz w:val="14"/>
                <w:szCs w:val="14"/>
                <w:b w:val="1"/>
                <w:bCs w:val="1"/>
                <w:color w:val="auto"/>
              </w:rPr>
              <w:t>2016</w:t>
            </w:r>
          </w:p>
        </w:tc>
        <w:tc>
          <w:tcPr>
            <w:tcW w:w="260" w:type="dxa"/>
            <w:vAlign w:val="bottom"/>
            <w:tcBorders>
              <w:bottom w:val="single" w:sz="8" w:color="CFF0FC"/>
            </w:tcBorders>
          </w:tcPr>
          <w:p>
            <w:pPr>
              <w:spacing w:after="0"/>
              <w:rPr>
                <w:sz w:val="13"/>
                <w:szCs w:val="13"/>
                <w:color w:val="auto"/>
              </w:rPr>
            </w:pPr>
          </w:p>
        </w:tc>
        <w:tc>
          <w:tcPr>
            <w:tcW w:w="300" w:type="dxa"/>
            <w:vAlign w:val="bottom"/>
            <w:tcBorders>
              <w:bottom w:val="single" w:sz="8" w:color="auto"/>
            </w:tcBorders>
          </w:tcPr>
          <w:p>
            <w:pPr>
              <w:spacing w:after="0"/>
              <w:rPr>
                <w:sz w:val="13"/>
                <w:szCs w:val="13"/>
                <w:color w:val="auto"/>
              </w:rPr>
            </w:pPr>
          </w:p>
        </w:tc>
        <w:tc>
          <w:tcPr>
            <w:tcW w:w="1060" w:type="dxa"/>
            <w:vAlign w:val="bottom"/>
            <w:tcBorders>
              <w:bottom w:val="single" w:sz="8" w:color="auto"/>
            </w:tcBorders>
          </w:tcPr>
          <w:p>
            <w:pPr>
              <w:jc w:val="right"/>
              <w:ind w:right="454"/>
              <w:spacing w:after="0" w:line="155" w:lineRule="exact"/>
              <w:rPr>
                <w:sz w:val="20"/>
                <w:szCs w:val="20"/>
                <w:color w:val="auto"/>
              </w:rPr>
            </w:pPr>
            <w:r>
              <w:rPr>
                <w:rFonts w:ascii="Arial" w:cs="Arial" w:eastAsia="Arial" w:hAnsi="Arial"/>
                <w:sz w:val="14"/>
                <w:szCs w:val="14"/>
                <w:b w:val="1"/>
                <w:bCs w:val="1"/>
                <w:color w:val="auto"/>
              </w:rPr>
              <w:t>2015</w:t>
            </w:r>
          </w:p>
        </w:tc>
        <w:tc>
          <w:tcPr>
            <w:tcW w:w="100" w:type="dxa"/>
            <w:vAlign w:val="bottom"/>
            <w:tcBorders>
              <w:bottom w:val="single" w:sz="8" w:color="CFF0FC"/>
            </w:tcBorders>
          </w:tcPr>
          <w:p>
            <w:pPr>
              <w:spacing w:after="0"/>
              <w:rPr>
                <w:sz w:val="13"/>
                <w:szCs w:val="13"/>
                <w:color w:val="auto"/>
              </w:rPr>
            </w:pPr>
          </w:p>
        </w:tc>
      </w:tr>
      <w:tr>
        <w:trPr>
          <w:trHeight w:val="223"/>
        </w:trPr>
        <w:tc>
          <w:tcPr>
            <w:tcW w:w="6740" w:type="dxa"/>
            <w:vAlign w:val="bottom"/>
            <w:shd w:val="clear" w:color="auto" w:fill="CFF0FC"/>
          </w:tcPr>
          <w:p>
            <w:pPr>
              <w:spacing w:after="0"/>
              <w:rPr>
                <w:sz w:val="20"/>
                <w:szCs w:val="20"/>
                <w:color w:val="auto"/>
              </w:rPr>
            </w:pPr>
            <w:r>
              <w:rPr>
                <w:rFonts w:ascii="Arial" w:cs="Arial" w:eastAsia="Arial" w:hAnsi="Arial"/>
                <w:sz w:val="18"/>
                <w:szCs w:val="18"/>
                <w:color w:val="auto"/>
              </w:rPr>
              <w:t>Net loss</w:t>
            </w:r>
          </w:p>
        </w:tc>
        <w:tc>
          <w:tcPr>
            <w:tcW w:w="320" w:type="dxa"/>
            <w:vAlign w:val="bottom"/>
            <w:shd w:val="clear" w:color="auto" w:fill="CFF0FC"/>
          </w:tcPr>
          <w:p>
            <w:pPr>
              <w:jc w:val="right"/>
              <w:ind w:right="130"/>
              <w:spacing w:after="0"/>
              <w:rPr>
                <w:sz w:val="20"/>
                <w:szCs w:val="20"/>
                <w:color w:val="auto"/>
              </w:rPr>
            </w:pPr>
            <w:r>
              <w:rPr>
                <w:rFonts w:ascii="Arial" w:cs="Arial" w:eastAsia="Arial" w:hAnsi="Arial"/>
                <w:sz w:val="18"/>
                <w:szCs w:val="18"/>
                <w:color w:val="auto"/>
                <w:w w:val="79"/>
              </w:rPr>
              <w:t>$</w:t>
            </w: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(17,842)</w:t>
            </w:r>
          </w:p>
        </w:tc>
        <w:tc>
          <w:tcPr>
            <w:tcW w:w="10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300" w:type="dxa"/>
            <w:vAlign w:val="bottom"/>
            <w:shd w:val="clear" w:color="auto" w:fill="CFF0FC"/>
          </w:tcPr>
          <w:p>
            <w:pPr>
              <w:jc w:val="right"/>
              <w:ind w:right="145"/>
              <w:spacing w:after="0"/>
              <w:rPr>
                <w:sz w:val="20"/>
                <w:szCs w:val="20"/>
                <w:color w:val="auto"/>
              </w:rPr>
            </w:pPr>
            <w:r>
              <w:rPr>
                <w:rFonts w:ascii="Arial" w:cs="Arial" w:eastAsia="Arial" w:hAnsi="Arial"/>
                <w:sz w:val="15"/>
                <w:szCs w:val="15"/>
                <w:color w:val="auto"/>
                <w:w w:val="71"/>
              </w:rPr>
              <w:t>$</w:t>
            </w: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(21,846)</w:t>
            </w:r>
          </w:p>
        </w:tc>
        <w:tc>
          <w:tcPr>
            <w:tcW w:w="260" w:type="dxa"/>
            <w:vAlign w:val="bottom"/>
            <w:shd w:val="clear" w:color="auto" w:fill="CFF0FC"/>
          </w:tcPr>
          <w:p>
            <w:pPr>
              <w:spacing w:after="0"/>
              <w:rPr>
                <w:sz w:val="19"/>
                <w:szCs w:val="19"/>
                <w:color w:val="auto"/>
              </w:rPr>
            </w:pPr>
          </w:p>
        </w:tc>
        <w:tc>
          <w:tcPr>
            <w:tcW w:w="300" w:type="dxa"/>
            <w:vAlign w:val="bottom"/>
            <w:shd w:val="clear" w:color="auto" w:fill="CFF0FC"/>
          </w:tcPr>
          <w:p>
            <w:pPr>
              <w:jc w:val="right"/>
              <w:ind w:right="110"/>
              <w:spacing w:after="0"/>
              <w:rPr>
                <w:sz w:val="20"/>
                <w:szCs w:val="20"/>
                <w:color w:val="auto"/>
              </w:rPr>
            </w:pPr>
            <w:r>
              <w:rPr>
                <w:rFonts w:ascii="Arial" w:cs="Arial" w:eastAsia="Arial" w:hAnsi="Arial"/>
                <w:sz w:val="18"/>
                <w:szCs w:val="18"/>
                <w:color w:val="auto"/>
                <w:w w:val="79"/>
              </w:rPr>
              <w:t>$</w:t>
            </w:r>
          </w:p>
        </w:tc>
        <w:tc>
          <w:tcPr>
            <w:tcW w:w="10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(22,971)</w:t>
            </w:r>
          </w:p>
        </w:tc>
        <w:tc>
          <w:tcPr>
            <w:tcW w:w="100" w:type="dxa"/>
            <w:vAlign w:val="bottom"/>
            <w:shd w:val="clear" w:color="auto" w:fill="CFF0FC"/>
          </w:tcPr>
          <w:p>
            <w:pPr>
              <w:spacing w:after="0"/>
              <w:rPr>
                <w:sz w:val="19"/>
                <w:szCs w:val="19"/>
                <w:color w:val="auto"/>
              </w:rPr>
            </w:pPr>
          </w:p>
        </w:tc>
      </w:tr>
      <w:tr>
        <w:trPr>
          <w:trHeight w:val="230"/>
        </w:trPr>
        <w:tc>
          <w:tcPr>
            <w:tcW w:w="6740" w:type="dxa"/>
            <w:vAlign w:val="bottom"/>
          </w:tcPr>
          <w:p>
            <w:pPr>
              <w:spacing w:after="0"/>
              <w:rPr>
                <w:sz w:val="20"/>
                <w:szCs w:val="20"/>
                <w:color w:val="auto"/>
              </w:rPr>
            </w:pPr>
            <w:r>
              <w:rPr>
                <w:rFonts w:ascii="Arial" w:cs="Arial" w:eastAsia="Arial" w:hAnsi="Arial"/>
                <w:sz w:val="18"/>
                <w:szCs w:val="18"/>
                <w:color w:val="auto"/>
              </w:rPr>
              <w:t>Other comprehensive income (loss):</w:t>
            </w:r>
          </w:p>
        </w:tc>
        <w:tc>
          <w:tcPr>
            <w:tcW w:w="32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30"/>
        </w:trPr>
        <w:tc>
          <w:tcPr>
            <w:tcW w:w="6740" w:type="dxa"/>
            <w:vAlign w:val="bottom"/>
            <w:shd w:val="clear" w:color="auto" w:fill="CFF0FC"/>
          </w:tcPr>
          <w:p>
            <w:pPr>
              <w:ind w:left="260"/>
              <w:spacing w:after="0"/>
              <w:rPr>
                <w:sz w:val="20"/>
                <w:szCs w:val="20"/>
                <w:color w:val="auto"/>
              </w:rPr>
            </w:pPr>
            <w:r>
              <w:rPr>
                <w:rFonts w:ascii="Arial" w:cs="Arial" w:eastAsia="Arial" w:hAnsi="Arial"/>
                <w:sz w:val="18"/>
                <w:szCs w:val="18"/>
                <w:color w:val="auto"/>
              </w:rPr>
              <w:t>Cumulative translation adjustment</w:t>
            </w:r>
          </w:p>
        </w:tc>
        <w:tc>
          <w:tcPr>
            <w:tcW w:w="320" w:type="dxa"/>
            <w:vAlign w:val="bottom"/>
            <w:shd w:val="clear" w:color="auto" w:fill="CFF0FC"/>
          </w:tcPr>
          <w:p>
            <w:pPr>
              <w:spacing w:after="0"/>
              <w:rPr>
                <w:sz w:val="19"/>
                <w:szCs w:val="19"/>
                <w:color w:val="auto"/>
              </w:rPr>
            </w:pPr>
          </w:p>
        </w:tc>
        <w:tc>
          <w:tcPr>
            <w:tcW w:w="112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(93)</w:t>
            </w:r>
          </w:p>
        </w:tc>
        <w:tc>
          <w:tcPr>
            <w:tcW w:w="18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300" w:type="dxa"/>
            <w:vAlign w:val="bottom"/>
            <w:gridSpan w:val="2"/>
            <w:shd w:val="clear" w:color="auto" w:fill="CFF0FC"/>
          </w:tcPr>
          <w:p>
            <w:pPr>
              <w:jc w:val="right"/>
              <w:ind w:right="280"/>
              <w:spacing w:after="0"/>
              <w:rPr>
                <w:sz w:val="20"/>
                <w:szCs w:val="20"/>
                <w:color w:val="auto"/>
              </w:rPr>
            </w:pPr>
            <w:r>
              <w:rPr>
                <w:rFonts w:ascii="Arial" w:cs="Arial" w:eastAsia="Arial" w:hAnsi="Arial"/>
                <w:sz w:val="18"/>
                <w:szCs w:val="18"/>
                <w:color w:val="auto"/>
              </w:rPr>
              <w:t>—</w:t>
            </w:r>
          </w:p>
        </w:tc>
        <w:tc>
          <w:tcPr>
            <w:tcW w:w="300" w:type="dxa"/>
            <w:vAlign w:val="bottom"/>
            <w:shd w:val="clear" w:color="auto" w:fill="CFF0FC"/>
          </w:tcPr>
          <w:p>
            <w:pPr>
              <w:spacing w:after="0"/>
              <w:rPr>
                <w:sz w:val="19"/>
                <w:szCs w:val="19"/>
                <w:color w:val="auto"/>
              </w:rPr>
            </w:pPr>
          </w:p>
        </w:tc>
        <w:tc>
          <w:tcPr>
            <w:tcW w:w="10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w:t>
            </w:r>
          </w:p>
        </w:tc>
        <w:tc>
          <w:tcPr>
            <w:tcW w:w="100" w:type="dxa"/>
            <w:vAlign w:val="bottom"/>
            <w:shd w:val="clear" w:color="auto" w:fill="CFF0FC"/>
          </w:tcPr>
          <w:p>
            <w:pPr>
              <w:spacing w:after="0"/>
              <w:rPr>
                <w:sz w:val="19"/>
                <w:szCs w:val="19"/>
                <w:color w:val="auto"/>
              </w:rPr>
            </w:pPr>
          </w:p>
        </w:tc>
      </w:tr>
      <w:tr>
        <w:trPr>
          <w:trHeight w:val="223"/>
        </w:trPr>
        <w:tc>
          <w:tcPr>
            <w:tcW w:w="6740" w:type="dxa"/>
            <w:vAlign w:val="bottom"/>
          </w:tcPr>
          <w:p>
            <w:pPr>
              <w:spacing w:after="0"/>
              <w:rPr>
                <w:sz w:val="20"/>
                <w:szCs w:val="20"/>
                <w:color w:val="auto"/>
              </w:rPr>
            </w:pPr>
            <w:r>
              <w:rPr>
                <w:rFonts w:ascii="Arial" w:cs="Arial" w:eastAsia="Arial" w:hAnsi="Arial"/>
                <w:sz w:val="18"/>
                <w:szCs w:val="18"/>
                <w:color w:val="auto"/>
              </w:rPr>
              <w:t>Comprehensive loss</w:t>
            </w:r>
          </w:p>
        </w:tc>
        <w:tc>
          <w:tcPr>
            <w:tcW w:w="320" w:type="dxa"/>
            <w:vAlign w:val="bottom"/>
            <w:tcBorders>
              <w:top w:val="single" w:sz="8" w:color="auto"/>
              <w:bottom w:val="single" w:sz="8" w:color="auto"/>
            </w:tcBorders>
          </w:tcPr>
          <w:p>
            <w:pPr>
              <w:jc w:val="right"/>
              <w:ind w:right="130"/>
              <w:spacing w:after="0"/>
              <w:rPr>
                <w:sz w:val="20"/>
                <w:szCs w:val="20"/>
                <w:color w:val="auto"/>
              </w:rPr>
            </w:pPr>
            <w:r>
              <w:rPr>
                <w:rFonts w:ascii="Arial" w:cs="Arial" w:eastAsia="Arial" w:hAnsi="Arial"/>
                <w:sz w:val="18"/>
                <w:szCs w:val="18"/>
                <w:color w:val="auto"/>
                <w:w w:val="79"/>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(17,935)</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300" w:type="dxa"/>
            <w:vAlign w:val="bottom"/>
            <w:tcBorders>
              <w:top w:val="single" w:sz="8" w:color="auto"/>
              <w:bottom w:val="single" w:sz="8" w:color="auto"/>
            </w:tcBorders>
          </w:tcPr>
          <w:p>
            <w:pPr>
              <w:jc w:val="right"/>
              <w:ind w:right="145"/>
              <w:spacing w:after="0"/>
              <w:rPr>
                <w:sz w:val="20"/>
                <w:szCs w:val="20"/>
                <w:color w:val="auto"/>
              </w:rPr>
            </w:pPr>
            <w:r>
              <w:rPr>
                <w:rFonts w:ascii="Arial" w:cs="Arial" w:eastAsia="Arial" w:hAnsi="Arial"/>
                <w:sz w:val="15"/>
                <w:szCs w:val="15"/>
                <w:color w:val="auto"/>
                <w:w w:val="71"/>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(21,846)</w:t>
            </w:r>
          </w:p>
        </w:tc>
        <w:tc>
          <w:tcPr>
            <w:tcW w:w="260" w:type="dxa"/>
            <w:vAlign w:val="bottom"/>
          </w:tcPr>
          <w:p>
            <w:pPr>
              <w:spacing w:after="0"/>
              <w:rPr>
                <w:sz w:val="19"/>
                <w:szCs w:val="19"/>
                <w:color w:val="auto"/>
              </w:rPr>
            </w:pPr>
          </w:p>
        </w:tc>
        <w:tc>
          <w:tcPr>
            <w:tcW w:w="300" w:type="dxa"/>
            <w:vAlign w:val="bottom"/>
            <w:tcBorders>
              <w:top w:val="single" w:sz="8" w:color="auto"/>
              <w:bottom w:val="single" w:sz="8" w:color="auto"/>
            </w:tcBorders>
          </w:tcPr>
          <w:p>
            <w:pPr>
              <w:jc w:val="right"/>
              <w:ind w:right="110"/>
              <w:spacing w:after="0"/>
              <w:rPr>
                <w:sz w:val="20"/>
                <w:szCs w:val="20"/>
                <w:color w:val="auto"/>
              </w:rPr>
            </w:pPr>
            <w:r>
              <w:rPr>
                <w:rFonts w:ascii="Arial" w:cs="Arial" w:eastAsia="Arial" w:hAnsi="Arial"/>
                <w:sz w:val="18"/>
                <w:szCs w:val="18"/>
                <w:color w:val="auto"/>
                <w:w w:val="79"/>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(22,957)</w:t>
            </w:r>
          </w:p>
        </w:tc>
        <w:tc>
          <w:tcPr>
            <w:tcW w:w="100" w:type="dxa"/>
            <w:vAlign w:val="bottom"/>
          </w:tcPr>
          <w:p>
            <w:pPr>
              <w:spacing w:after="0"/>
              <w:rPr>
                <w:sz w:val="19"/>
                <w:szCs w:val="19"/>
                <w:color w:val="auto"/>
              </w:rPr>
            </w:pPr>
          </w:p>
        </w:tc>
      </w:tr>
      <w:tr>
        <w:trPr>
          <w:trHeight w:val="20"/>
        </w:trPr>
        <w:tc>
          <w:tcPr>
            <w:tcW w:w="674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88"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The accompanying notes are an integral part of these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37" w:right="239" w:bottom="1440" w:gutter="0" w:footer="0" w:header="0"/>
        </w:sectPr>
      </w:pPr>
    </w:p>
    <w:bookmarkStart w:id="77" w:name="page78"/>
    <w:bookmarkEnd w:id="77"/>
    <w:p>
      <w:pPr>
        <w:ind w:left="4320"/>
        <w:spacing w:after="0"/>
        <w:rPr>
          <w:sz w:val="20"/>
          <w:szCs w:val="20"/>
          <w:color w:val="auto"/>
        </w:rPr>
      </w:pPr>
      <w:r>
        <w:rPr>
          <w:rFonts w:ascii="Arial" w:cs="Arial" w:eastAsia="Arial" w:hAnsi="Arial"/>
          <w:sz w:val="18"/>
          <w:szCs w:val="18"/>
          <w:b w:val="1"/>
          <w:bCs w:val="1"/>
          <w:color w:val="auto"/>
        </w:rPr>
        <w:t>RESTORATION ROBOTICS, INC.</w:t>
      </w:r>
    </w:p>
    <w:p>
      <w:pPr>
        <w:spacing w:after="0" w:line="117" w:lineRule="exact"/>
        <w:rPr>
          <w:sz w:val="20"/>
          <w:szCs w:val="20"/>
          <w:color w:val="auto"/>
        </w:rPr>
      </w:pPr>
    </w:p>
    <w:p>
      <w:pPr>
        <w:ind w:left="2260"/>
        <w:spacing w:after="0"/>
        <w:rPr>
          <w:sz w:val="20"/>
          <w:szCs w:val="20"/>
          <w:color w:val="auto"/>
        </w:rPr>
      </w:pPr>
      <w:r>
        <w:rPr>
          <w:rFonts w:ascii="Arial" w:cs="Arial" w:eastAsia="Arial" w:hAnsi="Arial"/>
          <w:sz w:val="18"/>
          <w:szCs w:val="18"/>
          <w:b w:val="1"/>
          <w:bCs w:val="1"/>
          <w:color w:val="auto"/>
        </w:rPr>
        <w:t>Consolidated Statement of Convertible Preferred Stock and Stockholders’ Equity (Deficit)</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i w:val="1"/>
          <w:iCs w:val="1"/>
          <w:color w:val="auto"/>
        </w:rPr>
        <w:t>(in thousands, except share and per share data)</w:t>
      </w:r>
    </w:p>
    <w:p>
      <w:pPr>
        <w:spacing w:after="0" w:line="206"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374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60" w:type="dxa"/>
            <w:vAlign w:val="bottom"/>
            <w:gridSpan w:val="3"/>
          </w:tcPr>
          <w:p>
            <w:pPr>
              <w:jc w:val="center"/>
              <w:ind w:right="220"/>
              <w:spacing w:after="0"/>
              <w:rPr>
                <w:sz w:val="20"/>
                <w:szCs w:val="20"/>
                <w:color w:val="auto"/>
              </w:rPr>
            </w:pPr>
            <w:r>
              <w:rPr>
                <w:rFonts w:ascii="Arial" w:cs="Arial" w:eastAsia="Arial" w:hAnsi="Arial"/>
                <w:sz w:val="13"/>
                <w:szCs w:val="13"/>
                <w:b w:val="1"/>
                <w:bCs w:val="1"/>
                <w:color w:val="auto"/>
                <w:w w:val="88"/>
              </w:rPr>
              <w:t>Accumulated</w:t>
            </w:r>
          </w:p>
        </w:tc>
        <w:tc>
          <w:tcPr>
            <w:tcW w:w="1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3"/>
        </w:trPr>
        <w:tc>
          <w:tcPr>
            <w:tcW w:w="374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60" w:type="dxa"/>
            <w:vAlign w:val="bottom"/>
          </w:tcPr>
          <w:p>
            <w:pPr>
              <w:jc w:val="center"/>
              <w:ind w:right="13"/>
              <w:spacing w:after="0"/>
              <w:rPr>
                <w:sz w:val="20"/>
                <w:szCs w:val="20"/>
                <w:color w:val="auto"/>
              </w:rPr>
            </w:pPr>
            <w:r>
              <w:rPr>
                <w:rFonts w:ascii="Arial" w:cs="Arial" w:eastAsia="Arial" w:hAnsi="Arial"/>
                <w:sz w:val="13"/>
                <w:szCs w:val="13"/>
                <w:b w:val="1"/>
                <w:bCs w:val="1"/>
                <w:color w:val="auto"/>
                <w:w w:val="91"/>
              </w:rPr>
              <w:t>Additional</w:t>
            </w:r>
          </w:p>
        </w:tc>
        <w:tc>
          <w:tcPr>
            <w:tcW w:w="2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900" w:type="dxa"/>
            <w:vAlign w:val="bottom"/>
            <w:gridSpan w:val="2"/>
          </w:tcPr>
          <w:p>
            <w:pPr>
              <w:jc w:val="center"/>
              <w:ind w:right="380"/>
              <w:spacing w:after="0"/>
              <w:rPr>
                <w:sz w:val="20"/>
                <w:szCs w:val="20"/>
                <w:color w:val="auto"/>
              </w:rPr>
            </w:pPr>
            <w:r>
              <w:rPr>
                <w:rFonts w:ascii="Arial" w:cs="Arial" w:eastAsia="Arial" w:hAnsi="Arial"/>
                <w:sz w:val="13"/>
                <w:szCs w:val="13"/>
                <w:b w:val="1"/>
                <w:bCs w:val="1"/>
                <w:color w:val="auto"/>
                <w:w w:val="92"/>
              </w:rPr>
              <w:t>Other</w:t>
            </w:r>
          </w:p>
        </w:tc>
        <w:tc>
          <w:tcPr>
            <w:tcW w:w="1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40" w:type="dxa"/>
            <w:vAlign w:val="bottom"/>
            <w:gridSpan w:val="2"/>
          </w:tcPr>
          <w:p>
            <w:pPr>
              <w:jc w:val="right"/>
              <w:ind w:right="360"/>
              <w:spacing w:after="0"/>
              <w:rPr>
                <w:sz w:val="20"/>
                <w:szCs w:val="20"/>
                <w:color w:val="auto"/>
              </w:rPr>
            </w:pPr>
            <w:r>
              <w:rPr>
                <w:rFonts w:ascii="Arial" w:cs="Arial" w:eastAsia="Arial" w:hAnsi="Arial"/>
                <w:sz w:val="13"/>
                <w:szCs w:val="13"/>
                <w:b w:val="1"/>
                <w:bCs w:val="1"/>
                <w:color w:val="auto"/>
              </w:rPr>
              <w:t>Total</w:t>
            </w:r>
          </w:p>
        </w:tc>
        <w:tc>
          <w:tcPr>
            <w:tcW w:w="0" w:type="dxa"/>
            <w:vAlign w:val="bottom"/>
          </w:tcPr>
          <w:p>
            <w:pPr>
              <w:spacing w:after="0"/>
              <w:rPr>
                <w:sz w:val="1"/>
                <w:szCs w:val="1"/>
                <w:color w:val="auto"/>
              </w:rPr>
            </w:pPr>
          </w:p>
        </w:tc>
      </w:tr>
      <w:tr>
        <w:trPr>
          <w:trHeight w:val="149"/>
        </w:trPr>
        <w:tc>
          <w:tcPr>
            <w:tcW w:w="3740" w:type="dxa"/>
            <w:vAlign w:val="bottom"/>
          </w:tcPr>
          <w:p>
            <w:pPr>
              <w:spacing w:after="0"/>
              <w:rPr>
                <w:sz w:val="12"/>
                <w:szCs w:val="12"/>
                <w:color w:val="auto"/>
              </w:rPr>
            </w:pPr>
          </w:p>
        </w:tc>
        <w:tc>
          <w:tcPr>
            <w:tcW w:w="1860" w:type="dxa"/>
            <w:vAlign w:val="bottom"/>
            <w:tcBorders>
              <w:right w:val="single" w:sz="8" w:color="auto"/>
            </w:tcBorders>
            <w:gridSpan w:val="6"/>
          </w:tcPr>
          <w:p>
            <w:pPr>
              <w:jc w:val="right"/>
              <w:ind w:right="240"/>
              <w:spacing w:after="0"/>
              <w:rPr>
                <w:sz w:val="20"/>
                <w:szCs w:val="20"/>
                <w:color w:val="auto"/>
              </w:rPr>
            </w:pPr>
            <w:r>
              <w:rPr>
                <w:rFonts w:ascii="Arial" w:cs="Arial" w:eastAsia="Arial" w:hAnsi="Arial"/>
                <w:sz w:val="13"/>
                <w:szCs w:val="13"/>
                <w:b w:val="1"/>
                <w:bCs w:val="1"/>
                <w:color w:val="auto"/>
                <w:w w:val="93"/>
              </w:rPr>
              <w:t>Convertible Preferred Stock</w:t>
            </w:r>
          </w:p>
        </w:tc>
        <w:tc>
          <w:tcPr>
            <w:tcW w:w="80" w:type="dxa"/>
            <w:vAlign w:val="bottom"/>
          </w:tcPr>
          <w:p>
            <w:pPr>
              <w:spacing w:after="0"/>
              <w:rPr>
                <w:sz w:val="12"/>
                <w:szCs w:val="12"/>
                <w:color w:val="auto"/>
              </w:rPr>
            </w:pPr>
          </w:p>
        </w:tc>
        <w:tc>
          <w:tcPr>
            <w:tcW w:w="1660" w:type="dxa"/>
            <w:vAlign w:val="bottom"/>
            <w:gridSpan w:val="4"/>
          </w:tcPr>
          <w:p>
            <w:pPr>
              <w:jc w:val="right"/>
              <w:ind w:right="353"/>
              <w:spacing w:after="0"/>
              <w:rPr>
                <w:sz w:val="20"/>
                <w:szCs w:val="20"/>
                <w:color w:val="auto"/>
              </w:rPr>
            </w:pPr>
            <w:r>
              <w:rPr>
                <w:rFonts w:ascii="Arial" w:cs="Arial" w:eastAsia="Arial" w:hAnsi="Arial"/>
                <w:sz w:val="13"/>
                <w:szCs w:val="13"/>
                <w:b w:val="1"/>
                <w:bCs w:val="1"/>
                <w:color w:val="auto"/>
              </w:rPr>
              <w:t>Common Stock</w:t>
            </w:r>
          </w:p>
        </w:tc>
        <w:tc>
          <w:tcPr>
            <w:tcW w:w="280" w:type="dxa"/>
            <w:vAlign w:val="bottom"/>
          </w:tcPr>
          <w:p>
            <w:pPr>
              <w:spacing w:after="0"/>
              <w:rPr>
                <w:sz w:val="12"/>
                <w:szCs w:val="12"/>
                <w:color w:val="auto"/>
              </w:rPr>
            </w:pPr>
          </w:p>
        </w:tc>
        <w:tc>
          <w:tcPr>
            <w:tcW w:w="660" w:type="dxa"/>
            <w:vAlign w:val="bottom"/>
          </w:tcPr>
          <w:p>
            <w:pPr>
              <w:jc w:val="center"/>
              <w:spacing w:after="0"/>
              <w:rPr>
                <w:sz w:val="20"/>
                <w:szCs w:val="20"/>
                <w:color w:val="auto"/>
              </w:rPr>
            </w:pPr>
            <w:r>
              <w:rPr>
                <w:rFonts w:ascii="Arial" w:cs="Arial" w:eastAsia="Arial" w:hAnsi="Arial"/>
                <w:sz w:val="13"/>
                <w:szCs w:val="13"/>
                <w:b w:val="1"/>
                <w:bCs w:val="1"/>
                <w:color w:val="auto"/>
                <w:w w:val="87"/>
              </w:rPr>
              <w:t>Paid-</w:t>
            </w:r>
          </w:p>
        </w:tc>
        <w:tc>
          <w:tcPr>
            <w:tcW w:w="1280" w:type="dxa"/>
            <w:vAlign w:val="bottom"/>
            <w:gridSpan w:val="4"/>
          </w:tcPr>
          <w:p>
            <w:pPr>
              <w:jc w:val="center"/>
              <w:spacing w:after="0"/>
              <w:rPr>
                <w:sz w:val="20"/>
                <w:szCs w:val="20"/>
                <w:color w:val="auto"/>
              </w:rPr>
            </w:pPr>
            <w:r>
              <w:rPr>
                <w:rFonts w:ascii="Arial" w:cs="Arial" w:eastAsia="Arial" w:hAnsi="Arial"/>
                <w:sz w:val="13"/>
                <w:szCs w:val="13"/>
                <w:b w:val="1"/>
                <w:bCs w:val="1"/>
                <w:color w:val="auto"/>
                <w:w w:val="86"/>
              </w:rPr>
              <w:t>Comprehensive</w:t>
            </w:r>
          </w:p>
        </w:tc>
        <w:tc>
          <w:tcPr>
            <w:tcW w:w="960" w:type="dxa"/>
            <w:vAlign w:val="bottom"/>
            <w:gridSpan w:val="3"/>
          </w:tcPr>
          <w:p>
            <w:pPr>
              <w:ind w:left="20"/>
              <w:spacing w:after="0"/>
              <w:rPr>
                <w:sz w:val="20"/>
                <w:szCs w:val="20"/>
                <w:color w:val="auto"/>
              </w:rPr>
            </w:pPr>
            <w:r>
              <w:rPr>
                <w:rFonts w:ascii="Arial" w:cs="Arial" w:eastAsia="Arial" w:hAnsi="Arial"/>
                <w:sz w:val="13"/>
                <w:szCs w:val="13"/>
                <w:b w:val="1"/>
                <w:bCs w:val="1"/>
                <w:color w:val="auto"/>
              </w:rPr>
              <w:t>Accumulated</w:t>
            </w:r>
          </w:p>
        </w:tc>
        <w:tc>
          <w:tcPr>
            <w:tcW w:w="900" w:type="dxa"/>
            <w:vAlign w:val="bottom"/>
            <w:gridSpan w:val="3"/>
          </w:tcPr>
          <w:p>
            <w:pPr>
              <w:jc w:val="right"/>
              <w:ind w:right="120"/>
              <w:spacing w:after="0"/>
              <w:rPr>
                <w:sz w:val="20"/>
                <w:szCs w:val="20"/>
                <w:color w:val="auto"/>
              </w:rPr>
            </w:pPr>
            <w:r>
              <w:rPr>
                <w:rFonts w:ascii="Arial" w:cs="Arial" w:eastAsia="Arial" w:hAnsi="Arial"/>
                <w:sz w:val="13"/>
                <w:szCs w:val="13"/>
                <w:b w:val="1"/>
                <w:bCs w:val="1"/>
                <w:color w:val="auto"/>
                <w:w w:val="88"/>
              </w:rPr>
              <w:t>Stockholders’</w:t>
            </w:r>
          </w:p>
        </w:tc>
        <w:tc>
          <w:tcPr>
            <w:tcW w:w="0" w:type="dxa"/>
            <w:vAlign w:val="bottom"/>
          </w:tcPr>
          <w:p>
            <w:pPr>
              <w:spacing w:after="0"/>
              <w:rPr>
                <w:sz w:val="1"/>
                <w:szCs w:val="1"/>
                <w:color w:val="auto"/>
              </w:rPr>
            </w:pPr>
          </w:p>
        </w:tc>
      </w:tr>
      <w:tr>
        <w:trPr>
          <w:trHeight w:val="142"/>
        </w:trPr>
        <w:tc>
          <w:tcPr>
            <w:tcW w:w="3740" w:type="dxa"/>
            <w:vAlign w:val="bottom"/>
            <w:tcBorders>
              <w:bottom w:val="single" w:sz="8" w:color="CFF0FC"/>
            </w:tcBorders>
          </w:tcPr>
          <w:p>
            <w:pPr>
              <w:spacing w:after="0"/>
              <w:rPr>
                <w:sz w:val="12"/>
                <w:szCs w:val="12"/>
                <w:color w:val="auto"/>
              </w:rPr>
            </w:pPr>
          </w:p>
        </w:tc>
        <w:tc>
          <w:tcPr>
            <w:tcW w:w="780" w:type="dxa"/>
            <w:vAlign w:val="bottom"/>
            <w:tcBorders>
              <w:top w:val="single" w:sz="8" w:color="auto"/>
              <w:bottom w:val="single" w:sz="8" w:color="auto"/>
            </w:tcBorders>
          </w:tcPr>
          <w:p>
            <w:pPr>
              <w:jc w:val="right"/>
              <w:ind w:right="153"/>
              <w:spacing w:after="0" w:line="143" w:lineRule="exact"/>
              <w:rPr>
                <w:sz w:val="20"/>
                <w:szCs w:val="20"/>
                <w:color w:val="auto"/>
              </w:rPr>
            </w:pPr>
            <w:r>
              <w:rPr>
                <w:rFonts w:ascii="Arial" w:cs="Arial" w:eastAsia="Arial" w:hAnsi="Arial"/>
                <w:sz w:val="13"/>
                <w:szCs w:val="13"/>
                <w:b w:val="1"/>
                <w:bCs w:val="1"/>
                <w:color w:val="auto"/>
              </w:rPr>
              <w:t>Shares</w:t>
            </w:r>
          </w:p>
        </w:tc>
        <w:tc>
          <w:tcPr>
            <w:tcW w:w="120" w:type="dxa"/>
            <w:vAlign w:val="bottom"/>
            <w:tcBorders>
              <w:top w:val="single" w:sz="8" w:color="auto"/>
              <w:bottom w:val="single" w:sz="8" w:color="CFF0FC"/>
            </w:tcBorders>
          </w:tcPr>
          <w:p>
            <w:pPr>
              <w:spacing w:after="0"/>
              <w:rPr>
                <w:sz w:val="12"/>
                <w:szCs w:val="12"/>
                <w:color w:val="auto"/>
              </w:rPr>
            </w:pPr>
          </w:p>
        </w:tc>
        <w:tc>
          <w:tcPr>
            <w:tcW w:w="100" w:type="dxa"/>
            <w:vAlign w:val="bottom"/>
            <w:tcBorders>
              <w:top w:val="single" w:sz="8" w:color="auto"/>
              <w:bottom w:val="single" w:sz="8" w:color="CFF0FC"/>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620" w:type="dxa"/>
            <w:vAlign w:val="bottom"/>
            <w:tcBorders>
              <w:top w:val="single" w:sz="8" w:color="auto"/>
              <w:bottom w:val="single" w:sz="8" w:color="auto"/>
            </w:tcBorders>
          </w:tcPr>
          <w:p>
            <w:pPr>
              <w:jc w:val="right"/>
              <w:ind w:right="73"/>
              <w:spacing w:after="0" w:line="143" w:lineRule="exact"/>
              <w:rPr>
                <w:sz w:val="20"/>
                <w:szCs w:val="20"/>
                <w:color w:val="auto"/>
              </w:rPr>
            </w:pPr>
            <w:r>
              <w:rPr>
                <w:rFonts w:ascii="Arial" w:cs="Arial" w:eastAsia="Arial" w:hAnsi="Arial"/>
                <w:sz w:val="13"/>
                <w:szCs w:val="13"/>
                <w:b w:val="1"/>
                <w:bCs w:val="1"/>
                <w:color w:val="auto"/>
                <w:w w:val="93"/>
              </w:rPr>
              <w:t>Amount</w:t>
            </w:r>
          </w:p>
        </w:tc>
        <w:tc>
          <w:tcPr>
            <w:tcW w:w="140" w:type="dxa"/>
            <w:vAlign w:val="bottom"/>
            <w:tcBorders>
              <w:bottom w:val="single" w:sz="8" w:color="CFF0FC"/>
              <w:right w:val="single" w:sz="8" w:color="auto"/>
            </w:tcBorders>
          </w:tcPr>
          <w:p>
            <w:pPr>
              <w:spacing w:after="0"/>
              <w:rPr>
                <w:sz w:val="12"/>
                <w:szCs w:val="12"/>
                <w:color w:val="auto"/>
              </w:rPr>
            </w:pPr>
          </w:p>
        </w:tc>
        <w:tc>
          <w:tcPr>
            <w:tcW w:w="80" w:type="dxa"/>
            <w:vAlign w:val="bottom"/>
            <w:tcBorders>
              <w:bottom w:val="single" w:sz="8" w:color="CFF0FC"/>
            </w:tcBorders>
          </w:tcPr>
          <w:p>
            <w:pPr>
              <w:spacing w:after="0"/>
              <w:rPr>
                <w:sz w:val="12"/>
                <w:szCs w:val="12"/>
                <w:color w:val="auto"/>
              </w:rPr>
            </w:pPr>
          </w:p>
        </w:tc>
        <w:tc>
          <w:tcPr>
            <w:tcW w:w="720" w:type="dxa"/>
            <w:vAlign w:val="bottom"/>
            <w:tcBorders>
              <w:top w:val="single" w:sz="8" w:color="auto"/>
              <w:bottom w:val="single" w:sz="8" w:color="auto"/>
            </w:tcBorders>
          </w:tcPr>
          <w:p>
            <w:pPr>
              <w:jc w:val="right"/>
              <w:ind w:right="113"/>
              <w:spacing w:after="0" w:line="143" w:lineRule="exact"/>
              <w:rPr>
                <w:sz w:val="20"/>
                <w:szCs w:val="20"/>
                <w:color w:val="auto"/>
              </w:rPr>
            </w:pPr>
            <w:r>
              <w:rPr>
                <w:rFonts w:ascii="Arial" w:cs="Arial" w:eastAsia="Arial" w:hAnsi="Arial"/>
                <w:sz w:val="13"/>
                <w:szCs w:val="13"/>
                <w:b w:val="1"/>
                <w:bCs w:val="1"/>
                <w:color w:val="auto"/>
              </w:rPr>
              <w:t>Shares</w:t>
            </w:r>
          </w:p>
        </w:tc>
        <w:tc>
          <w:tcPr>
            <w:tcW w:w="220" w:type="dxa"/>
            <w:vAlign w:val="bottom"/>
            <w:tcBorders>
              <w:top w:val="single" w:sz="8" w:color="auto"/>
              <w:bottom w:val="single" w:sz="8" w:color="CFF0FC"/>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620" w:type="dxa"/>
            <w:vAlign w:val="bottom"/>
            <w:tcBorders>
              <w:top w:val="single" w:sz="8" w:color="auto"/>
              <w:bottom w:val="single" w:sz="8" w:color="auto"/>
            </w:tcBorders>
          </w:tcPr>
          <w:p>
            <w:pPr>
              <w:jc w:val="right"/>
              <w:ind w:right="73"/>
              <w:spacing w:after="0" w:line="143" w:lineRule="exact"/>
              <w:rPr>
                <w:sz w:val="20"/>
                <w:szCs w:val="20"/>
                <w:color w:val="auto"/>
              </w:rPr>
            </w:pPr>
            <w:r>
              <w:rPr>
                <w:rFonts w:ascii="Arial" w:cs="Arial" w:eastAsia="Arial" w:hAnsi="Arial"/>
                <w:sz w:val="13"/>
                <w:szCs w:val="13"/>
                <w:b w:val="1"/>
                <w:bCs w:val="1"/>
                <w:color w:val="auto"/>
                <w:w w:val="93"/>
              </w:rPr>
              <w:t>Amount</w:t>
            </w:r>
          </w:p>
        </w:tc>
        <w:tc>
          <w:tcPr>
            <w:tcW w:w="280" w:type="dxa"/>
            <w:vAlign w:val="bottom"/>
            <w:tcBorders>
              <w:bottom w:val="single" w:sz="8" w:color="CFF0FC"/>
            </w:tcBorders>
          </w:tcPr>
          <w:p>
            <w:pPr>
              <w:spacing w:after="0"/>
              <w:rPr>
                <w:sz w:val="12"/>
                <w:szCs w:val="12"/>
                <w:color w:val="auto"/>
              </w:rPr>
            </w:pPr>
          </w:p>
        </w:tc>
        <w:tc>
          <w:tcPr>
            <w:tcW w:w="660" w:type="dxa"/>
            <w:vAlign w:val="bottom"/>
            <w:tcBorders>
              <w:bottom w:val="single" w:sz="8" w:color="auto"/>
            </w:tcBorders>
          </w:tcPr>
          <w:p>
            <w:pPr>
              <w:jc w:val="center"/>
              <w:ind w:right="13"/>
              <w:spacing w:after="0" w:line="143" w:lineRule="exact"/>
              <w:rPr>
                <w:sz w:val="20"/>
                <w:szCs w:val="20"/>
                <w:color w:val="auto"/>
              </w:rPr>
            </w:pPr>
            <w:r>
              <w:rPr>
                <w:rFonts w:ascii="Arial" w:cs="Arial" w:eastAsia="Arial" w:hAnsi="Arial"/>
                <w:sz w:val="13"/>
                <w:szCs w:val="13"/>
                <w:b w:val="1"/>
                <w:bCs w:val="1"/>
                <w:color w:val="auto"/>
                <w:w w:val="92"/>
              </w:rPr>
              <w:t>in Capital</w:t>
            </w:r>
          </w:p>
        </w:tc>
        <w:tc>
          <w:tcPr>
            <w:tcW w:w="220" w:type="dxa"/>
            <w:vAlign w:val="bottom"/>
            <w:tcBorders>
              <w:bottom w:val="single" w:sz="8" w:color="CFF0FC"/>
            </w:tcBorders>
          </w:tcPr>
          <w:p>
            <w:pPr>
              <w:spacing w:after="0"/>
              <w:rPr>
                <w:sz w:val="12"/>
                <w:szCs w:val="12"/>
                <w:color w:val="auto"/>
              </w:rPr>
            </w:pPr>
          </w:p>
        </w:tc>
        <w:tc>
          <w:tcPr>
            <w:tcW w:w="860" w:type="dxa"/>
            <w:vAlign w:val="bottom"/>
            <w:tcBorders>
              <w:bottom w:val="single" w:sz="8" w:color="auto"/>
            </w:tcBorders>
            <w:gridSpan w:val="2"/>
          </w:tcPr>
          <w:p>
            <w:pPr>
              <w:jc w:val="center"/>
              <w:spacing w:after="0" w:line="143" w:lineRule="exact"/>
              <w:rPr>
                <w:sz w:val="20"/>
                <w:szCs w:val="20"/>
                <w:color w:val="auto"/>
              </w:rPr>
            </w:pPr>
            <w:r>
              <w:rPr>
                <w:rFonts w:ascii="Arial" w:cs="Arial" w:eastAsia="Arial" w:hAnsi="Arial"/>
                <w:sz w:val="13"/>
                <w:szCs w:val="13"/>
                <w:b w:val="1"/>
                <w:bCs w:val="1"/>
                <w:color w:val="auto"/>
                <w:w w:val="86"/>
              </w:rPr>
              <w:t>Income (Loss)</w:t>
            </w:r>
          </w:p>
        </w:tc>
        <w:tc>
          <w:tcPr>
            <w:tcW w:w="200" w:type="dxa"/>
            <w:vAlign w:val="bottom"/>
            <w:tcBorders>
              <w:bottom w:val="single" w:sz="8" w:color="CFF0FC"/>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600" w:type="dxa"/>
            <w:vAlign w:val="bottom"/>
            <w:tcBorders>
              <w:bottom w:val="single" w:sz="8" w:color="auto"/>
            </w:tcBorders>
          </w:tcPr>
          <w:p>
            <w:pPr>
              <w:jc w:val="right"/>
              <w:ind w:right="133"/>
              <w:spacing w:after="0" w:line="143" w:lineRule="exact"/>
              <w:rPr>
                <w:sz w:val="20"/>
                <w:szCs w:val="20"/>
                <w:color w:val="auto"/>
              </w:rPr>
            </w:pPr>
            <w:r>
              <w:rPr>
                <w:rFonts w:ascii="Arial" w:cs="Arial" w:eastAsia="Arial" w:hAnsi="Arial"/>
                <w:sz w:val="13"/>
                <w:szCs w:val="13"/>
                <w:b w:val="1"/>
                <w:bCs w:val="1"/>
                <w:color w:val="auto"/>
                <w:w w:val="95"/>
              </w:rPr>
              <w:t>Deficit</w:t>
            </w:r>
          </w:p>
        </w:tc>
        <w:tc>
          <w:tcPr>
            <w:tcW w:w="220" w:type="dxa"/>
            <w:vAlign w:val="bottom"/>
            <w:tcBorders>
              <w:bottom w:val="single" w:sz="8" w:color="CFF0FC"/>
            </w:tcBorders>
          </w:tcPr>
          <w:p>
            <w:pPr>
              <w:spacing w:after="0"/>
              <w:rPr>
                <w:sz w:val="12"/>
                <w:szCs w:val="12"/>
                <w:color w:val="auto"/>
              </w:rPr>
            </w:pPr>
          </w:p>
        </w:tc>
        <w:tc>
          <w:tcPr>
            <w:tcW w:w="840" w:type="dxa"/>
            <w:vAlign w:val="bottom"/>
            <w:tcBorders>
              <w:bottom w:val="single" w:sz="8" w:color="auto"/>
            </w:tcBorders>
            <w:gridSpan w:val="2"/>
          </w:tcPr>
          <w:p>
            <w:pPr>
              <w:spacing w:after="0" w:line="143" w:lineRule="exact"/>
              <w:rPr>
                <w:sz w:val="20"/>
                <w:szCs w:val="20"/>
                <w:color w:val="auto"/>
              </w:rPr>
            </w:pPr>
            <w:r>
              <w:rPr>
                <w:rFonts w:ascii="Arial" w:cs="Arial" w:eastAsia="Arial" w:hAnsi="Arial"/>
                <w:sz w:val="13"/>
                <w:szCs w:val="13"/>
                <w:b w:val="1"/>
                <w:bCs w:val="1"/>
                <w:color w:val="auto"/>
                <w:w w:val="89"/>
              </w:rPr>
              <w:t>Equity (Deficit)</w:t>
            </w:r>
          </w:p>
        </w:tc>
        <w:tc>
          <w:tcPr>
            <w:tcW w:w="60" w:type="dxa"/>
            <w:vAlign w:val="bottom"/>
            <w:tcBorders>
              <w:bottom w:val="single" w:sz="8" w:color="CFF0FC"/>
            </w:tcBorders>
          </w:tcPr>
          <w:p>
            <w:pPr>
              <w:spacing w:after="0"/>
              <w:rPr>
                <w:sz w:val="12"/>
                <w:szCs w:val="12"/>
                <w:color w:val="auto"/>
              </w:rPr>
            </w:pPr>
          </w:p>
        </w:tc>
        <w:tc>
          <w:tcPr>
            <w:tcW w:w="0" w:type="dxa"/>
            <w:vAlign w:val="bottom"/>
          </w:tcPr>
          <w:p>
            <w:pPr>
              <w:spacing w:after="0"/>
              <w:rPr>
                <w:sz w:val="1"/>
                <w:szCs w:val="1"/>
                <w:color w:val="auto"/>
              </w:rPr>
            </w:pPr>
          </w:p>
        </w:tc>
      </w:tr>
      <w:tr>
        <w:trPr>
          <w:trHeight w:val="156"/>
        </w:trPr>
        <w:tc>
          <w:tcPr>
            <w:tcW w:w="3740" w:type="dxa"/>
            <w:vAlign w:val="bottom"/>
            <w:shd w:val="clear" w:color="auto" w:fill="CFF0FC"/>
          </w:tcPr>
          <w:p>
            <w:pPr>
              <w:spacing w:after="0" w:line="155" w:lineRule="exact"/>
              <w:rPr>
                <w:sz w:val="20"/>
                <w:szCs w:val="20"/>
                <w:color w:val="auto"/>
              </w:rPr>
            </w:pPr>
            <w:r>
              <w:rPr>
                <w:rFonts w:ascii="Arial" w:cs="Arial" w:eastAsia="Arial" w:hAnsi="Arial"/>
                <w:sz w:val="14"/>
                <w:szCs w:val="14"/>
                <w:color w:val="auto"/>
              </w:rPr>
              <w:t>Balance — January 1, 2015</w:t>
            </w:r>
          </w:p>
        </w:tc>
        <w:tc>
          <w:tcPr>
            <w:tcW w:w="780" w:type="dxa"/>
            <w:vAlign w:val="bottom"/>
            <w:shd w:val="clear" w:color="auto" w:fill="CFF0FC"/>
          </w:tcPr>
          <w:p>
            <w:pPr>
              <w:jc w:val="right"/>
              <w:spacing w:after="0" w:line="155" w:lineRule="exact"/>
              <w:rPr>
                <w:sz w:val="20"/>
                <w:szCs w:val="20"/>
                <w:color w:val="auto"/>
              </w:rPr>
            </w:pPr>
            <w:r>
              <w:rPr>
                <w:rFonts w:ascii="Arial" w:cs="Arial" w:eastAsia="Arial" w:hAnsi="Arial"/>
                <w:sz w:val="14"/>
                <w:szCs w:val="14"/>
                <w:color w:val="auto"/>
              </w:rPr>
              <w:t>18,662,525</w:t>
            </w:r>
          </w:p>
        </w:tc>
        <w:tc>
          <w:tcPr>
            <w:tcW w:w="120" w:type="dxa"/>
            <w:vAlign w:val="bottom"/>
            <w:shd w:val="clear" w:color="auto" w:fill="CFF0FC"/>
          </w:tcPr>
          <w:p>
            <w:pPr>
              <w:spacing w:after="0"/>
              <w:rPr>
                <w:sz w:val="13"/>
                <w:szCs w:val="13"/>
                <w:color w:val="auto"/>
              </w:rPr>
            </w:pPr>
          </w:p>
        </w:tc>
        <w:tc>
          <w:tcPr>
            <w:tcW w:w="200" w:type="dxa"/>
            <w:vAlign w:val="bottom"/>
            <w:gridSpan w:val="2"/>
            <w:shd w:val="clear" w:color="auto" w:fill="CFF0FC"/>
          </w:tcPr>
          <w:p>
            <w:pPr>
              <w:jc w:val="right"/>
              <w:ind w:right="40"/>
              <w:spacing w:after="0" w:line="155" w:lineRule="exact"/>
              <w:rPr>
                <w:sz w:val="20"/>
                <w:szCs w:val="20"/>
                <w:color w:val="auto"/>
              </w:rPr>
            </w:pPr>
            <w:r>
              <w:rPr>
                <w:rFonts w:ascii="Arial" w:cs="Arial" w:eastAsia="Arial" w:hAnsi="Arial"/>
                <w:sz w:val="14"/>
                <w:szCs w:val="14"/>
                <w:color w:val="auto"/>
              </w:rPr>
              <w:t>$</w:t>
            </w:r>
          </w:p>
        </w:tc>
        <w:tc>
          <w:tcPr>
            <w:tcW w:w="620" w:type="dxa"/>
            <w:vAlign w:val="bottom"/>
            <w:shd w:val="clear" w:color="auto" w:fill="CFF0FC"/>
          </w:tcPr>
          <w:p>
            <w:pPr>
              <w:jc w:val="right"/>
              <w:spacing w:after="0" w:line="155" w:lineRule="exact"/>
              <w:rPr>
                <w:sz w:val="20"/>
                <w:szCs w:val="20"/>
                <w:color w:val="auto"/>
              </w:rPr>
            </w:pPr>
            <w:r>
              <w:rPr>
                <w:rFonts w:ascii="Arial" w:cs="Arial" w:eastAsia="Arial" w:hAnsi="Arial"/>
                <w:sz w:val="14"/>
                <w:szCs w:val="14"/>
                <w:color w:val="auto"/>
              </w:rPr>
              <w:t>119,487</w:t>
            </w:r>
          </w:p>
        </w:tc>
        <w:tc>
          <w:tcPr>
            <w:tcW w:w="140" w:type="dxa"/>
            <w:vAlign w:val="bottom"/>
            <w:tcBorders>
              <w:right w:val="single" w:sz="8" w:color="auto"/>
            </w:tcBorders>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720" w:type="dxa"/>
            <w:vAlign w:val="bottom"/>
            <w:shd w:val="clear" w:color="auto" w:fill="CFF0FC"/>
          </w:tcPr>
          <w:p>
            <w:pPr>
              <w:jc w:val="right"/>
              <w:spacing w:after="0" w:line="155" w:lineRule="exact"/>
              <w:rPr>
                <w:sz w:val="20"/>
                <w:szCs w:val="20"/>
                <w:color w:val="auto"/>
              </w:rPr>
            </w:pPr>
            <w:r>
              <w:rPr>
                <w:rFonts w:ascii="Arial" w:cs="Arial" w:eastAsia="Arial" w:hAnsi="Arial"/>
                <w:sz w:val="14"/>
                <w:szCs w:val="14"/>
                <w:color w:val="auto"/>
              </w:rPr>
              <w:t>1,515,384</w:t>
            </w:r>
          </w:p>
        </w:tc>
        <w:tc>
          <w:tcPr>
            <w:tcW w:w="320" w:type="dxa"/>
            <w:vAlign w:val="bottom"/>
            <w:gridSpan w:val="2"/>
            <w:shd w:val="clear" w:color="auto" w:fill="CFF0FC"/>
          </w:tcPr>
          <w:p>
            <w:pPr>
              <w:jc w:val="right"/>
              <w:ind w:right="20"/>
              <w:spacing w:after="0" w:line="155" w:lineRule="exact"/>
              <w:rPr>
                <w:sz w:val="20"/>
                <w:szCs w:val="20"/>
                <w:color w:val="auto"/>
              </w:rPr>
            </w:pPr>
            <w:r>
              <w:rPr>
                <w:rFonts w:ascii="Arial" w:cs="Arial" w:eastAsia="Arial" w:hAnsi="Arial"/>
                <w:sz w:val="14"/>
                <w:szCs w:val="14"/>
                <w:color w:val="auto"/>
              </w:rPr>
              <w:t>$</w:t>
            </w:r>
          </w:p>
        </w:tc>
        <w:tc>
          <w:tcPr>
            <w:tcW w:w="620" w:type="dxa"/>
            <w:vAlign w:val="bottom"/>
            <w:shd w:val="clear" w:color="auto" w:fill="CFF0FC"/>
          </w:tcPr>
          <w:p>
            <w:pPr>
              <w:jc w:val="right"/>
              <w:spacing w:after="0" w:line="155" w:lineRule="exact"/>
              <w:rPr>
                <w:sz w:val="20"/>
                <w:szCs w:val="20"/>
                <w:color w:val="auto"/>
              </w:rPr>
            </w:pPr>
            <w:r>
              <w:rPr>
                <w:rFonts w:ascii="Arial" w:cs="Arial" w:eastAsia="Arial" w:hAnsi="Arial"/>
                <w:sz w:val="14"/>
                <w:szCs w:val="14"/>
                <w:color w:val="auto"/>
              </w:rPr>
              <w:t>—</w:t>
            </w:r>
          </w:p>
        </w:tc>
        <w:tc>
          <w:tcPr>
            <w:tcW w:w="280" w:type="dxa"/>
            <w:vAlign w:val="bottom"/>
            <w:tcBorders>
              <w:right w:val="single" w:sz="8" w:color="CFF0FC"/>
            </w:tcBorders>
            <w:shd w:val="clear" w:color="auto" w:fill="CFF0FC"/>
          </w:tcPr>
          <w:p>
            <w:pPr>
              <w:jc w:val="right"/>
              <w:spacing w:after="0" w:line="155" w:lineRule="exact"/>
              <w:rPr>
                <w:sz w:val="20"/>
                <w:szCs w:val="20"/>
                <w:color w:val="auto"/>
              </w:rPr>
            </w:pPr>
            <w:r>
              <w:rPr>
                <w:rFonts w:ascii="Arial" w:cs="Arial" w:eastAsia="Arial" w:hAnsi="Arial"/>
                <w:sz w:val="14"/>
                <w:szCs w:val="14"/>
                <w:color w:val="auto"/>
              </w:rPr>
              <w:t>$</w:t>
            </w:r>
          </w:p>
        </w:tc>
        <w:tc>
          <w:tcPr>
            <w:tcW w:w="660" w:type="dxa"/>
            <w:vAlign w:val="bottom"/>
            <w:shd w:val="clear" w:color="auto" w:fill="CFF0FC"/>
          </w:tcPr>
          <w:p>
            <w:pPr>
              <w:jc w:val="right"/>
              <w:spacing w:after="0" w:line="155" w:lineRule="exact"/>
              <w:rPr>
                <w:sz w:val="20"/>
                <w:szCs w:val="20"/>
                <w:color w:val="auto"/>
              </w:rPr>
            </w:pPr>
            <w:r>
              <w:rPr>
                <w:rFonts w:ascii="Arial" w:cs="Arial" w:eastAsia="Arial" w:hAnsi="Arial"/>
                <w:sz w:val="14"/>
                <w:szCs w:val="14"/>
                <w:color w:val="auto"/>
              </w:rPr>
              <w:t>2,021</w:t>
            </w:r>
          </w:p>
        </w:tc>
        <w:tc>
          <w:tcPr>
            <w:tcW w:w="380" w:type="dxa"/>
            <w:vAlign w:val="bottom"/>
            <w:gridSpan w:val="2"/>
            <w:shd w:val="clear" w:color="auto" w:fill="CFF0FC"/>
          </w:tcPr>
          <w:p>
            <w:pPr>
              <w:jc w:val="right"/>
              <w:ind w:right="17"/>
              <w:spacing w:after="0" w:line="155" w:lineRule="exact"/>
              <w:rPr>
                <w:sz w:val="20"/>
                <w:szCs w:val="20"/>
                <w:color w:val="auto"/>
              </w:rPr>
            </w:pPr>
            <w:r>
              <w:rPr>
                <w:rFonts w:ascii="Arial" w:cs="Arial" w:eastAsia="Arial" w:hAnsi="Arial"/>
                <w:sz w:val="14"/>
                <w:szCs w:val="14"/>
                <w:color w:val="auto"/>
              </w:rPr>
              <w:t>$</w:t>
            </w:r>
          </w:p>
        </w:tc>
        <w:tc>
          <w:tcPr>
            <w:tcW w:w="900" w:type="dxa"/>
            <w:vAlign w:val="bottom"/>
            <w:gridSpan w:val="2"/>
            <w:shd w:val="clear" w:color="auto" w:fill="CFF0FC"/>
          </w:tcPr>
          <w:p>
            <w:pPr>
              <w:jc w:val="right"/>
              <w:ind w:right="220"/>
              <w:spacing w:after="0" w:line="155" w:lineRule="exact"/>
              <w:rPr>
                <w:sz w:val="20"/>
                <w:szCs w:val="20"/>
                <w:color w:val="auto"/>
              </w:rPr>
            </w:pPr>
            <w:r>
              <w:rPr>
                <w:rFonts w:ascii="Arial" w:cs="Arial" w:eastAsia="Arial" w:hAnsi="Arial"/>
                <w:sz w:val="14"/>
                <w:szCs w:val="14"/>
                <w:color w:val="auto"/>
              </w:rPr>
              <w:t>—</w:t>
            </w:r>
          </w:p>
        </w:tc>
        <w:tc>
          <w:tcPr>
            <w:tcW w:w="140" w:type="dxa"/>
            <w:vAlign w:val="bottom"/>
            <w:shd w:val="clear" w:color="auto" w:fill="CFF0FC"/>
          </w:tcPr>
          <w:p>
            <w:pPr>
              <w:spacing w:after="0" w:line="155" w:lineRule="exact"/>
              <w:rPr>
                <w:sz w:val="20"/>
                <w:szCs w:val="20"/>
                <w:color w:val="auto"/>
              </w:rPr>
            </w:pPr>
            <w:r>
              <w:rPr>
                <w:rFonts w:ascii="Arial" w:cs="Arial" w:eastAsia="Arial" w:hAnsi="Arial"/>
                <w:sz w:val="14"/>
                <w:szCs w:val="14"/>
                <w:color w:val="auto"/>
              </w:rPr>
              <w:t>$</w:t>
            </w:r>
          </w:p>
        </w:tc>
        <w:tc>
          <w:tcPr>
            <w:tcW w:w="820" w:type="dxa"/>
            <w:vAlign w:val="bottom"/>
            <w:gridSpan w:val="2"/>
            <w:shd w:val="clear" w:color="auto" w:fill="CFF0FC"/>
          </w:tcPr>
          <w:p>
            <w:pPr>
              <w:jc w:val="right"/>
              <w:ind w:right="180"/>
              <w:spacing w:after="0" w:line="155" w:lineRule="exact"/>
              <w:rPr>
                <w:sz w:val="20"/>
                <w:szCs w:val="20"/>
                <w:color w:val="auto"/>
              </w:rPr>
            </w:pPr>
            <w:r>
              <w:rPr>
                <w:rFonts w:ascii="Arial" w:cs="Arial" w:eastAsia="Arial" w:hAnsi="Arial"/>
                <w:sz w:val="14"/>
                <w:szCs w:val="14"/>
                <w:color w:val="auto"/>
              </w:rPr>
              <w:t>(101,828)</w:t>
            </w:r>
          </w:p>
        </w:tc>
        <w:tc>
          <w:tcPr>
            <w:tcW w:w="160" w:type="dxa"/>
            <w:vAlign w:val="bottom"/>
            <w:shd w:val="clear" w:color="auto" w:fill="CFF0FC"/>
          </w:tcPr>
          <w:p>
            <w:pPr>
              <w:spacing w:after="0" w:line="155" w:lineRule="exact"/>
              <w:rPr>
                <w:sz w:val="20"/>
                <w:szCs w:val="20"/>
                <w:color w:val="auto"/>
              </w:rPr>
            </w:pPr>
            <w:r>
              <w:rPr>
                <w:rFonts w:ascii="Arial" w:cs="Arial" w:eastAsia="Arial" w:hAnsi="Arial"/>
                <w:sz w:val="14"/>
                <w:szCs w:val="14"/>
                <w:color w:val="auto"/>
              </w:rPr>
              <w:t>$</w:t>
            </w:r>
          </w:p>
        </w:tc>
        <w:tc>
          <w:tcPr>
            <w:tcW w:w="740" w:type="dxa"/>
            <w:vAlign w:val="bottom"/>
            <w:gridSpan w:val="2"/>
            <w:shd w:val="clear" w:color="auto" w:fill="CFF0FC"/>
          </w:tcPr>
          <w:p>
            <w:pPr>
              <w:jc w:val="right"/>
              <w:ind w:right="20"/>
              <w:spacing w:after="0" w:line="155" w:lineRule="exact"/>
              <w:rPr>
                <w:sz w:val="20"/>
                <w:szCs w:val="20"/>
                <w:color w:val="auto"/>
              </w:rPr>
            </w:pPr>
            <w:r>
              <w:rPr>
                <w:rFonts w:ascii="Arial" w:cs="Arial" w:eastAsia="Arial" w:hAnsi="Arial"/>
                <w:sz w:val="14"/>
                <w:szCs w:val="14"/>
                <w:color w:val="auto"/>
              </w:rPr>
              <w:t>(99,807)</w:t>
            </w:r>
          </w:p>
        </w:tc>
        <w:tc>
          <w:tcPr>
            <w:tcW w:w="0" w:type="dxa"/>
            <w:vAlign w:val="bottom"/>
          </w:tcPr>
          <w:p>
            <w:pPr>
              <w:spacing w:after="0"/>
              <w:rPr>
                <w:sz w:val="1"/>
                <w:szCs w:val="1"/>
                <w:color w:val="auto"/>
              </w:rPr>
            </w:pPr>
          </w:p>
        </w:tc>
      </w:tr>
      <w:tr>
        <w:trPr>
          <w:trHeight w:val="151"/>
        </w:trPr>
        <w:tc>
          <w:tcPr>
            <w:tcW w:w="3740" w:type="dxa"/>
            <w:vAlign w:val="bottom"/>
          </w:tcPr>
          <w:p>
            <w:pPr>
              <w:ind w:left="260"/>
              <w:spacing w:after="0" w:line="151" w:lineRule="exact"/>
              <w:rPr>
                <w:sz w:val="20"/>
                <w:szCs w:val="20"/>
                <w:color w:val="auto"/>
              </w:rPr>
            </w:pPr>
            <w:r>
              <w:rPr>
                <w:rFonts w:ascii="Arial" w:cs="Arial" w:eastAsia="Arial" w:hAnsi="Arial"/>
                <w:sz w:val="14"/>
                <w:szCs w:val="14"/>
                <w:color w:val="auto"/>
              </w:rPr>
              <w:t>Issuance of common stock pursuant to stock option</w:t>
            </w:r>
          </w:p>
        </w:tc>
        <w:tc>
          <w:tcPr>
            <w:tcW w:w="7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40" w:type="dxa"/>
            <w:vAlign w:val="bottom"/>
            <w:tcBorders>
              <w:right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9"/>
        </w:trPr>
        <w:tc>
          <w:tcPr>
            <w:tcW w:w="3740" w:type="dxa"/>
            <w:vAlign w:val="bottom"/>
          </w:tcPr>
          <w:p>
            <w:pPr>
              <w:ind w:left="360"/>
              <w:spacing w:after="0" w:line="159" w:lineRule="exact"/>
              <w:rPr>
                <w:sz w:val="20"/>
                <w:szCs w:val="20"/>
                <w:color w:val="auto"/>
              </w:rPr>
            </w:pPr>
            <w:r>
              <w:rPr>
                <w:rFonts w:ascii="Arial" w:cs="Arial" w:eastAsia="Arial" w:hAnsi="Arial"/>
                <w:sz w:val="14"/>
                <w:szCs w:val="14"/>
                <w:color w:val="auto"/>
              </w:rPr>
              <w:t>exercises of vested options</w:t>
            </w:r>
          </w:p>
        </w:tc>
        <w:tc>
          <w:tcPr>
            <w:tcW w:w="900" w:type="dxa"/>
            <w:vAlign w:val="bottom"/>
            <w:gridSpan w:val="2"/>
          </w:tcPr>
          <w:p>
            <w:pPr>
              <w:jc w:val="right"/>
              <w:ind w:right="140"/>
              <w:spacing w:after="0" w:line="159"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60" w:type="dxa"/>
            <w:vAlign w:val="bottom"/>
            <w:tcBorders>
              <w:right w:val="single" w:sz="8" w:color="auto"/>
            </w:tcBorders>
            <w:gridSpan w:val="2"/>
          </w:tcPr>
          <w:p>
            <w:pPr>
              <w:jc w:val="right"/>
              <w:ind w:right="140"/>
              <w:spacing w:after="0" w:line="15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3"/>
                <w:szCs w:val="13"/>
                <w:color w:val="auto"/>
              </w:rPr>
            </w:pPr>
          </w:p>
        </w:tc>
        <w:tc>
          <w:tcPr>
            <w:tcW w:w="720" w:type="dxa"/>
            <w:vAlign w:val="bottom"/>
          </w:tcPr>
          <w:p>
            <w:pPr>
              <w:jc w:val="right"/>
              <w:spacing w:after="0" w:line="159" w:lineRule="exact"/>
              <w:rPr>
                <w:sz w:val="20"/>
                <w:szCs w:val="20"/>
                <w:color w:val="auto"/>
              </w:rPr>
            </w:pPr>
            <w:r>
              <w:rPr>
                <w:rFonts w:ascii="Arial" w:cs="Arial" w:eastAsia="Arial" w:hAnsi="Arial"/>
                <w:sz w:val="14"/>
                <w:szCs w:val="14"/>
                <w:color w:val="auto"/>
              </w:rPr>
              <w:t>79,893</w:t>
            </w:r>
          </w:p>
        </w:tc>
        <w:tc>
          <w:tcPr>
            <w:tcW w:w="2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jc w:val="right"/>
              <w:spacing w:after="0" w:line="159" w:lineRule="exact"/>
              <w:rPr>
                <w:sz w:val="20"/>
                <w:szCs w:val="20"/>
                <w:color w:val="auto"/>
              </w:rPr>
            </w:pPr>
            <w:r>
              <w:rPr>
                <w:rFonts w:ascii="Arial" w:cs="Arial" w:eastAsia="Arial" w:hAnsi="Arial"/>
                <w:sz w:val="14"/>
                <w:szCs w:val="14"/>
                <w:color w:val="auto"/>
              </w:rPr>
              <w:t>—</w:t>
            </w:r>
          </w:p>
        </w:tc>
        <w:tc>
          <w:tcPr>
            <w:tcW w:w="280" w:type="dxa"/>
            <w:vAlign w:val="bottom"/>
          </w:tcPr>
          <w:p>
            <w:pPr>
              <w:spacing w:after="0"/>
              <w:rPr>
                <w:sz w:val="13"/>
                <w:szCs w:val="13"/>
                <w:color w:val="auto"/>
              </w:rPr>
            </w:pPr>
          </w:p>
        </w:tc>
        <w:tc>
          <w:tcPr>
            <w:tcW w:w="660" w:type="dxa"/>
            <w:vAlign w:val="bottom"/>
          </w:tcPr>
          <w:p>
            <w:pPr>
              <w:jc w:val="right"/>
              <w:spacing w:after="0" w:line="159" w:lineRule="exact"/>
              <w:rPr>
                <w:sz w:val="20"/>
                <w:szCs w:val="20"/>
                <w:color w:val="auto"/>
              </w:rPr>
            </w:pPr>
            <w:r>
              <w:rPr>
                <w:rFonts w:ascii="Arial" w:cs="Arial" w:eastAsia="Arial" w:hAnsi="Arial"/>
                <w:sz w:val="14"/>
                <w:szCs w:val="14"/>
                <w:color w:val="auto"/>
              </w:rPr>
              <w:t>111</w:t>
            </w:r>
          </w:p>
        </w:tc>
        <w:tc>
          <w:tcPr>
            <w:tcW w:w="2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900" w:type="dxa"/>
            <w:vAlign w:val="bottom"/>
            <w:gridSpan w:val="2"/>
          </w:tcPr>
          <w:p>
            <w:pPr>
              <w:jc w:val="right"/>
              <w:ind w:right="220"/>
              <w:spacing w:after="0" w:line="159" w:lineRule="exact"/>
              <w:rPr>
                <w:sz w:val="20"/>
                <w:szCs w:val="20"/>
                <w:color w:val="auto"/>
              </w:rPr>
            </w:pPr>
            <w:r>
              <w:rPr>
                <w:rFonts w:ascii="Arial" w:cs="Arial" w:eastAsia="Arial" w:hAnsi="Arial"/>
                <w:sz w:val="14"/>
                <w:szCs w:val="14"/>
                <w:color w:val="auto"/>
              </w:rPr>
              <w:t>—</w:t>
            </w:r>
          </w:p>
        </w:tc>
        <w:tc>
          <w:tcPr>
            <w:tcW w:w="140" w:type="dxa"/>
            <w:vAlign w:val="bottom"/>
          </w:tcPr>
          <w:p>
            <w:pPr>
              <w:spacing w:after="0"/>
              <w:rPr>
                <w:sz w:val="13"/>
                <w:szCs w:val="13"/>
                <w:color w:val="auto"/>
              </w:rPr>
            </w:pPr>
          </w:p>
        </w:tc>
        <w:tc>
          <w:tcPr>
            <w:tcW w:w="820" w:type="dxa"/>
            <w:vAlign w:val="bottom"/>
            <w:gridSpan w:val="2"/>
          </w:tcPr>
          <w:p>
            <w:pPr>
              <w:jc w:val="right"/>
              <w:ind w:right="240"/>
              <w:spacing w:after="0" w:line="159" w:lineRule="exact"/>
              <w:rPr>
                <w:sz w:val="20"/>
                <w:szCs w:val="20"/>
                <w:color w:val="auto"/>
              </w:rPr>
            </w:pPr>
            <w:r>
              <w:rPr>
                <w:rFonts w:ascii="Arial" w:cs="Arial" w:eastAsia="Arial" w:hAnsi="Arial"/>
                <w:sz w:val="14"/>
                <w:szCs w:val="14"/>
                <w:color w:val="auto"/>
              </w:rPr>
              <w:t>—</w:t>
            </w:r>
          </w:p>
        </w:tc>
        <w:tc>
          <w:tcPr>
            <w:tcW w:w="160" w:type="dxa"/>
            <w:vAlign w:val="bottom"/>
          </w:tcPr>
          <w:p>
            <w:pPr>
              <w:spacing w:after="0"/>
              <w:rPr>
                <w:sz w:val="13"/>
                <w:szCs w:val="13"/>
                <w:color w:val="auto"/>
              </w:rPr>
            </w:pPr>
          </w:p>
        </w:tc>
        <w:tc>
          <w:tcPr>
            <w:tcW w:w="680" w:type="dxa"/>
            <w:vAlign w:val="bottom"/>
          </w:tcPr>
          <w:p>
            <w:pPr>
              <w:jc w:val="right"/>
              <w:spacing w:after="0" w:line="159" w:lineRule="exact"/>
              <w:rPr>
                <w:sz w:val="20"/>
                <w:szCs w:val="20"/>
                <w:color w:val="auto"/>
              </w:rPr>
            </w:pPr>
            <w:r>
              <w:rPr>
                <w:rFonts w:ascii="Arial" w:cs="Arial" w:eastAsia="Arial" w:hAnsi="Arial"/>
                <w:sz w:val="14"/>
                <w:szCs w:val="14"/>
                <w:color w:val="auto"/>
              </w:rPr>
              <w:t>111</w:t>
            </w: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1"/>
        </w:trPr>
        <w:tc>
          <w:tcPr>
            <w:tcW w:w="3740" w:type="dxa"/>
            <w:vAlign w:val="bottom"/>
            <w:shd w:val="clear" w:color="auto" w:fill="CFF0FC"/>
          </w:tcPr>
          <w:p>
            <w:pPr>
              <w:ind w:left="260"/>
              <w:spacing w:after="0" w:line="151" w:lineRule="exact"/>
              <w:rPr>
                <w:sz w:val="20"/>
                <w:szCs w:val="20"/>
                <w:color w:val="auto"/>
              </w:rPr>
            </w:pPr>
            <w:r>
              <w:rPr>
                <w:rFonts w:ascii="Arial" w:cs="Arial" w:eastAsia="Arial" w:hAnsi="Arial"/>
                <w:sz w:val="14"/>
                <w:szCs w:val="14"/>
                <w:color w:val="auto"/>
                <w:w w:val="97"/>
              </w:rPr>
              <w:t>Issuance of Series C convertible preferred stock for cash,</w:t>
            </w:r>
          </w:p>
        </w:tc>
        <w:tc>
          <w:tcPr>
            <w:tcW w:w="78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620" w:type="dxa"/>
            <w:vAlign w:val="bottom"/>
            <w:shd w:val="clear" w:color="auto" w:fill="CFF0FC"/>
          </w:tcPr>
          <w:p>
            <w:pPr>
              <w:spacing w:after="0"/>
              <w:rPr>
                <w:sz w:val="13"/>
                <w:szCs w:val="13"/>
                <w:color w:val="auto"/>
              </w:rPr>
            </w:pPr>
          </w:p>
        </w:tc>
        <w:tc>
          <w:tcPr>
            <w:tcW w:w="140" w:type="dxa"/>
            <w:vAlign w:val="bottom"/>
            <w:tcBorders>
              <w:right w:val="single" w:sz="8" w:color="auto"/>
            </w:tcBorders>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720" w:type="dxa"/>
            <w:vAlign w:val="bottom"/>
            <w:shd w:val="clear" w:color="auto" w:fill="CFF0FC"/>
          </w:tcPr>
          <w:p>
            <w:pPr>
              <w:spacing w:after="0"/>
              <w:rPr>
                <w:sz w:val="13"/>
                <w:szCs w:val="13"/>
                <w:color w:val="auto"/>
              </w:rPr>
            </w:pPr>
          </w:p>
        </w:tc>
        <w:tc>
          <w:tcPr>
            <w:tcW w:w="22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620" w:type="dxa"/>
            <w:vAlign w:val="bottom"/>
            <w:shd w:val="clear" w:color="auto" w:fill="CFF0FC"/>
          </w:tcPr>
          <w:p>
            <w:pPr>
              <w:spacing w:after="0"/>
              <w:rPr>
                <w:sz w:val="13"/>
                <w:szCs w:val="13"/>
                <w:color w:val="auto"/>
              </w:rPr>
            </w:pPr>
          </w:p>
        </w:tc>
        <w:tc>
          <w:tcPr>
            <w:tcW w:w="280" w:type="dxa"/>
            <w:vAlign w:val="bottom"/>
            <w:tcBorders>
              <w:right w:val="single" w:sz="8" w:color="CFF0FC"/>
            </w:tcBorders>
            <w:shd w:val="clear" w:color="auto" w:fill="CFF0FC"/>
          </w:tcPr>
          <w:p>
            <w:pPr>
              <w:spacing w:after="0"/>
              <w:rPr>
                <w:sz w:val="13"/>
                <w:szCs w:val="13"/>
                <w:color w:val="auto"/>
              </w:rPr>
            </w:pPr>
          </w:p>
        </w:tc>
        <w:tc>
          <w:tcPr>
            <w:tcW w:w="660" w:type="dxa"/>
            <w:vAlign w:val="bottom"/>
            <w:shd w:val="clear" w:color="auto" w:fill="CFF0FC"/>
          </w:tcPr>
          <w:p>
            <w:pPr>
              <w:spacing w:after="0"/>
              <w:rPr>
                <w:sz w:val="13"/>
                <w:szCs w:val="13"/>
                <w:color w:val="auto"/>
              </w:rPr>
            </w:pPr>
          </w:p>
        </w:tc>
        <w:tc>
          <w:tcPr>
            <w:tcW w:w="220" w:type="dxa"/>
            <w:vAlign w:val="bottom"/>
            <w:shd w:val="clear" w:color="auto" w:fill="CFF0FC"/>
          </w:tcPr>
          <w:p>
            <w:pPr>
              <w:spacing w:after="0"/>
              <w:rPr>
                <w:sz w:val="13"/>
                <w:szCs w:val="13"/>
                <w:color w:val="auto"/>
              </w:rPr>
            </w:pPr>
          </w:p>
        </w:tc>
        <w:tc>
          <w:tcPr>
            <w:tcW w:w="160" w:type="dxa"/>
            <w:vAlign w:val="bottom"/>
            <w:shd w:val="clear" w:color="auto" w:fill="CFF0FC"/>
          </w:tcPr>
          <w:p>
            <w:pPr>
              <w:spacing w:after="0"/>
              <w:rPr>
                <w:sz w:val="13"/>
                <w:szCs w:val="13"/>
                <w:color w:val="auto"/>
              </w:rPr>
            </w:pPr>
          </w:p>
        </w:tc>
        <w:tc>
          <w:tcPr>
            <w:tcW w:w="700" w:type="dxa"/>
            <w:vAlign w:val="bottom"/>
            <w:shd w:val="clear" w:color="auto" w:fill="CFF0FC"/>
          </w:tcPr>
          <w:p>
            <w:pPr>
              <w:spacing w:after="0"/>
              <w:rPr>
                <w:sz w:val="13"/>
                <w:szCs w:val="13"/>
                <w:color w:val="auto"/>
              </w:rPr>
            </w:pPr>
          </w:p>
        </w:tc>
        <w:tc>
          <w:tcPr>
            <w:tcW w:w="200" w:type="dxa"/>
            <w:vAlign w:val="bottom"/>
            <w:shd w:val="clear" w:color="auto" w:fill="CFF0FC"/>
          </w:tcPr>
          <w:p>
            <w:pPr>
              <w:spacing w:after="0"/>
              <w:rPr>
                <w:sz w:val="13"/>
                <w:szCs w:val="13"/>
                <w:color w:val="auto"/>
              </w:rPr>
            </w:pPr>
          </w:p>
        </w:tc>
        <w:tc>
          <w:tcPr>
            <w:tcW w:w="140" w:type="dxa"/>
            <w:vAlign w:val="bottom"/>
            <w:shd w:val="clear" w:color="auto" w:fill="CFF0FC"/>
          </w:tcPr>
          <w:p>
            <w:pPr>
              <w:spacing w:after="0"/>
              <w:rPr>
                <w:sz w:val="13"/>
                <w:szCs w:val="13"/>
                <w:color w:val="auto"/>
              </w:rPr>
            </w:pPr>
          </w:p>
        </w:tc>
        <w:tc>
          <w:tcPr>
            <w:tcW w:w="600" w:type="dxa"/>
            <w:vAlign w:val="bottom"/>
            <w:shd w:val="clear" w:color="auto" w:fill="CFF0FC"/>
          </w:tcPr>
          <w:p>
            <w:pPr>
              <w:spacing w:after="0"/>
              <w:rPr>
                <w:sz w:val="13"/>
                <w:szCs w:val="13"/>
                <w:color w:val="auto"/>
              </w:rPr>
            </w:pPr>
          </w:p>
        </w:tc>
        <w:tc>
          <w:tcPr>
            <w:tcW w:w="220" w:type="dxa"/>
            <w:vAlign w:val="bottom"/>
            <w:shd w:val="clear" w:color="auto" w:fill="CFF0FC"/>
          </w:tcPr>
          <w:p>
            <w:pPr>
              <w:spacing w:after="0"/>
              <w:rPr>
                <w:sz w:val="13"/>
                <w:szCs w:val="13"/>
                <w:color w:val="auto"/>
              </w:rPr>
            </w:pPr>
          </w:p>
        </w:tc>
        <w:tc>
          <w:tcPr>
            <w:tcW w:w="160" w:type="dxa"/>
            <w:vAlign w:val="bottom"/>
            <w:shd w:val="clear" w:color="auto" w:fill="CFF0FC"/>
          </w:tcPr>
          <w:p>
            <w:pPr>
              <w:spacing w:after="0"/>
              <w:rPr>
                <w:sz w:val="13"/>
                <w:szCs w:val="13"/>
                <w:color w:val="auto"/>
              </w:rPr>
            </w:pPr>
          </w:p>
        </w:tc>
        <w:tc>
          <w:tcPr>
            <w:tcW w:w="680" w:type="dxa"/>
            <w:vAlign w:val="bottom"/>
            <w:shd w:val="clear" w:color="auto" w:fill="CFF0FC"/>
          </w:tcPr>
          <w:p>
            <w:pPr>
              <w:spacing w:after="0"/>
              <w:rPr>
                <w:sz w:val="13"/>
                <w:szCs w:val="13"/>
                <w:color w:val="auto"/>
              </w:rPr>
            </w:pPr>
          </w:p>
        </w:tc>
        <w:tc>
          <w:tcPr>
            <w:tcW w:w="6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59"/>
        </w:trPr>
        <w:tc>
          <w:tcPr>
            <w:tcW w:w="3740" w:type="dxa"/>
            <w:vAlign w:val="bottom"/>
            <w:shd w:val="clear" w:color="auto" w:fill="CFF0FC"/>
          </w:tcPr>
          <w:p>
            <w:pPr>
              <w:ind w:left="360"/>
              <w:spacing w:after="0" w:line="159" w:lineRule="exact"/>
              <w:rPr>
                <w:sz w:val="20"/>
                <w:szCs w:val="20"/>
                <w:color w:val="auto"/>
              </w:rPr>
            </w:pPr>
            <w:r>
              <w:rPr>
                <w:rFonts w:ascii="Arial" w:cs="Arial" w:eastAsia="Arial" w:hAnsi="Arial"/>
                <w:sz w:val="14"/>
                <w:szCs w:val="14"/>
                <w:color w:val="auto"/>
              </w:rPr>
              <w:t>net of issuance costs of $646</w:t>
            </w:r>
          </w:p>
        </w:tc>
        <w:tc>
          <w:tcPr>
            <w:tcW w:w="780" w:type="dxa"/>
            <w:vAlign w:val="bottom"/>
            <w:shd w:val="clear" w:color="auto" w:fill="CFF0FC"/>
          </w:tcPr>
          <w:p>
            <w:pPr>
              <w:jc w:val="right"/>
              <w:spacing w:after="0" w:line="159" w:lineRule="exact"/>
              <w:rPr>
                <w:sz w:val="20"/>
                <w:szCs w:val="20"/>
                <w:color w:val="auto"/>
              </w:rPr>
            </w:pPr>
            <w:r>
              <w:rPr>
                <w:rFonts w:ascii="Arial" w:cs="Arial" w:eastAsia="Arial" w:hAnsi="Arial"/>
                <w:sz w:val="14"/>
                <w:szCs w:val="14"/>
                <w:color w:val="auto"/>
              </w:rPr>
              <w:t>674,252</w:t>
            </w:r>
          </w:p>
        </w:tc>
        <w:tc>
          <w:tcPr>
            <w:tcW w:w="12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620" w:type="dxa"/>
            <w:vAlign w:val="bottom"/>
            <w:shd w:val="clear" w:color="auto" w:fill="CFF0FC"/>
          </w:tcPr>
          <w:p>
            <w:pPr>
              <w:jc w:val="right"/>
              <w:spacing w:after="0" w:line="159" w:lineRule="exact"/>
              <w:rPr>
                <w:sz w:val="20"/>
                <w:szCs w:val="20"/>
                <w:color w:val="auto"/>
              </w:rPr>
            </w:pPr>
            <w:r>
              <w:rPr>
                <w:rFonts w:ascii="Arial" w:cs="Arial" w:eastAsia="Arial" w:hAnsi="Arial"/>
                <w:sz w:val="14"/>
                <w:szCs w:val="14"/>
                <w:color w:val="auto"/>
              </w:rPr>
              <w:t>4,175</w:t>
            </w:r>
          </w:p>
        </w:tc>
        <w:tc>
          <w:tcPr>
            <w:tcW w:w="140" w:type="dxa"/>
            <w:vAlign w:val="bottom"/>
            <w:tcBorders>
              <w:right w:val="single" w:sz="8" w:color="auto"/>
            </w:tcBorders>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720" w:type="dxa"/>
            <w:vAlign w:val="bottom"/>
            <w:shd w:val="clear" w:color="auto" w:fill="CFF0FC"/>
          </w:tcPr>
          <w:p>
            <w:pPr>
              <w:jc w:val="right"/>
              <w:spacing w:after="0" w:line="159" w:lineRule="exact"/>
              <w:rPr>
                <w:sz w:val="20"/>
                <w:szCs w:val="20"/>
                <w:color w:val="auto"/>
              </w:rPr>
            </w:pPr>
            <w:r>
              <w:rPr>
                <w:rFonts w:ascii="Arial" w:cs="Arial" w:eastAsia="Arial" w:hAnsi="Arial"/>
                <w:sz w:val="14"/>
                <w:szCs w:val="14"/>
                <w:color w:val="auto"/>
              </w:rPr>
              <w:t>—</w:t>
            </w:r>
          </w:p>
        </w:tc>
        <w:tc>
          <w:tcPr>
            <w:tcW w:w="22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620" w:type="dxa"/>
            <w:vAlign w:val="bottom"/>
            <w:shd w:val="clear" w:color="auto" w:fill="CFF0FC"/>
          </w:tcPr>
          <w:p>
            <w:pPr>
              <w:jc w:val="right"/>
              <w:spacing w:after="0" w:line="159" w:lineRule="exact"/>
              <w:rPr>
                <w:sz w:val="20"/>
                <w:szCs w:val="20"/>
                <w:color w:val="auto"/>
              </w:rPr>
            </w:pPr>
            <w:r>
              <w:rPr>
                <w:rFonts w:ascii="Arial" w:cs="Arial" w:eastAsia="Arial" w:hAnsi="Arial"/>
                <w:sz w:val="14"/>
                <w:szCs w:val="14"/>
                <w:color w:val="auto"/>
              </w:rPr>
              <w:t>—</w:t>
            </w:r>
          </w:p>
        </w:tc>
        <w:tc>
          <w:tcPr>
            <w:tcW w:w="280" w:type="dxa"/>
            <w:vAlign w:val="bottom"/>
            <w:tcBorders>
              <w:right w:val="single" w:sz="8" w:color="CFF0FC"/>
            </w:tcBorders>
            <w:shd w:val="clear" w:color="auto" w:fill="CFF0FC"/>
          </w:tcPr>
          <w:p>
            <w:pPr>
              <w:spacing w:after="0"/>
              <w:rPr>
                <w:sz w:val="13"/>
                <w:szCs w:val="13"/>
                <w:color w:val="auto"/>
              </w:rPr>
            </w:pPr>
          </w:p>
        </w:tc>
        <w:tc>
          <w:tcPr>
            <w:tcW w:w="660" w:type="dxa"/>
            <w:vAlign w:val="bottom"/>
            <w:shd w:val="clear" w:color="auto" w:fill="CFF0FC"/>
          </w:tcPr>
          <w:p>
            <w:pPr>
              <w:jc w:val="right"/>
              <w:spacing w:after="0" w:line="159" w:lineRule="exact"/>
              <w:rPr>
                <w:sz w:val="20"/>
                <w:szCs w:val="20"/>
                <w:color w:val="auto"/>
              </w:rPr>
            </w:pPr>
            <w:r>
              <w:rPr>
                <w:rFonts w:ascii="Arial" w:cs="Arial" w:eastAsia="Arial" w:hAnsi="Arial"/>
                <w:sz w:val="14"/>
                <w:szCs w:val="14"/>
                <w:color w:val="auto"/>
              </w:rPr>
              <w:t>—</w:t>
            </w:r>
          </w:p>
        </w:tc>
        <w:tc>
          <w:tcPr>
            <w:tcW w:w="220" w:type="dxa"/>
            <w:vAlign w:val="bottom"/>
            <w:shd w:val="clear" w:color="auto" w:fill="CFF0FC"/>
          </w:tcPr>
          <w:p>
            <w:pPr>
              <w:spacing w:after="0"/>
              <w:rPr>
                <w:sz w:val="13"/>
                <w:szCs w:val="13"/>
                <w:color w:val="auto"/>
              </w:rPr>
            </w:pPr>
          </w:p>
        </w:tc>
        <w:tc>
          <w:tcPr>
            <w:tcW w:w="160" w:type="dxa"/>
            <w:vAlign w:val="bottom"/>
            <w:shd w:val="clear" w:color="auto" w:fill="CFF0FC"/>
          </w:tcPr>
          <w:p>
            <w:pPr>
              <w:spacing w:after="0"/>
              <w:rPr>
                <w:sz w:val="13"/>
                <w:szCs w:val="13"/>
                <w:color w:val="auto"/>
              </w:rPr>
            </w:pPr>
          </w:p>
        </w:tc>
        <w:tc>
          <w:tcPr>
            <w:tcW w:w="900" w:type="dxa"/>
            <w:vAlign w:val="bottom"/>
            <w:gridSpan w:val="2"/>
            <w:shd w:val="clear" w:color="auto" w:fill="CFF0FC"/>
          </w:tcPr>
          <w:p>
            <w:pPr>
              <w:jc w:val="right"/>
              <w:ind w:right="220"/>
              <w:spacing w:after="0" w:line="159" w:lineRule="exact"/>
              <w:rPr>
                <w:sz w:val="20"/>
                <w:szCs w:val="20"/>
                <w:color w:val="auto"/>
              </w:rPr>
            </w:pPr>
            <w:r>
              <w:rPr>
                <w:rFonts w:ascii="Arial" w:cs="Arial" w:eastAsia="Arial" w:hAnsi="Arial"/>
                <w:sz w:val="14"/>
                <w:szCs w:val="14"/>
                <w:color w:val="auto"/>
              </w:rPr>
              <w:t>—</w:t>
            </w:r>
          </w:p>
        </w:tc>
        <w:tc>
          <w:tcPr>
            <w:tcW w:w="140" w:type="dxa"/>
            <w:vAlign w:val="bottom"/>
            <w:shd w:val="clear" w:color="auto" w:fill="CFF0FC"/>
          </w:tcPr>
          <w:p>
            <w:pPr>
              <w:spacing w:after="0"/>
              <w:rPr>
                <w:sz w:val="13"/>
                <w:szCs w:val="13"/>
                <w:color w:val="auto"/>
              </w:rPr>
            </w:pPr>
          </w:p>
        </w:tc>
        <w:tc>
          <w:tcPr>
            <w:tcW w:w="820" w:type="dxa"/>
            <w:vAlign w:val="bottom"/>
            <w:gridSpan w:val="2"/>
            <w:shd w:val="clear" w:color="auto" w:fill="CFF0FC"/>
          </w:tcPr>
          <w:p>
            <w:pPr>
              <w:jc w:val="right"/>
              <w:ind w:right="240"/>
              <w:spacing w:after="0" w:line="159" w:lineRule="exact"/>
              <w:rPr>
                <w:sz w:val="20"/>
                <w:szCs w:val="20"/>
                <w:color w:val="auto"/>
              </w:rPr>
            </w:pPr>
            <w:r>
              <w:rPr>
                <w:rFonts w:ascii="Arial" w:cs="Arial" w:eastAsia="Arial" w:hAnsi="Arial"/>
                <w:sz w:val="14"/>
                <w:szCs w:val="14"/>
                <w:color w:val="auto"/>
              </w:rPr>
              <w:t>—</w:t>
            </w:r>
          </w:p>
        </w:tc>
        <w:tc>
          <w:tcPr>
            <w:tcW w:w="160" w:type="dxa"/>
            <w:vAlign w:val="bottom"/>
            <w:shd w:val="clear" w:color="auto" w:fill="CFF0FC"/>
          </w:tcPr>
          <w:p>
            <w:pPr>
              <w:spacing w:after="0"/>
              <w:rPr>
                <w:sz w:val="13"/>
                <w:szCs w:val="13"/>
                <w:color w:val="auto"/>
              </w:rPr>
            </w:pPr>
          </w:p>
        </w:tc>
        <w:tc>
          <w:tcPr>
            <w:tcW w:w="740" w:type="dxa"/>
            <w:vAlign w:val="bottom"/>
            <w:gridSpan w:val="2"/>
            <w:shd w:val="clear" w:color="auto" w:fill="CFF0FC"/>
          </w:tcPr>
          <w:p>
            <w:pPr>
              <w:jc w:val="right"/>
              <w:ind w:right="80"/>
              <w:spacing w:after="0" w:line="15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51"/>
        </w:trPr>
        <w:tc>
          <w:tcPr>
            <w:tcW w:w="3740" w:type="dxa"/>
            <w:vAlign w:val="bottom"/>
          </w:tcPr>
          <w:p>
            <w:pPr>
              <w:ind w:left="260"/>
              <w:spacing w:after="0" w:line="151" w:lineRule="exact"/>
              <w:rPr>
                <w:sz w:val="20"/>
                <w:szCs w:val="20"/>
                <w:color w:val="auto"/>
              </w:rPr>
            </w:pPr>
            <w:r>
              <w:rPr>
                <w:rFonts w:ascii="Arial" w:cs="Arial" w:eastAsia="Arial" w:hAnsi="Arial"/>
                <w:sz w:val="14"/>
                <w:szCs w:val="14"/>
                <w:color w:val="auto"/>
              </w:rPr>
              <w:t>Vesting of shares purchased under an early exercise of</w:t>
            </w:r>
          </w:p>
        </w:tc>
        <w:tc>
          <w:tcPr>
            <w:tcW w:w="7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40" w:type="dxa"/>
            <w:vAlign w:val="bottom"/>
            <w:tcBorders>
              <w:right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9"/>
        </w:trPr>
        <w:tc>
          <w:tcPr>
            <w:tcW w:w="3740" w:type="dxa"/>
            <w:vAlign w:val="bottom"/>
          </w:tcPr>
          <w:p>
            <w:pPr>
              <w:ind w:left="360"/>
              <w:spacing w:after="0" w:line="159" w:lineRule="exact"/>
              <w:rPr>
                <w:sz w:val="20"/>
                <w:szCs w:val="20"/>
                <w:color w:val="auto"/>
              </w:rPr>
            </w:pPr>
            <w:r>
              <w:rPr>
                <w:rFonts w:ascii="Arial" w:cs="Arial" w:eastAsia="Arial" w:hAnsi="Arial"/>
                <w:sz w:val="14"/>
                <w:szCs w:val="14"/>
                <w:color w:val="auto"/>
              </w:rPr>
              <w:t>stock options</w:t>
            </w:r>
          </w:p>
        </w:tc>
        <w:tc>
          <w:tcPr>
            <w:tcW w:w="900" w:type="dxa"/>
            <w:vAlign w:val="bottom"/>
            <w:gridSpan w:val="2"/>
          </w:tcPr>
          <w:p>
            <w:pPr>
              <w:jc w:val="right"/>
              <w:ind w:right="140"/>
              <w:spacing w:after="0" w:line="159"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60" w:type="dxa"/>
            <w:vAlign w:val="bottom"/>
            <w:tcBorders>
              <w:right w:val="single" w:sz="8" w:color="auto"/>
            </w:tcBorders>
            <w:gridSpan w:val="2"/>
          </w:tcPr>
          <w:p>
            <w:pPr>
              <w:jc w:val="right"/>
              <w:ind w:right="140"/>
              <w:spacing w:after="0" w:line="15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3"/>
                <w:szCs w:val="13"/>
                <w:color w:val="auto"/>
              </w:rPr>
            </w:pPr>
          </w:p>
        </w:tc>
        <w:tc>
          <w:tcPr>
            <w:tcW w:w="720" w:type="dxa"/>
            <w:vAlign w:val="bottom"/>
          </w:tcPr>
          <w:p>
            <w:pPr>
              <w:jc w:val="right"/>
              <w:spacing w:after="0" w:line="159" w:lineRule="exact"/>
              <w:rPr>
                <w:sz w:val="20"/>
                <w:szCs w:val="20"/>
                <w:color w:val="auto"/>
              </w:rPr>
            </w:pPr>
            <w:r>
              <w:rPr>
                <w:rFonts w:ascii="Arial" w:cs="Arial" w:eastAsia="Arial" w:hAnsi="Arial"/>
                <w:sz w:val="14"/>
                <w:szCs w:val="14"/>
                <w:color w:val="auto"/>
              </w:rPr>
              <w:t>—</w:t>
            </w:r>
          </w:p>
        </w:tc>
        <w:tc>
          <w:tcPr>
            <w:tcW w:w="2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jc w:val="right"/>
              <w:spacing w:after="0" w:line="159" w:lineRule="exact"/>
              <w:rPr>
                <w:sz w:val="20"/>
                <w:szCs w:val="20"/>
                <w:color w:val="auto"/>
              </w:rPr>
            </w:pPr>
            <w:r>
              <w:rPr>
                <w:rFonts w:ascii="Arial" w:cs="Arial" w:eastAsia="Arial" w:hAnsi="Arial"/>
                <w:sz w:val="14"/>
                <w:szCs w:val="14"/>
                <w:color w:val="auto"/>
              </w:rPr>
              <w:t>—</w:t>
            </w:r>
          </w:p>
        </w:tc>
        <w:tc>
          <w:tcPr>
            <w:tcW w:w="280" w:type="dxa"/>
            <w:vAlign w:val="bottom"/>
          </w:tcPr>
          <w:p>
            <w:pPr>
              <w:spacing w:after="0"/>
              <w:rPr>
                <w:sz w:val="13"/>
                <w:szCs w:val="13"/>
                <w:color w:val="auto"/>
              </w:rPr>
            </w:pPr>
          </w:p>
        </w:tc>
        <w:tc>
          <w:tcPr>
            <w:tcW w:w="660" w:type="dxa"/>
            <w:vAlign w:val="bottom"/>
          </w:tcPr>
          <w:p>
            <w:pPr>
              <w:jc w:val="right"/>
              <w:spacing w:after="0" w:line="159" w:lineRule="exact"/>
              <w:rPr>
                <w:sz w:val="20"/>
                <w:szCs w:val="20"/>
                <w:color w:val="auto"/>
              </w:rPr>
            </w:pPr>
            <w:r>
              <w:rPr>
                <w:rFonts w:ascii="Arial" w:cs="Arial" w:eastAsia="Arial" w:hAnsi="Arial"/>
                <w:sz w:val="14"/>
                <w:szCs w:val="14"/>
                <w:color w:val="auto"/>
              </w:rPr>
              <w:t>19</w:t>
            </w:r>
          </w:p>
        </w:tc>
        <w:tc>
          <w:tcPr>
            <w:tcW w:w="2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900" w:type="dxa"/>
            <w:vAlign w:val="bottom"/>
            <w:gridSpan w:val="2"/>
          </w:tcPr>
          <w:p>
            <w:pPr>
              <w:jc w:val="right"/>
              <w:ind w:right="220"/>
              <w:spacing w:after="0" w:line="159" w:lineRule="exact"/>
              <w:rPr>
                <w:sz w:val="20"/>
                <w:szCs w:val="20"/>
                <w:color w:val="auto"/>
              </w:rPr>
            </w:pPr>
            <w:r>
              <w:rPr>
                <w:rFonts w:ascii="Arial" w:cs="Arial" w:eastAsia="Arial" w:hAnsi="Arial"/>
                <w:sz w:val="14"/>
                <w:szCs w:val="14"/>
                <w:color w:val="auto"/>
              </w:rPr>
              <w:t>—</w:t>
            </w:r>
          </w:p>
        </w:tc>
        <w:tc>
          <w:tcPr>
            <w:tcW w:w="140" w:type="dxa"/>
            <w:vAlign w:val="bottom"/>
          </w:tcPr>
          <w:p>
            <w:pPr>
              <w:spacing w:after="0"/>
              <w:rPr>
                <w:sz w:val="13"/>
                <w:szCs w:val="13"/>
                <w:color w:val="auto"/>
              </w:rPr>
            </w:pPr>
          </w:p>
        </w:tc>
        <w:tc>
          <w:tcPr>
            <w:tcW w:w="820" w:type="dxa"/>
            <w:vAlign w:val="bottom"/>
            <w:gridSpan w:val="2"/>
          </w:tcPr>
          <w:p>
            <w:pPr>
              <w:jc w:val="right"/>
              <w:ind w:right="240"/>
              <w:spacing w:after="0" w:line="159" w:lineRule="exact"/>
              <w:rPr>
                <w:sz w:val="20"/>
                <w:szCs w:val="20"/>
                <w:color w:val="auto"/>
              </w:rPr>
            </w:pPr>
            <w:r>
              <w:rPr>
                <w:rFonts w:ascii="Arial" w:cs="Arial" w:eastAsia="Arial" w:hAnsi="Arial"/>
                <w:sz w:val="14"/>
                <w:szCs w:val="14"/>
                <w:color w:val="auto"/>
              </w:rPr>
              <w:t>—</w:t>
            </w:r>
          </w:p>
        </w:tc>
        <w:tc>
          <w:tcPr>
            <w:tcW w:w="160" w:type="dxa"/>
            <w:vAlign w:val="bottom"/>
          </w:tcPr>
          <w:p>
            <w:pPr>
              <w:spacing w:after="0"/>
              <w:rPr>
                <w:sz w:val="13"/>
                <w:szCs w:val="13"/>
                <w:color w:val="auto"/>
              </w:rPr>
            </w:pPr>
          </w:p>
        </w:tc>
        <w:tc>
          <w:tcPr>
            <w:tcW w:w="680" w:type="dxa"/>
            <w:vAlign w:val="bottom"/>
          </w:tcPr>
          <w:p>
            <w:pPr>
              <w:jc w:val="right"/>
              <w:spacing w:after="0" w:line="159" w:lineRule="exact"/>
              <w:rPr>
                <w:sz w:val="20"/>
                <w:szCs w:val="20"/>
                <w:color w:val="auto"/>
              </w:rPr>
            </w:pPr>
            <w:r>
              <w:rPr>
                <w:rFonts w:ascii="Arial" w:cs="Arial" w:eastAsia="Arial" w:hAnsi="Arial"/>
                <w:sz w:val="14"/>
                <w:szCs w:val="14"/>
                <w:color w:val="auto"/>
              </w:rPr>
              <w:t>19</w:t>
            </w: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3740" w:type="dxa"/>
            <w:vAlign w:val="bottom"/>
            <w:shd w:val="clear" w:color="auto" w:fill="CFF0FC"/>
          </w:tcPr>
          <w:p>
            <w:pPr>
              <w:ind w:left="260"/>
              <w:spacing w:after="0"/>
              <w:rPr>
                <w:sz w:val="20"/>
                <w:szCs w:val="20"/>
                <w:color w:val="auto"/>
              </w:rPr>
            </w:pPr>
            <w:r>
              <w:rPr>
                <w:rFonts w:ascii="Arial" w:cs="Arial" w:eastAsia="Arial" w:hAnsi="Arial"/>
                <w:sz w:val="14"/>
                <w:szCs w:val="14"/>
                <w:color w:val="auto"/>
              </w:rPr>
              <w:t>Stock-based compensation</w:t>
            </w:r>
          </w:p>
        </w:tc>
        <w:tc>
          <w:tcPr>
            <w:tcW w:w="900" w:type="dxa"/>
            <w:vAlign w:val="bottom"/>
            <w:gridSpan w:val="2"/>
            <w:shd w:val="clear" w:color="auto" w:fill="CFF0FC"/>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760" w:type="dxa"/>
            <w:vAlign w:val="bottom"/>
            <w:tcBorders>
              <w:right w:val="single" w:sz="8" w:color="auto"/>
            </w:tcBorders>
            <w:gridSpan w:val="2"/>
            <w:shd w:val="clear" w:color="auto" w:fill="CFF0FC"/>
          </w:tcPr>
          <w:p>
            <w:pPr>
              <w:jc w:val="right"/>
              <w:ind w:right="140"/>
              <w:spacing w:after="0"/>
              <w:rPr>
                <w:sz w:val="20"/>
                <w:szCs w:val="20"/>
                <w:color w:val="auto"/>
              </w:rPr>
            </w:pPr>
            <w:r>
              <w:rPr>
                <w:rFonts w:ascii="Arial" w:cs="Arial" w:eastAsia="Arial" w:hAnsi="Arial"/>
                <w:sz w:val="14"/>
                <w:szCs w:val="14"/>
                <w:color w:val="auto"/>
              </w:rPr>
              <w:t>—</w:t>
            </w:r>
          </w:p>
        </w:tc>
        <w:tc>
          <w:tcPr>
            <w:tcW w:w="80" w:type="dxa"/>
            <w:vAlign w:val="bottom"/>
            <w:shd w:val="clear" w:color="auto" w:fill="CFF0FC"/>
          </w:tcPr>
          <w:p>
            <w:pPr>
              <w:spacing w:after="0"/>
              <w:rPr>
                <w:sz w:val="14"/>
                <w:szCs w:val="14"/>
                <w:color w:val="auto"/>
              </w:rPr>
            </w:pPr>
          </w:p>
        </w:tc>
        <w:tc>
          <w:tcPr>
            <w:tcW w:w="7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22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280" w:type="dxa"/>
            <w:vAlign w:val="bottom"/>
            <w:tcBorders>
              <w:right w:val="single" w:sz="8" w:color="CFF0FC"/>
            </w:tcBorders>
            <w:shd w:val="clear" w:color="auto" w:fill="CFF0FC"/>
          </w:tcPr>
          <w:p>
            <w:pPr>
              <w:spacing w:after="0"/>
              <w:rPr>
                <w:sz w:val="14"/>
                <w:szCs w:val="14"/>
                <w:color w:val="auto"/>
              </w:rPr>
            </w:pPr>
          </w:p>
        </w:tc>
        <w:tc>
          <w:tcPr>
            <w:tcW w:w="6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429</w:t>
            </w:r>
          </w:p>
        </w:tc>
        <w:tc>
          <w:tcPr>
            <w:tcW w:w="22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900" w:type="dxa"/>
            <w:vAlign w:val="bottom"/>
            <w:gridSpan w:val="2"/>
            <w:shd w:val="clear" w:color="auto" w:fill="CFF0FC"/>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shd w:val="clear" w:color="auto" w:fill="CFF0FC"/>
          </w:tcPr>
          <w:p>
            <w:pPr>
              <w:spacing w:after="0"/>
              <w:rPr>
                <w:sz w:val="14"/>
                <w:szCs w:val="14"/>
                <w:color w:val="auto"/>
              </w:rPr>
            </w:pPr>
          </w:p>
        </w:tc>
        <w:tc>
          <w:tcPr>
            <w:tcW w:w="820" w:type="dxa"/>
            <w:vAlign w:val="bottom"/>
            <w:gridSpan w:val="2"/>
            <w:shd w:val="clear" w:color="auto" w:fill="CFF0FC"/>
          </w:tcPr>
          <w:p>
            <w:pPr>
              <w:jc w:val="right"/>
              <w:ind w:right="240"/>
              <w:spacing w:after="0"/>
              <w:rPr>
                <w:sz w:val="20"/>
                <w:szCs w:val="20"/>
                <w:color w:val="auto"/>
              </w:rPr>
            </w:pPr>
            <w:r>
              <w:rPr>
                <w:rFonts w:ascii="Arial" w:cs="Arial" w:eastAsia="Arial" w:hAnsi="Arial"/>
                <w:sz w:val="14"/>
                <w:szCs w:val="14"/>
                <w:color w:val="auto"/>
              </w:rPr>
              <w:t>—</w:t>
            </w:r>
          </w:p>
        </w:tc>
        <w:tc>
          <w:tcPr>
            <w:tcW w:w="160" w:type="dxa"/>
            <w:vAlign w:val="bottom"/>
            <w:shd w:val="clear" w:color="auto" w:fill="CFF0FC"/>
          </w:tcPr>
          <w:p>
            <w:pPr>
              <w:spacing w:after="0"/>
              <w:rPr>
                <w:sz w:val="14"/>
                <w:szCs w:val="14"/>
                <w:color w:val="auto"/>
              </w:rPr>
            </w:pPr>
          </w:p>
        </w:tc>
        <w:tc>
          <w:tcPr>
            <w:tcW w:w="6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429</w:t>
            </w:r>
          </w:p>
        </w:tc>
        <w:tc>
          <w:tcPr>
            <w:tcW w:w="6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3740" w:type="dxa"/>
            <w:vAlign w:val="bottom"/>
          </w:tcPr>
          <w:p>
            <w:pPr>
              <w:ind w:left="260"/>
              <w:spacing w:after="0"/>
              <w:rPr>
                <w:sz w:val="20"/>
                <w:szCs w:val="20"/>
                <w:color w:val="auto"/>
              </w:rPr>
            </w:pPr>
            <w:r>
              <w:rPr>
                <w:rFonts w:ascii="Arial" w:cs="Arial" w:eastAsia="Arial" w:hAnsi="Arial"/>
                <w:sz w:val="14"/>
                <w:szCs w:val="14"/>
                <w:color w:val="auto"/>
              </w:rPr>
              <w:t>Other comprehensive income</w:t>
            </w:r>
          </w:p>
        </w:tc>
        <w:tc>
          <w:tcPr>
            <w:tcW w:w="90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60" w:type="dxa"/>
            <w:vAlign w:val="bottom"/>
            <w:tcBorders>
              <w:right w:val="single" w:sz="8" w:color="auto"/>
            </w:tcBorders>
            <w:gridSpan w:val="2"/>
          </w:tcPr>
          <w:p>
            <w:pPr>
              <w:jc w:val="right"/>
              <w:ind w:right="14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jc w:val="right"/>
              <w:spacing w:after="0"/>
              <w:rPr>
                <w:sz w:val="20"/>
                <w:szCs w:val="20"/>
                <w:color w:val="auto"/>
              </w:rPr>
            </w:pPr>
            <w:r>
              <w:rPr>
                <w:rFonts w:ascii="Arial" w:cs="Arial" w:eastAsia="Arial" w:hAnsi="Arial"/>
                <w:sz w:val="14"/>
                <w:szCs w:val="14"/>
                <w:color w:val="auto"/>
              </w:rPr>
              <w:t>—</w:t>
            </w:r>
          </w:p>
        </w:tc>
        <w:tc>
          <w:tcPr>
            <w:tcW w:w="28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14</w:t>
            </w:r>
          </w:p>
        </w:tc>
        <w:tc>
          <w:tcPr>
            <w:tcW w:w="2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14</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3740" w:type="dxa"/>
            <w:vAlign w:val="bottom"/>
            <w:shd w:val="clear" w:color="auto" w:fill="CFF0FC"/>
          </w:tcPr>
          <w:p>
            <w:pPr>
              <w:ind w:left="260"/>
              <w:spacing w:after="0"/>
              <w:rPr>
                <w:sz w:val="20"/>
                <w:szCs w:val="20"/>
                <w:color w:val="auto"/>
              </w:rPr>
            </w:pPr>
            <w:r>
              <w:rPr>
                <w:rFonts w:ascii="Arial" w:cs="Arial" w:eastAsia="Arial" w:hAnsi="Arial"/>
                <w:sz w:val="14"/>
                <w:szCs w:val="14"/>
                <w:color w:val="auto"/>
              </w:rPr>
              <w:t>Net loss</w:t>
            </w:r>
          </w:p>
        </w:tc>
        <w:tc>
          <w:tcPr>
            <w:tcW w:w="7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12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140" w:type="dxa"/>
            <w:vAlign w:val="bottom"/>
            <w:tcBorders>
              <w:right w:val="single" w:sz="8" w:color="auto"/>
            </w:tcBorders>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7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22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280" w:type="dxa"/>
            <w:vAlign w:val="bottom"/>
            <w:tcBorders>
              <w:right w:val="single" w:sz="8" w:color="CFF0FC"/>
            </w:tcBorders>
            <w:shd w:val="clear" w:color="auto" w:fill="CFF0FC"/>
          </w:tcPr>
          <w:p>
            <w:pPr>
              <w:spacing w:after="0"/>
              <w:rPr>
                <w:sz w:val="14"/>
                <w:szCs w:val="14"/>
                <w:color w:val="auto"/>
              </w:rPr>
            </w:pPr>
          </w:p>
        </w:tc>
        <w:tc>
          <w:tcPr>
            <w:tcW w:w="6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22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7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20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820" w:type="dxa"/>
            <w:vAlign w:val="bottom"/>
            <w:gridSpan w:val="2"/>
            <w:shd w:val="clear" w:color="auto" w:fill="CFF0FC"/>
          </w:tcPr>
          <w:p>
            <w:pPr>
              <w:jc w:val="right"/>
              <w:ind w:right="180"/>
              <w:spacing w:after="0"/>
              <w:rPr>
                <w:sz w:val="20"/>
                <w:szCs w:val="20"/>
                <w:color w:val="auto"/>
              </w:rPr>
            </w:pPr>
            <w:r>
              <w:rPr>
                <w:rFonts w:ascii="Arial" w:cs="Arial" w:eastAsia="Arial" w:hAnsi="Arial"/>
                <w:sz w:val="14"/>
                <w:szCs w:val="14"/>
                <w:color w:val="auto"/>
              </w:rPr>
              <w:t>(22,971)</w:t>
            </w:r>
          </w:p>
        </w:tc>
        <w:tc>
          <w:tcPr>
            <w:tcW w:w="160" w:type="dxa"/>
            <w:vAlign w:val="bottom"/>
            <w:shd w:val="clear" w:color="auto" w:fill="CFF0FC"/>
          </w:tcPr>
          <w:p>
            <w:pPr>
              <w:spacing w:after="0"/>
              <w:rPr>
                <w:sz w:val="14"/>
                <w:szCs w:val="14"/>
                <w:color w:val="auto"/>
              </w:rPr>
            </w:pPr>
          </w:p>
        </w:tc>
        <w:tc>
          <w:tcPr>
            <w:tcW w:w="740" w:type="dxa"/>
            <w:vAlign w:val="bottom"/>
            <w:gridSpan w:val="2"/>
            <w:shd w:val="clear" w:color="auto" w:fill="CFF0FC"/>
          </w:tcPr>
          <w:p>
            <w:pPr>
              <w:jc w:val="right"/>
              <w:ind w:right="20"/>
              <w:spacing w:after="0"/>
              <w:rPr>
                <w:sz w:val="20"/>
                <w:szCs w:val="20"/>
                <w:color w:val="auto"/>
              </w:rPr>
            </w:pPr>
            <w:r>
              <w:rPr>
                <w:rFonts w:ascii="Arial" w:cs="Arial" w:eastAsia="Arial" w:hAnsi="Arial"/>
                <w:sz w:val="14"/>
                <w:szCs w:val="14"/>
                <w:color w:val="auto"/>
              </w:rPr>
              <w:t>(22,971)</w:t>
            </w:r>
          </w:p>
        </w:tc>
        <w:tc>
          <w:tcPr>
            <w:tcW w:w="0" w:type="dxa"/>
            <w:vAlign w:val="bottom"/>
          </w:tcPr>
          <w:p>
            <w:pPr>
              <w:spacing w:after="0"/>
              <w:rPr>
                <w:sz w:val="1"/>
                <w:szCs w:val="1"/>
                <w:color w:val="auto"/>
              </w:rPr>
            </w:pPr>
          </w:p>
        </w:tc>
      </w:tr>
      <w:tr>
        <w:trPr>
          <w:trHeight w:val="20"/>
        </w:trPr>
        <w:tc>
          <w:tcPr>
            <w:tcW w:w="3740" w:type="dxa"/>
            <w:vAlign w:val="bottom"/>
            <w:vMerge w:val="restart"/>
          </w:tcPr>
          <w:p>
            <w:pPr>
              <w:spacing w:after="0"/>
              <w:rPr>
                <w:sz w:val="20"/>
                <w:szCs w:val="20"/>
                <w:color w:val="auto"/>
              </w:rPr>
            </w:pPr>
            <w:r>
              <w:rPr>
                <w:rFonts w:ascii="Arial" w:cs="Arial" w:eastAsia="Arial" w:hAnsi="Arial"/>
                <w:sz w:val="14"/>
                <w:szCs w:val="14"/>
                <w:color w:val="auto"/>
              </w:rPr>
              <w:t>Balance — December 31, 2015</w:t>
            </w:r>
          </w:p>
        </w:tc>
        <w:tc>
          <w:tcPr>
            <w:tcW w:w="7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40" w:type="dxa"/>
            <w:vAlign w:val="bottom"/>
            <w:tcBorders>
              <w:right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280" w:type="dxa"/>
            <w:vAlign w:val="bottom"/>
            <w:tcBorders>
              <w:right w:val="single" w:sz="8" w:color="auto"/>
            </w:tcBorders>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3740" w:type="dxa"/>
            <w:vAlign w:val="bottom"/>
            <w:vMerge w:val="continue"/>
          </w:tcPr>
          <w:p>
            <w:pPr>
              <w:spacing w:after="0"/>
              <w:rPr>
                <w:sz w:val="13"/>
                <w:szCs w:val="13"/>
                <w:color w:val="auto"/>
              </w:rPr>
            </w:pPr>
          </w:p>
        </w:tc>
        <w:tc>
          <w:tcPr>
            <w:tcW w:w="780" w:type="dxa"/>
            <w:vAlign w:val="bottom"/>
          </w:tcPr>
          <w:p>
            <w:pPr>
              <w:jc w:val="right"/>
              <w:spacing w:after="0" w:line="155" w:lineRule="exact"/>
              <w:rPr>
                <w:sz w:val="20"/>
                <w:szCs w:val="20"/>
                <w:color w:val="auto"/>
              </w:rPr>
            </w:pPr>
            <w:r>
              <w:rPr>
                <w:rFonts w:ascii="Arial" w:cs="Arial" w:eastAsia="Arial" w:hAnsi="Arial"/>
                <w:sz w:val="14"/>
                <w:szCs w:val="14"/>
                <w:color w:val="auto"/>
              </w:rPr>
              <w:t>19,336,777</w:t>
            </w: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jc w:val="right"/>
              <w:spacing w:after="0" w:line="155" w:lineRule="exact"/>
              <w:rPr>
                <w:sz w:val="20"/>
                <w:szCs w:val="20"/>
                <w:color w:val="auto"/>
              </w:rPr>
            </w:pPr>
            <w:r>
              <w:rPr>
                <w:rFonts w:ascii="Arial" w:cs="Arial" w:eastAsia="Arial" w:hAnsi="Arial"/>
                <w:sz w:val="14"/>
                <w:szCs w:val="14"/>
                <w:color w:val="auto"/>
              </w:rPr>
              <w:t>123,662</w:t>
            </w:r>
          </w:p>
        </w:tc>
        <w:tc>
          <w:tcPr>
            <w:tcW w:w="140" w:type="dxa"/>
            <w:vAlign w:val="bottom"/>
            <w:tcBorders>
              <w:right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720" w:type="dxa"/>
            <w:vAlign w:val="bottom"/>
          </w:tcPr>
          <w:p>
            <w:pPr>
              <w:jc w:val="right"/>
              <w:spacing w:after="0" w:line="155" w:lineRule="exact"/>
              <w:rPr>
                <w:sz w:val="20"/>
                <w:szCs w:val="20"/>
                <w:color w:val="auto"/>
              </w:rPr>
            </w:pPr>
            <w:r>
              <w:rPr>
                <w:rFonts w:ascii="Arial" w:cs="Arial" w:eastAsia="Arial" w:hAnsi="Arial"/>
                <w:sz w:val="14"/>
                <w:szCs w:val="14"/>
                <w:color w:val="auto"/>
              </w:rPr>
              <w:t>1,595,277</w:t>
            </w:r>
          </w:p>
        </w:tc>
        <w:tc>
          <w:tcPr>
            <w:tcW w:w="2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jc w:val="right"/>
              <w:spacing w:after="0" w:line="155" w:lineRule="exact"/>
              <w:rPr>
                <w:sz w:val="20"/>
                <w:szCs w:val="20"/>
                <w:color w:val="auto"/>
              </w:rPr>
            </w:pPr>
            <w:r>
              <w:rPr>
                <w:rFonts w:ascii="Arial" w:cs="Arial" w:eastAsia="Arial" w:hAnsi="Arial"/>
                <w:sz w:val="14"/>
                <w:szCs w:val="14"/>
                <w:color w:val="auto"/>
              </w:rPr>
              <w:t>—</w:t>
            </w:r>
          </w:p>
        </w:tc>
        <w:tc>
          <w:tcPr>
            <w:tcW w:w="280" w:type="dxa"/>
            <w:vAlign w:val="bottom"/>
          </w:tcPr>
          <w:p>
            <w:pPr>
              <w:spacing w:after="0"/>
              <w:rPr>
                <w:sz w:val="13"/>
                <w:szCs w:val="13"/>
                <w:color w:val="auto"/>
              </w:rPr>
            </w:pPr>
          </w:p>
        </w:tc>
        <w:tc>
          <w:tcPr>
            <w:tcW w:w="660" w:type="dxa"/>
            <w:vAlign w:val="bottom"/>
          </w:tcPr>
          <w:p>
            <w:pPr>
              <w:jc w:val="right"/>
              <w:spacing w:after="0" w:line="155" w:lineRule="exact"/>
              <w:rPr>
                <w:sz w:val="20"/>
                <w:szCs w:val="20"/>
                <w:color w:val="auto"/>
              </w:rPr>
            </w:pPr>
            <w:r>
              <w:rPr>
                <w:rFonts w:ascii="Arial" w:cs="Arial" w:eastAsia="Arial" w:hAnsi="Arial"/>
                <w:sz w:val="14"/>
                <w:szCs w:val="14"/>
                <w:color w:val="auto"/>
              </w:rPr>
              <w:t>2,580</w:t>
            </w:r>
          </w:p>
        </w:tc>
        <w:tc>
          <w:tcPr>
            <w:tcW w:w="2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00" w:type="dxa"/>
            <w:vAlign w:val="bottom"/>
          </w:tcPr>
          <w:p>
            <w:pPr>
              <w:jc w:val="right"/>
              <w:spacing w:after="0" w:line="155" w:lineRule="exact"/>
              <w:rPr>
                <w:sz w:val="20"/>
                <w:szCs w:val="20"/>
                <w:color w:val="auto"/>
              </w:rPr>
            </w:pPr>
            <w:r>
              <w:rPr>
                <w:rFonts w:ascii="Arial" w:cs="Arial" w:eastAsia="Arial" w:hAnsi="Arial"/>
                <w:sz w:val="14"/>
                <w:szCs w:val="14"/>
                <w:color w:val="auto"/>
              </w:rPr>
              <w:t>14</w:t>
            </w:r>
          </w:p>
        </w:tc>
        <w:tc>
          <w:tcPr>
            <w:tcW w:w="2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20" w:type="dxa"/>
            <w:vAlign w:val="bottom"/>
            <w:gridSpan w:val="2"/>
          </w:tcPr>
          <w:p>
            <w:pPr>
              <w:jc w:val="right"/>
              <w:ind w:right="180"/>
              <w:spacing w:after="0" w:line="155" w:lineRule="exact"/>
              <w:rPr>
                <w:sz w:val="20"/>
                <w:szCs w:val="20"/>
                <w:color w:val="auto"/>
              </w:rPr>
            </w:pPr>
            <w:r>
              <w:rPr>
                <w:rFonts w:ascii="Arial" w:cs="Arial" w:eastAsia="Arial" w:hAnsi="Arial"/>
                <w:sz w:val="14"/>
                <w:szCs w:val="14"/>
                <w:color w:val="auto"/>
              </w:rPr>
              <w:t>(124,799)</w:t>
            </w:r>
          </w:p>
        </w:tc>
        <w:tc>
          <w:tcPr>
            <w:tcW w:w="160" w:type="dxa"/>
            <w:vAlign w:val="bottom"/>
          </w:tcPr>
          <w:p>
            <w:pPr>
              <w:spacing w:after="0"/>
              <w:rPr>
                <w:sz w:val="13"/>
                <w:szCs w:val="13"/>
                <w:color w:val="auto"/>
              </w:rPr>
            </w:pPr>
          </w:p>
        </w:tc>
        <w:tc>
          <w:tcPr>
            <w:tcW w:w="740" w:type="dxa"/>
            <w:vAlign w:val="bottom"/>
            <w:gridSpan w:val="2"/>
          </w:tcPr>
          <w:p>
            <w:pPr>
              <w:jc w:val="right"/>
              <w:ind w:right="20"/>
              <w:spacing w:after="0" w:line="155" w:lineRule="exact"/>
              <w:rPr>
                <w:sz w:val="20"/>
                <w:szCs w:val="20"/>
                <w:color w:val="auto"/>
              </w:rPr>
            </w:pPr>
            <w:r>
              <w:rPr>
                <w:rFonts w:ascii="Arial" w:cs="Arial" w:eastAsia="Arial" w:hAnsi="Arial"/>
                <w:sz w:val="14"/>
                <w:szCs w:val="14"/>
                <w:color w:val="auto"/>
              </w:rPr>
              <w:t>(122,205)</w:t>
            </w:r>
          </w:p>
        </w:tc>
        <w:tc>
          <w:tcPr>
            <w:tcW w:w="0" w:type="dxa"/>
            <w:vAlign w:val="bottom"/>
          </w:tcPr>
          <w:p>
            <w:pPr>
              <w:spacing w:after="0"/>
              <w:rPr>
                <w:sz w:val="1"/>
                <w:szCs w:val="1"/>
                <w:color w:val="auto"/>
              </w:rPr>
            </w:pPr>
          </w:p>
        </w:tc>
      </w:tr>
      <w:tr>
        <w:trPr>
          <w:trHeight w:val="151"/>
        </w:trPr>
        <w:tc>
          <w:tcPr>
            <w:tcW w:w="3740" w:type="dxa"/>
            <w:vAlign w:val="bottom"/>
            <w:shd w:val="clear" w:color="auto" w:fill="CFF0FC"/>
          </w:tcPr>
          <w:p>
            <w:pPr>
              <w:ind w:left="260"/>
              <w:spacing w:after="0" w:line="151" w:lineRule="exact"/>
              <w:rPr>
                <w:sz w:val="20"/>
                <w:szCs w:val="20"/>
                <w:color w:val="auto"/>
              </w:rPr>
            </w:pPr>
            <w:r>
              <w:rPr>
                <w:rFonts w:ascii="Arial" w:cs="Arial" w:eastAsia="Arial" w:hAnsi="Arial"/>
                <w:sz w:val="14"/>
                <w:szCs w:val="14"/>
                <w:color w:val="auto"/>
              </w:rPr>
              <w:t>Issuance of common stock pursuant to stock option</w:t>
            </w:r>
          </w:p>
        </w:tc>
        <w:tc>
          <w:tcPr>
            <w:tcW w:w="78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620" w:type="dxa"/>
            <w:vAlign w:val="bottom"/>
            <w:shd w:val="clear" w:color="auto" w:fill="CFF0FC"/>
          </w:tcPr>
          <w:p>
            <w:pPr>
              <w:spacing w:after="0"/>
              <w:rPr>
                <w:sz w:val="13"/>
                <w:szCs w:val="13"/>
                <w:color w:val="auto"/>
              </w:rPr>
            </w:pPr>
          </w:p>
        </w:tc>
        <w:tc>
          <w:tcPr>
            <w:tcW w:w="140" w:type="dxa"/>
            <w:vAlign w:val="bottom"/>
            <w:tcBorders>
              <w:right w:val="single" w:sz="8" w:color="auto"/>
            </w:tcBorders>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720" w:type="dxa"/>
            <w:vAlign w:val="bottom"/>
            <w:shd w:val="clear" w:color="auto" w:fill="CFF0FC"/>
          </w:tcPr>
          <w:p>
            <w:pPr>
              <w:spacing w:after="0"/>
              <w:rPr>
                <w:sz w:val="13"/>
                <w:szCs w:val="13"/>
                <w:color w:val="auto"/>
              </w:rPr>
            </w:pPr>
          </w:p>
        </w:tc>
        <w:tc>
          <w:tcPr>
            <w:tcW w:w="22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620" w:type="dxa"/>
            <w:vAlign w:val="bottom"/>
            <w:shd w:val="clear" w:color="auto" w:fill="CFF0FC"/>
          </w:tcPr>
          <w:p>
            <w:pPr>
              <w:spacing w:after="0"/>
              <w:rPr>
                <w:sz w:val="13"/>
                <w:szCs w:val="13"/>
                <w:color w:val="auto"/>
              </w:rPr>
            </w:pPr>
          </w:p>
        </w:tc>
        <w:tc>
          <w:tcPr>
            <w:tcW w:w="280" w:type="dxa"/>
            <w:vAlign w:val="bottom"/>
            <w:tcBorders>
              <w:right w:val="single" w:sz="8" w:color="CFF0FC"/>
            </w:tcBorders>
            <w:shd w:val="clear" w:color="auto" w:fill="CFF0FC"/>
          </w:tcPr>
          <w:p>
            <w:pPr>
              <w:spacing w:after="0"/>
              <w:rPr>
                <w:sz w:val="13"/>
                <w:szCs w:val="13"/>
                <w:color w:val="auto"/>
              </w:rPr>
            </w:pPr>
          </w:p>
        </w:tc>
        <w:tc>
          <w:tcPr>
            <w:tcW w:w="660" w:type="dxa"/>
            <w:vAlign w:val="bottom"/>
            <w:shd w:val="clear" w:color="auto" w:fill="CFF0FC"/>
          </w:tcPr>
          <w:p>
            <w:pPr>
              <w:spacing w:after="0"/>
              <w:rPr>
                <w:sz w:val="13"/>
                <w:szCs w:val="13"/>
                <w:color w:val="auto"/>
              </w:rPr>
            </w:pPr>
          </w:p>
        </w:tc>
        <w:tc>
          <w:tcPr>
            <w:tcW w:w="220" w:type="dxa"/>
            <w:vAlign w:val="bottom"/>
            <w:shd w:val="clear" w:color="auto" w:fill="CFF0FC"/>
          </w:tcPr>
          <w:p>
            <w:pPr>
              <w:spacing w:after="0"/>
              <w:rPr>
                <w:sz w:val="13"/>
                <w:szCs w:val="13"/>
                <w:color w:val="auto"/>
              </w:rPr>
            </w:pPr>
          </w:p>
        </w:tc>
        <w:tc>
          <w:tcPr>
            <w:tcW w:w="160" w:type="dxa"/>
            <w:vAlign w:val="bottom"/>
            <w:shd w:val="clear" w:color="auto" w:fill="CFF0FC"/>
          </w:tcPr>
          <w:p>
            <w:pPr>
              <w:spacing w:after="0"/>
              <w:rPr>
                <w:sz w:val="13"/>
                <w:szCs w:val="13"/>
                <w:color w:val="auto"/>
              </w:rPr>
            </w:pPr>
          </w:p>
        </w:tc>
        <w:tc>
          <w:tcPr>
            <w:tcW w:w="700" w:type="dxa"/>
            <w:vAlign w:val="bottom"/>
            <w:shd w:val="clear" w:color="auto" w:fill="CFF0FC"/>
          </w:tcPr>
          <w:p>
            <w:pPr>
              <w:spacing w:after="0"/>
              <w:rPr>
                <w:sz w:val="13"/>
                <w:szCs w:val="13"/>
                <w:color w:val="auto"/>
              </w:rPr>
            </w:pPr>
          </w:p>
        </w:tc>
        <w:tc>
          <w:tcPr>
            <w:tcW w:w="200" w:type="dxa"/>
            <w:vAlign w:val="bottom"/>
            <w:shd w:val="clear" w:color="auto" w:fill="CFF0FC"/>
          </w:tcPr>
          <w:p>
            <w:pPr>
              <w:spacing w:after="0"/>
              <w:rPr>
                <w:sz w:val="13"/>
                <w:szCs w:val="13"/>
                <w:color w:val="auto"/>
              </w:rPr>
            </w:pPr>
          </w:p>
        </w:tc>
        <w:tc>
          <w:tcPr>
            <w:tcW w:w="140" w:type="dxa"/>
            <w:vAlign w:val="bottom"/>
            <w:shd w:val="clear" w:color="auto" w:fill="CFF0FC"/>
          </w:tcPr>
          <w:p>
            <w:pPr>
              <w:spacing w:after="0"/>
              <w:rPr>
                <w:sz w:val="13"/>
                <w:szCs w:val="13"/>
                <w:color w:val="auto"/>
              </w:rPr>
            </w:pPr>
          </w:p>
        </w:tc>
        <w:tc>
          <w:tcPr>
            <w:tcW w:w="600" w:type="dxa"/>
            <w:vAlign w:val="bottom"/>
            <w:shd w:val="clear" w:color="auto" w:fill="CFF0FC"/>
          </w:tcPr>
          <w:p>
            <w:pPr>
              <w:spacing w:after="0"/>
              <w:rPr>
                <w:sz w:val="13"/>
                <w:szCs w:val="13"/>
                <w:color w:val="auto"/>
              </w:rPr>
            </w:pPr>
          </w:p>
        </w:tc>
        <w:tc>
          <w:tcPr>
            <w:tcW w:w="220" w:type="dxa"/>
            <w:vAlign w:val="bottom"/>
            <w:shd w:val="clear" w:color="auto" w:fill="CFF0FC"/>
          </w:tcPr>
          <w:p>
            <w:pPr>
              <w:spacing w:after="0"/>
              <w:rPr>
                <w:sz w:val="13"/>
                <w:szCs w:val="13"/>
                <w:color w:val="auto"/>
              </w:rPr>
            </w:pPr>
          </w:p>
        </w:tc>
        <w:tc>
          <w:tcPr>
            <w:tcW w:w="160" w:type="dxa"/>
            <w:vAlign w:val="bottom"/>
            <w:shd w:val="clear" w:color="auto" w:fill="CFF0FC"/>
          </w:tcPr>
          <w:p>
            <w:pPr>
              <w:spacing w:after="0"/>
              <w:rPr>
                <w:sz w:val="13"/>
                <w:szCs w:val="13"/>
                <w:color w:val="auto"/>
              </w:rPr>
            </w:pPr>
          </w:p>
        </w:tc>
        <w:tc>
          <w:tcPr>
            <w:tcW w:w="680" w:type="dxa"/>
            <w:vAlign w:val="bottom"/>
            <w:shd w:val="clear" w:color="auto" w:fill="CFF0FC"/>
          </w:tcPr>
          <w:p>
            <w:pPr>
              <w:spacing w:after="0"/>
              <w:rPr>
                <w:sz w:val="13"/>
                <w:szCs w:val="13"/>
                <w:color w:val="auto"/>
              </w:rPr>
            </w:pPr>
          </w:p>
        </w:tc>
        <w:tc>
          <w:tcPr>
            <w:tcW w:w="6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59"/>
        </w:trPr>
        <w:tc>
          <w:tcPr>
            <w:tcW w:w="3740" w:type="dxa"/>
            <w:vAlign w:val="bottom"/>
            <w:shd w:val="clear" w:color="auto" w:fill="CFF0FC"/>
          </w:tcPr>
          <w:p>
            <w:pPr>
              <w:ind w:left="360"/>
              <w:spacing w:after="0" w:line="159" w:lineRule="exact"/>
              <w:rPr>
                <w:sz w:val="20"/>
                <w:szCs w:val="20"/>
                <w:color w:val="auto"/>
              </w:rPr>
            </w:pPr>
            <w:r>
              <w:rPr>
                <w:rFonts w:ascii="Arial" w:cs="Arial" w:eastAsia="Arial" w:hAnsi="Arial"/>
                <w:sz w:val="14"/>
                <w:szCs w:val="14"/>
                <w:color w:val="auto"/>
              </w:rPr>
              <w:t>exercises of vested options</w:t>
            </w:r>
          </w:p>
        </w:tc>
        <w:tc>
          <w:tcPr>
            <w:tcW w:w="900" w:type="dxa"/>
            <w:vAlign w:val="bottom"/>
            <w:gridSpan w:val="2"/>
            <w:shd w:val="clear" w:color="auto" w:fill="CFF0FC"/>
          </w:tcPr>
          <w:p>
            <w:pPr>
              <w:jc w:val="right"/>
              <w:ind w:right="140"/>
              <w:spacing w:after="0" w:line="159" w:lineRule="exact"/>
              <w:rPr>
                <w:sz w:val="20"/>
                <w:szCs w:val="20"/>
                <w:color w:val="auto"/>
              </w:rPr>
            </w:pPr>
            <w:r>
              <w:rPr>
                <w:rFonts w:ascii="Arial" w:cs="Arial" w:eastAsia="Arial" w:hAnsi="Arial"/>
                <w:sz w:val="14"/>
                <w:szCs w:val="14"/>
                <w:color w:val="auto"/>
              </w:rPr>
              <w:t>—</w:t>
            </w:r>
          </w:p>
        </w:tc>
        <w:tc>
          <w:tcPr>
            <w:tcW w:w="10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760" w:type="dxa"/>
            <w:vAlign w:val="bottom"/>
            <w:tcBorders>
              <w:right w:val="single" w:sz="8" w:color="auto"/>
            </w:tcBorders>
            <w:gridSpan w:val="2"/>
            <w:shd w:val="clear" w:color="auto" w:fill="CFF0FC"/>
          </w:tcPr>
          <w:p>
            <w:pPr>
              <w:jc w:val="right"/>
              <w:ind w:right="140"/>
              <w:spacing w:after="0" w:line="159" w:lineRule="exact"/>
              <w:rPr>
                <w:sz w:val="20"/>
                <w:szCs w:val="20"/>
                <w:color w:val="auto"/>
              </w:rPr>
            </w:pPr>
            <w:r>
              <w:rPr>
                <w:rFonts w:ascii="Arial" w:cs="Arial" w:eastAsia="Arial" w:hAnsi="Arial"/>
                <w:sz w:val="14"/>
                <w:szCs w:val="14"/>
                <w:color w:val="auto"/>
              </w:rPr>
              <w:t>—</w:t>
            </w:r>
          </w:p>
        </w:tc>
        <w:tc>
          <w:tcPr>
            <w:tcW w:w="80" w:type="dxa"/>
            <w:vAlign w:val="bottom"/>
            <w:shd w:val="clear" w:color="auto" w:fill="CFF0FC"/>
          </w:tcPr>
          <w:p>
            <w:pPr>
              <w:spacing w:after="0"/>
              <w:rPr>
                <w:sz w:val="13"/>
                <w:szCs w:val="13"/>
                <w:color w:val="auto"/>
              </w:rPr>
            </w:pPr>
          </w:p>
        </w:tc>
        <w:tc>
          <w:tcPr>
            <w:tcW w:w="720" w:type="dxa"/>
            <w:vAlign w:val="bottom"/>
            <w:shd w:val="clear" w:color="auto" w:fill="CFF0FC"/>
          </w:tcPr>
          <w:p>
            <w:pPr>
              <w:jc w:val="right"/>
              <w:spacing w:after="0" w:line="159" w:lineRule="exact"/>
              <w:rPr>
                <w:sz w:val="20"/>
                <w:szCs w:val="20"/>
                <w:color w:val="auto"/>
              </w:rPr>
            </w:pPr>
            <w:r>
              <w:rPr>
                <w:rFonts w:ascii="Arial" w:cs="Arial" w:eastAsia="Arial" w:hAnsi="Arial"/>
                <w:sz w:val="14"/>
                <w:szCs w:val="14"/>
                <w:color w:val="auto"/>
              </w:rPr>
              <w:t>20,218</w:t>
            </w:r>
          </w:p>
        </w:tc>
        <w:tc>
          <w:tcPr>
            <w:tcW w:w="22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620" w:type="dxa"/>
            <w:vAlign w:val="bottom"/>
            <w:shd w:val="clear" w:color="auto" w:fill="CFF0FC"/>
          </w:tcPr>
          <w:p>
            <w:pPr>
              <w:jc w:val="right"/>
              <w:spacing w:after="0" w:line="159" w:lineRule="exact"/>
              <w:rPr>
                <w:sz w:val="20"/>
                <w:szCs w:val="20"/>
                <w:color w:val="auto"/>
              </w:rPr>
            </w:pPr>
            <w:r>
              <w:rPr>
                <w:rFonts w:ascii="Arial" w:cs="Arial" w:eastAsia="Arial" w:hAnsi="Arial"/>
                <w:sz w:val="14"/>
                <w:szCs w:val="14"/>
                <w:color w:val="auto"/>
              </w:rPr>
              <w:t>—</w:t>
            </w:r>
          </w:p>
        </w:tc>
        <w:tc>
          <w:tcPr>
            <w:tcW w:w="280" w:type="dxa"/>
            <w:vAlign w:val="bottom"/>
            <w:tcBorders>
              <w:right w:val="single" w:sz="8" w:color="CFF0FC"/>
            </w:tcBorders>
            <w:shd w:val="clear" w:color="auto" w:fill="CFF0FC"/>
          </w:tcPr>
          <w:p>
            <w:pPr>
              <w:spacing w:after="0"/>
              <w:rPr>
                <w:sz w:val="13"/>
                <w:szCs w:val="13"/>
                <w:color w:val="auto"/>
              </w:rPr>
            </w:pPr>
          </w:p>
        </w:tc>
        <w:tc>
          <w:tcPr>
            <w:tcW w:w="660" w:type="dxa"/>
            <w:vAlign w:val="bottom"/>
            <w:shd w:val="clear" w:color="auto" w:fill="CFF0FC"/>
          </w:tcPr>
          <w:p>
            <w:pPr>
              <w:jc w:val="right"/>
              <w:spacing w:after="0" w:line="159" w:lineRule="exact"/>
              <w:rPr>
                <w:sz w:val="20"/>
                <w:szCs w:val="20"/>
                <w:color w:val="auto"/>
              </w:rPr>
            </w:pPr>
            <w:r>
              <w:rPr>
                <w:rFonts w:ascii="Arial" w:cs="Arial" w:eastAsia="Arial" w:hAnsi="Arial"/>
                <w:sz w:val="14"/>
                <w:szCs w:val="14"/>
                <w:color w:val="auto"/>
              </w:rPr>
              <w:t>41</w:t>
            </w:r>
          </w:p>
        </w:tc>
        <w:tc>
          <w:tcPr>
            <w:tcW w:w="220" w:type="dxa"/>
            <w:vAlign w:val="bottom"/>
            <w:shd w:val="clear" w:color="auto" w:fill="CFF0FC"/>
          </w:tcPr>
          <w:p>
            <w:pPr>
              <w:spacing w:after="0"/>
              <w:rPr>
                <w:sz w:val="13"/>
                <w:szCs w:val="13"/>
                <w:color w:val="auto"/>
              </w:rPr>
            </w:pPr>
          </w:p>
        </w:tc>
        <w:tc>
          <w:tcPr>
            <w:tcW w:w="160" w:type="dxa"/>
            <w:vAlign w:val="bottom"/>
            <w:shd w:val="clear" w:color="auto" w:fill="CFF0FC"/>
          </w:tcPr>
          <w:p>
            <w:pPr>
              <w:spacing w:after="0"/>
              <w:rPr>
                <w:sz w:val="13"/>
                <w:szCs w:val="13"/>
                <w:color w:val="auto"/>
              </w:rPr>
            </w:pPr>
          </w:p>
        </w:tc>
        <w:tc>
          <w:tcPr>
            <w:tcW w:w="900" w:type="dxa"/>
            <w:vAlign w:val="bottom"/>
            <w:gridSpan w:val="2"/>
            <w:shd w:val="clear" w:color="auto" w:fill="CFF0FC"/>
          </w:tcPr>
          <w:p>
            <w:pPr>
              <w:jc w:val="right"/>
              <w:ind w:right="220"/>
              <w:spacing w:after="0" w:line="159" w:lineRule="exact"/>
              <w:rPr>
                <w:sz w:val="20"/>
                <w:szCs w:val="20"/>
                <w:color w:val="auto"/>
              </w:rPr>
            </w:pPr>
            <w:r>
              <w:rPr>
                <w:rFonts w:ascii="Arial" w:cs="Arial" w:eastAsia="Arial" w:hAnsi="Arial"/>
                <w:sz w:val="14"/>
                <w:szCs w:val="14"/>
                <w:color w:val="auto"/>
              </w:rPr>
              <w:t>—</w:t>
            </w:r>
          </w:p>
        </w:tc>
        <w:tc>
          <w:tcPr>
            <w:tcW w:w="140" w:type="dxa"/>
            <w:vAlign w:val="bottom"/>
            <w:shd w:val="clear" w:color="auto" w:fill="CFF0FC"/>
          </w:tcPr>
          <w:p>
            <w:pPr>
              <w:spacing w:after="0"/>
              <w:rPr>
                <w:sz w:val="13"/>
                <w:szCs w:val="13"/>
                <w:color w:val="auto"/>
              </w:rPr>
            </w:pPr>
          </w:p>
        </w:tc>
        <w:tc>
          <w:tcPr>
            <w:tcW w:w="820" w:type="dxa"/>
            <w:vAlign w:val="bottom"/>
            <w:gridSpan w:val="2"/>
            <w:shd w:val="clear" w:color="auto" w:fill="CFF0FC"/>
          </w:tcPr>
          <w:p>
            <w:pPr>
              <w:jc w:val="right"/>
              <w:ind w:right="240"/>
              <w:spacing w:after="0" w:line="159" w:lineRule="exact"/>
              <w:rPr>
                <w:sz w:val="20"/>
                <w:szCs w:val="20"/>
                <w:color w:val="auto"/>
              </w:rPr>
            </w:pPr>
            <w:r>
              <w:rPr>
                <w:rFonts w:ascii="Arial" w:cs="Arial" w:eastAsia="Arial" w:hAnsi="Arial"/>
                <w:sz w:val="14"/>
                <w:szCs w:val="14"/>
                <w:color w:val="auto"/>
              </w:rPr>
              <w:t>—</w:t>
            </w:r>
          </w:p>
        </w:tc>
        <w:tc>
          <w:tcPr>
            <w:tcW w:w="160" w:type="dxa"/>
            <w:vAlign w:val="bottom"/>
            <w:shd w:val="clear" w:color="auto" w:fill="CFF0FC"/>
          </w:tcPr>
          <w:p>
            <w:pPr>
              <w:spacing w:after="0"/>
              <w:rPr>
                <w:sz w:val="13"/>
                <w:szCs w:val="13"/>
                <w:color w:val="auto"/>
              </w:rPr>
            </w:pPr>
          </w:p>
        </w:tc>
        <w:tc>
          <w:tcPr>
            <w:tcW w:w="680" w:type="dxa"/>
            <w:vAlign w:val="bottom"/>
            <w:shd w:val="clear" w:color="auto" w:fill="CFF0FC"/>
          </w:tcPr>
          <w:p>
            <w:pPr>
              <w:jc w:val="right"/>
              <w:spacing w:after="0" w:line="159" w:lineRule="exact"/>
              <w:rPr>
                <w:sz w:val="20"/>
                <w:szCs w:val="20"/>
                <w:color w:val="auto"/>
              </w:rPr>
            </w:pPr>
            <w:r>
              <w:rPr>
                <w:rFonts w:ascii="Arial" w:cs="Arial" w:eastAsia="Arial" w:hAnsi="Arial"/>
                <w:sz w:val="14"/>
                <w:szCs w:val="14"/>
                <w:color w:val="auto"/>
              </w:rPr>
              <w:t>41</w:t>
            </w:r>
          </w:p>
        </w:tc>
        <w:tc>
          <w:tcPr>
            <w:tcW w:w="6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51"/>
        </w:trPr>
        <w:tc>
          <w:tcPr>
            <w:tcW w:w="3740" w:type="dxa"/>
            <w:vAlign w:val="bottom"/>
          </w:tcPr>
          <w:p>
            <w:pPr>
              <w:ind w:left="260"/>
              <w:spacing w:after="0" w:line="151" w:lineRule="exact"/>
              <w:rPr>
                <w:sz w:val="20"/>
                <w:szCs w:val="20"/>
                <w:color w:val="auto"/>
              </w:rPr>
            </w:pPr>
            <w:r>
              <w:rPr>
                <w:rFonts w:ascii="Arial" w:cs="Arial" w:eastAsia="Arial" w:hAnsi="Arial"/>
                <w:sz w:val="14"/>
                <w:szCs w:val="14"/>
                <w:color w:val="auto"/>
                <w:w w:val="97"/>
              </w:rPr>
              <w:t>Issuance of Series C convertible preferred stock for cash,</w:t>
            </w:r>
          </w:p>
        </w:tc>
        <w:tc>
          <w:tcPr>
            <w:tcW w:w="7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40" w:type="dxa"/>
            <w:vAlign w:val="bottom"/>
            <w:tcBorders>
              <w:right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9"/>
        </w:trPr>
        <w:tc>
          <w:tcPr>
            <w:tcW w:w="3740" w:type="dxa"/>
            <w:vAlign w:val="bottom"/>
          </w:tcPr>
          <w:p>
            <w:pPr>
              <w:ind w:left="360"/>
              <w:spacing w:after="0" w:line="159" w:lineRule="exact"/>
              <w:rPr>
                <w:sz w:val="20"/>
                <w:szCs w:val="20"/>
                <w:color w:val="auto"/>
              </w:rPr>
            </w:pPr>
            <w:r>
              <w:rPr>
                <w:rFonts w:ascii="Arial" w:cs="Arial" w:eastAsia="Arial" w:hAnsi="Arial"/>
                <w:sz w:val="14"/>
                <w:szCs w:val="14"/>
                <w:color w:val="auto"/>
              </w:rPr>
              <w:t>net of issuance costs of $837</w:t>
            </w:r>
          </w:p>
        </w:tc>
        <w:tc>
          <w:tcPr>
            <w:tcW w:w="780" w:type="dxa"/>
            <w:vAlign w:val="bottom"/>
          </w:tcPr>
          <w:p>
            <w:pPr>
              <w:jc w:val="right"/>
              <w:spacing w:after="0" w:line="159" w:lineRule="exact"/>
              <w:rPr>
                <w:sz w:val="20"/>
                <w:szCs w:val="20"/>
                <w:color w:val="auto"/>
              </w:rPr>
            </w:pPr>
            <w:r>
              <w:rPr>
                <w:rFonts w:ascii="Arial" w:cs="Arial" w:eastAsia="Arial" w:hAnsi="Arial"/>
                <w:sz w:val="14"/>
                <w:szCs w:val="14"/>
                <w:color w:val="auto"/>
              </w:rPr>
              <w:t>1,805,518</w:t>
            </w: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jc w:val="right"/>
              <w:spacing w:after="0" w:line="159" w:lineRule="exact"/>
              <w:rPr>
                <w:sz w:val="20"/>
                <w:szCs w:val="20"/>
                <w:color w:val="auto"/>
              </w:rPr>
            </w:pPr>
            <w:r>
              <w:rPr>
                <w:rFonts w:ascii="Arial" w:cs="Arial" w:eastAsia="Arial" w:hAnsi="Arial"/>
                <w:sz w:val="14"/>
                <w:szCs w:val="14"/>
                <w:color w:val="auto"/>
              </w:rPr>
              <w:t>12,073</w:t>
            </w:r>
          </w:p>
        </w:tc>
        <w:tc>
          <w:tcPr>
            <w:tcW w:w="140" w:type="dxa"/>
            <w:vAlign w:val="bottom"/>
            <w:tcBorders>
              <w:right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720" w:type="dxa"/>
            <w:vAlign w:val="bottom"/>
          </w:tcPr>
          <w:p>
            <w:pPr>
              <w:jc w:val="right"/>
              <w:spacing w:after="0" w:line="159" w:lineRule="exact"/>
              <w:rPr>
                <w:sz w:val="20"/>
                <w:szCs w:val="20"/>
                <w:color w:val="auto"/>
              </w:rPr>
            </w:pPr>
            <w:r>
              <w:rPr>
                <w:rFonts w:ascii="Arial" w:cs="Arial" w:eastAsia="Arial" w:hAnsi="Arial"/>
                <w:sz w:val="14"/>
                <w:szCs w:val="14"/>
                <w:color w:val="auto"/>
              </w:rPr>
              <w:t>—</w:t>
            </w:r>
          </w:p>
        </w:tc>
        <w:tc>
          <w:tcPr>
            <w:tcW w:w="2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jc w:val="right"/>
              <w:spacing w:after="0" w:line="159" w:lineRule="exact"/>
              <w:rPr>
                <w:sz w:val="20"/>
                <w:szCs w:val="20"/>
                <w:color w:val="auto"/>
              </w:rPr>
            </w:pPr>
            <w:r>
              <w:rPr>
                <w:rFonts w:ascii="Arial" w:cs="Arial" w:eastAsia="Arial" w:hAnsi="Arial"/>
                <w:sz w:val="14"/>
                <w:szCs w:val="14"/>
                <w:color w:val="auto"/>
              </w:rPr>
              <w:t>—</w:t>
            </w:r>
          </w:p>
        </w:tc>
        <w:tc>
          <w:tcPr>
            <w:tcW w:w="280" w:type="dxa"/>
            <w:vAlign w:val="bottom"/>
          </w:tcPr>
          <w:p>
            <w:pPr>
              <w:spacing w:after="0"/>
              <w:rPr>
                <w:sz w:val="13"/>
                <w:szCs w:val="13"/>
                <w:color w:val="auto"/>
              </w:rPr>
            </w:pPr>
          </w:p>
        </w:tc>
        <w:tc>
          <w:tcPr>
            <w:tcW w:w="660" w:type="dxa"/>
            <w:vAlign w:val="bottom"/>
          </w:tcPr>
          <w:p>
            <w:pPr>
              <w:jc w:val="right"/>
              <w:spacing w:after="0" w:line="159" w:lineRule="exact"/>
              <w:rPr>
                <w:sz w:val="20"/>
                <w:szCs w:val="20"/>
                <w:color w:val="auto"/>
              </w:rPr>
            </w:pPr>
            <w:r>
              <w:rPr>
                <w:rFonts w:ascii="Arial" w:cs="Arial" w:eastAsia="Arial" w:hAnsi="Arial"/>
                <w:sz w:val="14"/>
                <w:szCs w:val="14"/>
                <w:color w:val="auto"/>
              </w:rPr>
              <w:t>—</w:t>
            </w:r>
          </w:p>
        </w:tc>
        <w:tc>
          <w:tcPr>
            <w:tcW w:w="2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900" w:type="dxa"/>
            <w:vAlign w:val="bottom"/>
            <w:gridSpan w:val="2"/>
          </w:tcPr>
          <w:p>
            <w:pPr>
              <w:jc w:val="right"/>
              <w:ind w:right="220"/>
              <w:spacing w:after="0" w:line="159" w:lineRule="exact"/>
              <w:rPr>
                <w:sz w:val="20"/>
                <w:szCs w:val="20"/>
                <w:color w:val="auto"/>
              </w:rPr>
            </w:pPr>
            <w:r>
              <w:rPr>
                <w:rFonts w:ascii="Arial" w:cs="Arial" w:eastAsia="Arial" w:hAnsi="Arial"/>
                <w:sz w:val="14"/>
                <w:szCs w:val="14"/>
                <w:color w:val="auto"/>
              </w:rPr>
              <w:t>—</w:t>
            </w:r>
          </w:p>
        </w:tc>
        <w:tc>
          <w:tcPr>
            <w:tcW w:w="140" w:type="dxa"/>
            <w:vAlign w:val="bottom"/>
          </w:tcPr>
          <w:p>
            <w:pPr>
              <w:spacing w:after="0"/>
              <w:rPr>
                <w:sz w:val="13"/>
                <w:szCs w:val="13"/>
                <w:color w:val="auto"/>
              </w:rPr>
            </w:pPr>
          </w:p>
        </w:tc>
        <w:tc>
          <w:tcPr>
            <w:tcW w:w="820" w:type="dxa"/>
            <w:vAlign w:val="bottom"/>
            <w:gridSpan w:val="2"/>
          </w:tcPr>
          <w:p>
            <w:pPr>
              <w:jc w:val="right"/>
              <w:ind w:right="240"/>
              <w:spacing w:after="0" w:line="159" w:lineRule="exact"/>
              <w:rPr>
                <w:sz w:val="20"/>
                <w:szCs w:val="20"/>
                <w:color w:val="auto"/>
              </w:rPr>
            </w:pPr>
            <w:r>
              <w:rPr>
                <w:rFonts w:ascii="Arial" w:cs="Arial" w:eastAsia="Arial" w:hAnsi="Arial"/>
                <w:sz w:val="14"/>
                <w:szCs w:val="14"/>
                <w:color w:val="auto"/>
              </w:rPr>
              <w:t>—</w:t>
            </w:r>
          </w:p>
        </w:tc>
        <w:tc>
          <w:tcPr>
            <w:tcW w:w="160" w:type="dxa"/>
            <w:vAlign w:val="bottom"/>
          </w:tcPr>
          <w:p>
            <w:pPr>
              <w:spacing w:after="0"/>
              <w:rPr>
                <w:sz w:val="13"/>
                <w:szCs w:val="13"/>
                <w:color w:val="auto"/>
              </w:rPr>
            </w:pPr>
          </w:p>
        </w:tc>
        <w:tc>
          <w:tcPr>
            <w:tcW w:w="740" w:type="dxa"/>
            <w:vAlign w:val="bottom"/>
            <w:gridSpan w:val="2"/>
          </w:tcPr>
          <w:p>
            <w:pPr>
              <w:jc w:val="right"/>
              <w:ind w:right="80"/>
              <w:spacing w:after="0" w:line="15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62"/>
        </w:trPr>
        <w:tc>
          <w:tcPr>
            <w:tcW w:w="3740" w:type="dxa"/>
            <w:vAlign w:val="bottom"/>
            <w:shd w:val="clear" w:color="auto" w:fill="CFF0FC"/>
          </w:tcPr>
          <w:p>
            <w:pPr>
              <w:ind w:left="260"/>
              <w:spacing w:after="0"/>
              <w:rPr>
                <w:sz w:val="20"/>
                <w:szCs w:val="20"/>
                <w:color w:val="auto"/>
              </w:rPr>
            </w:pPr>
            <w:r>
              <w:rPr>
                <w:rFonts w:ascii="Arial" w:cs="Arial" w:eastAsia="Arial" w:hAnsi="Arial"/>
                <w:sz w:val="14"/>
                <w:szCs w:val="14"/>
                <w:color w:val="auto"/>
              </w:rPr>
              <w:t>Stock-based compensation</w:t>
            </w:r>
          </w:p>
        </w:tc>
        <w:tc>
          <w:tcPr>
            <w:tcW w:w="900" w:type="dxa"/>
            <w:vAlign w:val="bottom"/>
            <w:gridSpan w:val="2"/>
            <w:shd w:val="clear" w:color="auto" w:fill="CFF0FC"/>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760" w:type="dxa"/>
            <w:vAlign w:val="bottom"/>
            <w:tcBorders>
              <w:right w:val="single" w:sz="8" w:color="auto"/>
            </w:tcBorders>
            <w:gridSpan w:val="2"/>
            <w:shd w:val="clear" w:color="auto" w:fill="CFF0FC"/>
          </w:tcPr>
          <w:p>
            <w:pPr>
              <w:jc w:val="right"/>
              <w:ind w:right="140"/>
              <w:spacing w:after="0"/>
              <w:rPr>
                <w:sz w:val="20"/>
                <w:szCs w:val="20"/>
                <w:color w:val="auto"/>
              </w:rPr>
            </w:pPr>
            <w:r>
              <w:rPr>
                <w:rFonts w:ascii="Arial" w:cs="Arial" w:eastAsia="Arial" w:hAnsi="Arial"/>
                <w:sz w:val="14"/>
                <w:szCs w:val="14"/>
                <w:color w:val="auto"/>
              </w:rPr>
              <w:t>—</w:t>
            </w:r>
          </w:p>
        </w:tc>
        <w:tc>
          <w:tcPr>
            <w:tcW w:w="80" w:type="dxa"/>
            <w:vAlign w:val="bottom"/>
            <w:shd w:val="clear" w:color="auto" w:fill="CFF0FC"/>
          </w:tcPr>
          <w:p>
            <w:pPr>
              <w:spacing w:after="0"/>
              <w:rPr>
                <w:sz w:val="14"/>
                <w:szCs w:val="14"/>
                <w:color w:val="auto"/>
              </w:rPr>
            </w:pPr>
          </w:p>
        </w:tc>
        <w:tc>
          <w:tcPr>
            <w:tcW w:w="7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22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280" w:type="dxa"/>
            <w:vAlign w:val="bottom"/>
            <w:tcBorders>
              <w:right w:val="single" w:sz="8" w:color="CFF0FC"/>
            </w:tcBorders>
            <w:shd w:val="clear" w:color="auto" w:fill="CFF0FC"/>
          </w:tcPr>
          <w:p>
            <w:pPr>
              <w:spacing w:after="0"/>
              <w:rPr>
                <w:sz w:val="14"/>
                <w:szCs w:val="14"/>
                <w:color w:val="auto"/>
              </w:rPr>
            </w:pPr>
          </w:p>
        </w:tc>
        <w:tc>
          <w:tcPr>
            <w:tcW w:w="6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466</w:t>
            </w:r>
          </w:p>
        </w:tc>
        <w:tc>
          <w:tcPr>
            <w:tcW w:w="22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900" w:type="dxa"/>
            <w:vAlign w:val="bottom"/>
            <w:gridSpan w:val="2"/>
            <w:shd w:val="clear" w:color="auto" w:fill="CFF0FC"/>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shd w:val="clear" w:color="auto" w:fill="CFF0FC"/>
          </w:tcPr>
          <w:p>
            <w:pPr>
              <w:spacing w:after="0"/>
              <w:rPr>
                <w:sz w:val="14"/>
                <w:szCs w:val="14"/>
                <w:color w:val="auto"/>
              </w:rPr>
            </w:pPr>
          </w:p>
        </w:tc>
        <w:tc>
          <w:tcPr>
            <w:tcW w:w="820" w:type="dxa"/>
            <w:vAlign w:val="bottom"/>
            <w:gridSpan w:val="2"/>
            <w:shd w:val="clear" w:color="auto" w:fill="CFF0FC"/>
          </w:tcPr>
          <w:p>
            <w:pPr>
              <w:jc w:val="right"/>
              <w:ind w:right="240"/>
              <w:spacing w:after="0"/>
              <w:rPr>
                <w:sz w:val="20"/>
                <w:szCs w:val="20"/>
                <w:color w:val="auto"/>
              </w:rPr>
            </w:pPr>
            <w:r>
              <w:rPr>
                <w:rFonts w:ascii="Arial" w:cs="Arial" w:eastAsia="Arial" w:hAnsi="Arial"/>
                <w:sz w:val="14"/>
                <w:szCs w:val="14"/>
                <w:color w:val="auto"/>
              </w:rPr>
              <w:t>—</w:t>
            </w:r>
          </w:p>
        </w:tc>
        <w:tc>
          <w:tcPr>
            <w:tcW w:w="160" w:type="dxa"/>
            <w:vAlign w:val="bottom"/>
            <w:shd w:val="clear" w:color="auto" w:fill="CFF0FC"/>
          </w:tcPr>
          <w:p>
            <w:pPr>
              <w:spacing w:after="0"/>
              <w:rPr>
                <w:sz w:val="14"/>
                <w:szCs w:val="14"/>
                <w:color w:val="auto"/>
              </w:rPr>
            </w:pPr>
          </w:p>
        </w:tc>
        <w:tc>
          <w:tcPr>
            <w:tcW w:w="6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466</w:t>
            </w:r>
          </w:p>
        </w:tc>
        <w:tc>
          <w:tcPr>
            <w:tcW w:w="6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3740" w:type="dxa"/>
            <w:vAlign w:val="bottom"/>
          </w:tcPr>
          <w:p>
            <w:pPr>
              <w:ind w:left="260"/>
              <w:spacing w:after="0"/>
              <w:rPr>
                <w:sz w:val="20"/>
                <w:szCs w:val="20"/>
                <w:color w:val="auto"/>
              </w:rPr>
            </w:pPr>
            <w:r>
              <w:rPr>
                <w:rFonts w:ascii="Arial" w:cs="Arial" w:eastAsia="Arial" w:hAnsi="Arial"/>
                <w:sz w:val="14"/>
                <w:szCs w:val="14"/>
                <w:color w:val="auto"/>
              </w:rPr>
              <w:t>Net loss</w:t>
            </w:r>
          </w:p>
        </w:tc>
        <w:tc>
          <w:tcPr>
            <w:tcW w:w="780" w:type="dxa"/>
            <w:vAlign w:val="bottom"/>
          </w:tcPr>
          <w:p>
            <w:pPr>
              <w:jc w:val="right"/>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jc w:val="right"/>
              <w:spacing w:after="0"/>
              <w:rPr>
                <w:sz w:val="20"/>
                <w:szCs w:val="20"/>
                <w:color w:val="auto"/>
              </w:rPr>
            </w:pPr>
            <w:r>
              <w:rPr>
                <w:rFonts w:ascii="Arial" w:cs="Arial" w:eastAsia="Arial" w:hAnsi="Arial"/>
                <w:sz w:val="14"/>
                <w:szCs w:val="14"/>
                <w:color w:val="auto"/>
              </w:rPr>
              <w:t>—</w:t>
            </w:r>
          </w:p>
        </w:tc>
        <w:tc>
          <w:tcPr>
            <w:tcW w:w="140" w:type="dxa"/>
            <w:vAlign w:val="bottom"/>
            <w:tcBorders>
              <w:right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jc w:val="right"/>
              <w:spacing w:after="0"/>
              <w:rPr>
                <w:sz w:val="20"/>
                <w:szCs w:val="20"/>
                <w:color w:val="auto"/>
              </w:rPr>
            </w:pPr>
            <w:r>
              <w:rPr>
                <w:rFonts w:ascii="Arial" w:cs="Arial" w:eastAsia="Arial" w:hAnsi="Arial"/>
                <w:sz w:val="14"/>
                <w:szCs w:val="14"/>
                <w:color w:val="auto"/>
              </w:rPr>
              <w:t>—</w:t>
            </w:r>
          </w:p>
        </w:tc>
        <w:tc>
          <w:tcPr>
            <w:tcW w:w="28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20" w:type="dxa"/>
            <w:vAlign w:val="bottom"/>
            <w:gridSpan w:val="2"/>
          </w:tcPr>
          <w:p>
            <w:pPr>
              <w:jc w:val="right"/>
              <w:ind w:right="180"/>
              <w:spacing w:after="0"/>
              <w:rPr>
                <w:sz w:val="20"/>
                <w:szCs w:val="20"/>
                <w:color w:val="auto"/>
              </w:rPr>
            </w:pPr>
            <w:r>
              <w:rPr>
                <w:rFonts w:ascii="Arial" w:cs="Arial" w:eastAsia="Arial" w:hAnsi="Arial"/>
                <w:sz w:val="14"/>
                <w:szCs w:val="14"/>
                <w:color w:val="auto"/>
              </w:rPr>
              <w:t>(21,846)</w:t>
            </w:r>
          </w:p>
        </w:tc>
        <w:tc>
          <w:tcPr>
            <w:tcW w:w="160" w:type="dxa"/>
            <w:vAlign w:val="bottom"/>
          </w:tcPr>
          <w:p>
            <w:pPr>
              <w:spacing w:after="0"/>
              <w:rPr>
                <w:sz w:val="14"/>
                <w:szCs w:val="14"/>
                <w:color w:val="auto"/>
              </w:rPr>
            </w:pPr>
          </w:p>
        </w:tc>
        <w:tc>
          <w:tcPr>
            <w:tcW w:w="740" w:type="dxa"/>
            <w:vAlign w:val="bottom"/>
            <w:gridSpan w:val="2"/>
          </w:tcPr>
          <w:p>
            <w:pPr>
              <w:jc w:val="right"/>
              <w:ind w:right="20"/>
              <w:spacing w:after="0"/>
              <w:rPr>
                <w:sz w:val="20"/>
                <w:szCs w:val="20"/>
                <w:color w:val="auto"/>
              </w:rPr>
            </w:pPr>
            <w:r>
              <w:rPr>
                <w:rFonts w:ascii="Arial" w:cs="Arial" w:eastAsia="Arial" w:hAnsi="Arial"/>
                <w:sz w:val="14"/>
                <w:szCs w:val="14"/>
                <w:color w:val="auto"/>
              </w:rPr>
              <w:t>(21,846)</w:t>
            </w:r>
          </w:p>
        </w:tc>
        <w:tc>
          <w:tcPr>
            <w:tcW w:w="0" w:type="dxa"/>
            <w:vAlign w:val="bottom"/>
          </w:tcPr>
          <w:p>
            <w:pPr>
              <w:spacing w:after="0"/>
              <w:rPr>
                <w:sz w:val="1"/>
                <w:szCs w:val="1"/>
                <w:color w:val="auto"/>
              </w:rPr>
            </w:pPr>
          </w:p>
        </w:tc>
      </w:tr>
      <w:tr>
        <w:trPr>
          <w:trHeight w:val="20"/>
        </w:trPr>
        <w:tc>
          <w:tcPr>
            <w:tcW w:w="3740" w:type="dxa"/>
            <w:vAlign w:val="bottom"/>
            <w:vMerge w:val="restart"/>
            <w:shd w:val="clear" w:color="auto" w:fill="CFF0FC"/>
          </w:tcPr>
          <w:p>
            <w:pPr>
              <w:spacing w:after="0"/>
              <w:rPr>
                <w:sz w:val="20"/>
                <w:szCs w:val="20"/>
                <w:color w:val="auto"/>
              </w:rPr>
            </w:pPr>
            <w:r>
              <w:rPr>
                <w:rFonts w:ascii="Arial" w:cs="Arial" w:eastAsia="Arial" w:hAnsi="Arial"/>
                <w:sz w:val="14"/>
                <w:szCs w:val="14"/>
                <w:color w:val="auto"/>
              </w:rPr>
              <w:t>Balance — December 31, 2016</w:t>
            </w:r>
          </w:p>
        </w:tc>
        <w:tc>
          <w:tcPr>
            <w:tcW w:w="780" w:type="dxa"/>
            <w:vAlign w:val="bottom"/>
            <w:shd w:val="clear" w:color="auto" w:fill="000000"/>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40" w:type="dxa"/>
            <w:vAlign w:val="bottom"/>
            <w:tcBorders>
              <w:right w:val="single" w:sz="8" w:color="auto"/>
            </w:tcBorders>
            <w:shd w:val="clear" w:color="auto" w:fill="CFF0FC"/>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280" w:type="dxa"/>
            <w:vAlign w:val="bottom"/>
            <w:tcBorders>
              <w:right w:val="single" w:sz="8" w:color="auto"/>
            </w:tcBorders>
            <w:shd w:val="clear" w:color="auto" w:fill="CFF0FC"/>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200" w:type="dxa"/>
            <w:vAlign w:val="bottom"/>
            <w:shd w:val="clear" w:color="auto" w:fill="CFF0FC"/>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6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3740" w:type="dxa"/>
            <w:vAlign w:val="bottom"/>
            <w:vMerge w:val="continue"/>
            <w:shd w:val="clear" w:color="auto" w:fill="CFF0FC"/>
          </w:tcPr>
          <w:p>
            <w:pPr>
              <w:spacing w:after="0"/>
              <w:rPr>
                <w:sz w:val="13"/>
                <w:szCs w:val="13"/>
                <w:color w:val="auto"/>
              </w:rPr>
            </w:pPr>
          </w:p>
        </w:tc>
        <w:tc>
          <w:tcPr>
            <w:tcW w:w="780" w:type="dxa"/>
            <w:vAlign w:val="bottom"/>
            <w:shd w:val="clear" w:color="auto" w:fill="CFF0FC"/>
          </w:tcPr>
          <w:p>
            <w:pPr>
              <w:jc w:val="right"/>
              <w:spacing w:after="0" w:line="155" w:lineRule="exact"/>
              <w:rPr>
                <w:sz w:val="20"/>
                <w:szCs w:val="20"/>
                <w:color w:val="auto"/>
              </w:rPr>
            </w:pPr>
            <w:r>
              <w:rPr>
                <w:rFonts w:ascii="Arial" w:cs="Arial" w:eastAsia="Arial" w:hAnsi="Arial"/>
                <w:sz w:val="14"/>
                <w:szCs w:val="14"/>
                <w:color w:val="auto"/>
              </w:rPr>
              <w:t>21,142,295</w:t>
            </w:r>
          </w:p>
        </w:tc>
        <w:tc>
          <w:tcPr>
            <w:tcW w:w="12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620" w:type="dxa"/>
            <w:vAlign w:val="bottom"/>
            <w:shd w:val="clear" w:color="auto" w:fill="CFF0FC"/>
          </w:tcPr>
          <w:p>
            <w:pPr>
              <w:jc w:val="right"/>
              <w:spacing w:after="0" w:line="155" w:lineRule="exact"/>
              <w:rPr>
                <w:sz w:val="20"/>
                <w:szCs w:val="20"/>
                <w:color w:val="auto"/>
              </w:rPr>
            </w:pPr>
            <w:r>
              <w:rPr>
                <w:rFonts w:ascii="Arial" w:cs="Arial" w:eastAsia="Arial" w:hAnsi="Arial"/>
                <w:sz w:val="14"/>
                <w:szCs w:val="14"/>
                <w:color w:val="auto"/>
              </w:rPr>
              <w:t>135,735</w:t>
            </w:r>
          </w:p>
        </w:tc>
        <w:tc>
          <w:tcPr>
            <w:tcW w:w="140" w:type="dxa"/>
            <w:vAlign w:val="bottom"/>
            <w:tcBorders>
              <w:right w:val="single" w:sz="8" w:color="auto"/>
            </w:tcBorders>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720" w:type="dxa"/>
            <w:vAlign w:val="bottom"/>
            <w:shd w:val="clear" w:color="auto" w:fill="CFF0FC"/>
          </w:tcPr>
          <w:p>
            <w:pPr>
              <w:jc w:val="right"/>
              <w:spacing w:after="0" w:line="155" w:lineRule="exact"/>
              <w:rPr>
                <w:sz w:val="20"/>
                <w:szCs w:val="20"/>
                <w:color w:val="auto"/>
              </w:rPr>
            </w:pPr>
            <w:r>
              <w:rPr>
                <w:rFonts w:ascii="Arial" w:cs="Arial" w:eastAsia="Arial" w:hAnsi="Arial"/>
                <w:sz w:val="14"/>
                <w:szCs w:val="14"/>
                <w:color w:val="auto"/>
              </w:rPr>
              <w:t>1,615,495</w:t>
            </w:r>
          </w:p>
        </w:tc>
        <w:tc>
          <w:tcPr>
            <w:tcW w:w="22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620" w:type="dxa"/>
            <w:vAlign w:val="bottom"/>
            <w:shd w:val="clear" w:color="auto" w:fill="CFF0FC"/>
          </w:tcPr>
          <w:p>
            <w:pPr>
              <w:jc w:val="right"/>
              <w:spacing w:after="0" w:line="155" w:lineRule="exact"/>
              <w:rPr>
                <w:sz w:val="20"/>
                <w:szCs w:val="20"/>
                <w:color w:val="auto"/>
              </w:rPr>
            </w:pPr>
            <w:r>
              <w:rPr>
                <w:rFonts w:ascii="Arial" w:cs="Arial" w:eastAsia="Arial" w:hAnsi="Arial"/>
                <w:sz w:val="14"/>
                <w:szCs w:val="14"/>
                <w:color w:val="auto"/>
              </w:rPr>
              <w:t>—</w:t>
            </w:r>
          </w:p>
        </w:tc>
        <w:tc>
          <w:tcPr>
            <w:tcW w:w="280" w:type="dxa"/>
            <w:vAlign w:val="bottom"/>
            <w:tcBorders>
              <w:right w:val="single" w:sz="8" w:color="CFF0FC"/>
            </w:tcBorders>
            <w:shd w:val="clear" w:color="auto" w:fill="CFF0FC"/>
          </w:tcPr>
          <w:p>
            <w:pPr>
              <w:spacing w:after="0"/>
              <w:rPr>
                <w:sz w:val="13"/>
                <w:szCs w:val="13"/>
                <w:color w:val="auto"/>
              </w:rPr>
            </w:pPr>
          </w:p>
        </w:tc>
        <w:tc>
          <w:tcPr>
            <w:tcW w:w="660" w:type="dxa"/>
            <w:vAlign w:val="bottom"/>
            <w:shd w:val="clear" w:color="auto" w:fill="CFF0FC"/>
          </w:tcPr>
          <w:p>
            <w:pPr>
              <w:jc w:val="right"/>
              <w:spacing w:after="0" w:line="155" w:lineRule="exact"/>
              <w:rPr>
                <w:sz w:val="20"/>
                <w:szCs w:val="20"/>
                <w:color w:val="auto"/>
              </w:rPr>
            </w:pPr>
            <w:r>
              <w:rPr>
                <w:rFonts w:ascii="Arial" w:cs="Arial" w:eastAsia="Arial" w:hAnsi="Arial"/>
                <w:sz w:val="14"/>
                <w:szCs w:val="14"/>
                <w:color w:val="auto"/>
              </w:rPr>
              <w:t>3,087</w:t>
            </w:r>
          </w:p>
        </w:tc>
        <w:tc>
          <w:tcPr>
            <w:tcW w:w="220" w:type="dxa"/>
            <w:vAlign w:val="bottom"/>
            <w:shd w:val="clear" w:color="auto" w:fill="CFF0FC"/>
          </w:tcPr>
          <w:p>
            <w:pPr>
              <w:spacing w:after="0"/>
              <w:rPr>
                <w:sz w:val="13"/>
                <w:szCs w:val="13"/>
                <w:color w:val="auto"/>
              </w:rPr>
            </w:pPr>
          </w:p>
        </w:tc>
        <w:tc>
          <w:tcPr>
            <w:tcW w:w="160" w:type="dxa"/>
            <w:vAlign w:val="bottom"/>
            <w:shd w:val="clear" w:color="auto" w:fill="CFF0FC"/>
          </w:tcPr>
          <w:p>
            <w:pPr>
              <w:spacing w:after="0"/>
              <w:rPr>
                <w:sz w:val="13"/>
                <w:szCs w:val="13"/>
                <w:color w:val="auto"/>
              </w:rPr>
            </w:pPr>
          </w:p>
        </w:tc>
        <w:tc>
          <w:tcPr>
            <w:tcW w:w="700" w:type="dxa"/>
            <w:vAlign w:val="bottom"/>
            <w:shd w:val="clear" w:color="auto" w:fill="CFF0FC"/>
          </w:tcPr>
          <w:p>
            <w:pPr>
              <w:jc w:val="right"/>
              <w:spacing w:after="0" w:line="155" w:lineRule="exact"/>
              <w:rPr>
                <w:sz w:val="20"/>
                <w:szCs w:val="20"/>
                <w:color w:val="auto"/>
              </w:rPr>
            </w:pPr>
            <w:r>
              <w:rPr>
                <w:rFonts w:ascii="Arial" w:cs="Arial" w:eastAsia="Arial" w:hAnsi="Arial"/>
                <w:sz w:val="14"/>
                <w:szCs w:val="14"/>
                <w:color w:val="auto"/>
              </w:rPr>
              <w:t>14</w:t>
            </w:r>
          </w:p>
        </w:tc>
        <w:tc>
          <w:tcPr>
            <w:tcW w:w="200" w:type="dxa"/>
            <w:vAlign w:val="bottom"/>
            <w:shd w:val="clear" w:color="auto" w:fill="CFF0FC"/>
          </w:tcPr>
          <w:p>
            <w:pPr>
              <w:spacing w:after="0"/>
              <w:rPr>
                <w:sz w:val="13"/>
                <w:szCs w:val="13"/>
                <w:color w:val="auto"/>
              </w:rPr>
            </w:pPr>
          </w:p>
        </w:tc>
        <w:tc>
          <w:tcPr>
            <w:tcW w:w="140" w:type="dxa"/>
            <w:vAlign w:val="bottom"/>
            <w:shd w:val="clear" w:color="auto" w:fill="CFF0FC"/>
          </w:tcPr>
          <w:p>
            <w:pPr>
              <w:spacing w:after="0"/>
              <w:rPr>
                <w:sz w:val="13"/>
                <w:szCs w:val="13"/>
                <w:color w:val="auto"/>
              </w:rPr>
            </w:pPr>
          </w:p>
        </w:tc>
        <w:tc>
          <w:tcPr>
            <w:tcW w:w="820" w:type="dxa"/>
            <w:vAlign w:val="bottom"/>
            <w:gridSpan w:val="2"/>
            <w:shd w:val="clear" w:color="auto" w:fill="CFF0FC"/>
          </w:tcPr>
          <w:p>
            <w:pPr>
              <w:jc w:val="right"/>
              <w:ind w:right="180"/>
              <w:spacing w:after="0" w:line="155" w:lineRule="exact"/>
              <w:rPr>
                <w:sz w:val="20"/>
                <w:szCs w:val="20"/>
                <w:color w:val="auto"/>
              </w:rPr>
            </w:pPr>
            <w:r>
              <w:rPr>
                <w:rFonts w:ascii="Arial" w:cs="Arial" w:eastAsia="Arial" w:hAnsi="Arial"/>
                <w:sz w:val="14"/>
                <w:szCs w:val="14"/>
                <w:color w:val="auto"/>
              </w:rPr>
              <w:t>(146,645)</w:t>
            </w:r>
          </w:p>
        </w:tc>
        <w:tc>
          <w:tcPr>
            <w:tcW w:w="160" w:type="dxa"/>
            <w:vAlign w:val="bottom"/>
            <w:shd w:val="clear" w:color="auto" w:fill="CFF0FC"/>
          </w:tcPr>
          <w:p>
            <w:pPr>
              <w:spacing w:after="0"/>
              <w:rPr>
                <w:sz w:val="13"/>
                <w:szCs w:val="13"/>
                <w:color w:val="auto"/>
              </w:rPr>
            </w:pPr>
          </w:p>
        </w:tc>
        <w:tc>
          <w:tcPr>
            <w:tcW w:w="740" w:type="dxa"/>
            <w:vAlign w:val="bottom"/>
            <w:gridSpan w:val="2"/>
            <w:shd w:val="clear" w:color="auto" w:fill="CFF0FC"/>
          </w:tcPr>
          <w:p>
            <w:pPr>
              <w:jc w:val="right"/>
              <w:ind w:right="20"/>
              <w:spacing w:after="0" w:line="155" w:lineRule="exact"/>
              <w:rPr>
                <w:sz w:val="20"/>
                <w:szCs w:val="20"/>
                <w:color w:val="auto"/>
              </w:rPr>
            </w:pPr>
            <w:r>
              <w:rPr>
                <w:rFonts w:ascii="Arial" w:cs="Arial" w:eastAsia="Arial" w:hAnsi="Arial"/>
                <w:sz w:val="14"/>
                <w:szCs w:val="14"/>
                <w:color w:val="auto"/>
              </w:rPr>
              <w:t>(143,544)</w:t>
            </w:r>
          </w:p>
        </w:tc>
        <w:tc>
          <w:tcPr>
            <w:tcW w:w="0" w:type="dxa"/>
            <w:vAlign w:val="bottom"/>
          </w:tcPr>
          <w:p>
            <w:pPr>
              <w:spacing w:after="0"/>
              <w:rPr>
                <w:sz w:val="1"/>
                <w:szCs w:val="1"/>
                <w:color w:val="auto"/>
              </w:rPr>
            </w:pPr>
          </w:p>
        </w:tc>
      </w:tr>
      <w:tr>
        <w:trPr>
          <w:trHeight w:val="151"/>
        </w:trPr>
        <w:tc>
          <w:tcPr>
            <w:tcW w:w="3740" w:type="dxa"/>
            <w:vAlign w:val="bottom"/>
          </w:tcPr>
          <w:p>
            <w:pPr>
              <w:ind w:left="260"/>
              <w:spacing w:after="0" w:line="151" w:lineRule="exact"/>
              <w:rPr>
                <w:sz w:val="20"/>
                <w:szCs w:val="20"/>
                <w:color w:val="auto"/>
              </w:rPr>
            </w:pPr>
            <w:r>
              <w:rPr>
                <w:rFonts w:ascii="Arial" w:cs="Arial" w:eastAsia="Arial" w:hAnsi="Arial"/>
                <w:sz w:val="14"/>
                <w:szCs w:val="14"/>
                <w:color w:val="auto"/>
              </w:rPr>
              <w:t>Issuance of common stock pursuant to stock option</w:t>
            </w:r>
          </w:p>
        </w:tc>
        <w:tc>
          <w:tcPr>
            <w:tcW w:w="7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40" w:type="dxa"/>
            <w:vAlign w:val="bottom"/>
            <w:tcBorders>
              <w:right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9"/>
        </w:trPr>
        <w:tc>
          <w:tcPr>
            <w:tcW w:w="3740" w:type="dxa"/>
            <w:vAlign w:val="bottom"/>
          </w:tcPr>
          <w:p>
            <w:pPr>
              <w:ind w:left="360"/>
              <w:spacing w:after="0" w:line="159" w:lineRule="exact"/>
              <w:rPr>
                <w:sz w:val="20"/>
                <w:szCs w:val="20"/>
                <w:color w:val="auto"/>
              </w:rPr>
            </w:pPr>
            <w:r>
              <w:rPr>
                <w:rFonts w:ascii="Arial" w:cs="Arial" w:eastAsia="Arial" w:hAnsi="Arial"/>
                <w:sz w:val="14"/>
                <w:szCs w:val="14"/>
                <w:color w:val="auto"/>
              </w:rPr>
              <w:t>exercises of vested options</w:t>
            </w:r>
          </w:p>
        </w:tc>
        <w:tc>
          <w:tcPr>
            <w:tcW w:w="900" w:type="dxa"/>
            <w:vAlign w:val="bottom"/>
            <w:gridSpan w:val="2"/>
          </w:tcPr>
          <w:p>
            <w:pPr>
              <w:jc w:val="right"/>
              <w:ind w:right="140"/>
              <w:spacing w:after="0" w:line="159"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60" w:type="dxa"/>
            <w:vAlign w:val="bottom"/>
            <w:tcBorders>
              <w:right w:val="single" w:sz="8" w:color="auto"/>
            </w:tcBorders>
            <w:gridSpan w:val="2"/>
          </w:tcPr>
          <w:p>
            <w:pPr>
              <w:jc w:val="right"/>
              <w:ind w:right="140"/>
              <w:spacing w:after="0" w:line="15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3"/>
                <w:szCs w:val="13"/>
                <w:color w:val="auto"/>
              </w:rPr>
            </w:pPr>
          </w:p>
        </w:tc>
        <w:tc>
          <w:tcPr>
            <w:tcW w:w="720" w:type="dxa"/>
            <w:vAlign w:val="bottom"/>
          </w:tcPr>
          <w:p>
            <w:pPr>
              <w:jc w:val="right"/>
              <w:spacing w:after="0" w:line="159" w:lineRule="exact"/>
              <w:rPr>
                <w:sz w:val="20"/>
                <w:szCs w:val="20"/>
                <w:color w:val="auto"/>
              </w:rPr>
            </w:pPr>
            <w:r>
              <w:rPr>
                <w:rFonts w:ascii="Arial" w:cs="Arial" w:eastAsia="Arial" w:hAnsi="Arial"/>
                <w:sz w:val="14"/>
                <w:szCs w:val="14"/>
                <w:color w:val="auto"/>
              </w:rPr>
              <w:t>21,843</w:t>
            </w:r>
          </w:p>
        </w:tc>
        <w:tc>
          <w:tcPr>
            <w:tcW w:w="2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jc w:val="right"/>
              <w:spacing w:after="0" w:line="159" w:lineRule="exact"/>
              <w:rPr>
                <w:sz w:val="20"/>
                <w:szCs w:val="20"/>
                <w:color w:val="auto"/>
              </w:rPr>
            </w:pPr>
            <w:r>
              <w:rPr>
                <w:rFonts w:ascii="Arial" w:cs="Arial" w:eastAsia="Arial" w:hAnsi="Arial"/>
                <w:sz w:val="14"/>
                <w:szCs w:val="14"/>
                <w:color w:val="auto"/>
              </w:rPr>
              <w:t>—</w:t>
            </w:r>
          </w:p>
        </w:tc>
        <w:tc>
          <w:tcPr>
            <w:tcW w:w="280" w:type="dxa"/>
            <w:vAlign w:val="bottom"/>
          </w:tcPr>
          <w:p>
            <w:pPr>
              <w:spacing w:after="0"/>
              <w:rPr>
                <w:sz w:val="13"/>
                <w:szCs w:val="13"/>
                <w:color w:val="auto"/>
              </w:rPr>
            </w:pPr>
          </w:p>
        </w:tc>
        <w:tc>
          <w:tcPr>
            <w:tcW w:w="660" w:type="dxa"/>
            <w:vAlign w:val="bottom"/>
          </w:tcPr>
          <w:p>
            <w:pPr>
              <w:jc w:val="right"/>
              <w:spacing w:after="0" w:line="159" w:lineRule="exact"/>
              <w:rPr>
                <w:sz w:val="20"/>
                <w:szCs w:val="20"/>
                <w:color w:val="auto"/>
              </w:rPr>
            </w:pPr>
            <w:r>
              <w:rPr>
                <w:rFonts w:ascii="Arial" w:cs="Arial" w:eastAsia="Arial" w:hAnsi="Arial"/>
                <w:sz w:val="14"/>
                <w:szCs w:val="14"/>
                <w:color w:val="auto"/>
              </w:rPr>
              <w:t>43</w:t>
            </w:r>
          </w:p>
        </w:tc>
        <w:tc>
          <w:tcPr>
            <w:tcW w:w="2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900" w:type="dxa"/>
            <w:vAlign w:val="bottom"/>
            <w:gridSpan w:val="2"/>
          </w:tcPr>
          <w:p>
            <w:pPr>
              <w:jc w:val="right"/>
              <w:ind w:right="220"/>
              <w:spacing w:after="0" w:line="159" w:lineRule="exact"/>
              <w:rPr>
                <w:sz w:val="20"/>
                <w:szCs w:val="20"/>
                <w:color w:val="auto"/>
              </w:rPr>
            </w:pPr>
            <w:r>
              <w:rPr>
                <w:rFonts w:ascii="Arial" w:cs="Arial" w:eastAsia="Arial" w:hAnsi="Arial"/>
                <w:sz w:val="14"/>
                <w:szCs w:val="14"/>
                <w:color w:val="auto"/>
              </w:rPr>
              <w:t>—</w:t>
            </w:r>
          </w:p>
        </w:tc>
        <w:tc>
          <w:tcPr>
            <w:tcW w:w="140" w:type="dxa"/>
            <w:vAlign w:val="bottom"/>
          </w:tcPr>
          <w:p>
            <w:pPr>
              <w:spacing w:after="0"/>
              <w:rPr>
                <w:sz w:val="13"/>
                <w:szCs w:val="13"/>
                <w:color w:val="auto"/>
              </w:rPr>
            </w:pPr>
          </w:p>
        </w:tc>
        <w:tc>
          <w:tcPr>
            <w:tcW w:w="820" w:type="dxa"/>
            <w:vAlign w:val="bottom"/>
            <w:gridSpan w:val="2"/>
          </w:tcPr>
          <w:p>
            <w:pPr>
              <w:jc w:val="right"/>
              <w:ind w:right="240"/>
              <w:spacing w:after="0" w:line="159" w:lineRule="exact"/>
              <w:rPr>
                <w:sz w:val="20"/>
                <w:szCs w:val="20"/>
                <w:color w:val="auto"/>
              </w:rPr>
            </w:pPr>
            <w:r>
              <w:rPr>
                <w:rFonts w:ascii="Arial" w:cs="Arial" w:eastAsia="Arial" w:hAnsi="Arial"/>
                <w:sz w:val="14"/>
                <w:szCs w:val="14"/>
                <w:color w:val="auto"/>
              </w:rPr>
              <w:t>—</w:t>
            </w:r>
          </w:p>
        </w:tc>
        <w:tc>
          <w:tcPr>
            <w:tcW w:w="160" w:type="dxa"/>
            <w:vAlign w:val="bottom"/>
          </w:tcPr>
          <w:p>
            <w:pPr>
              <w:spacing w:after="0"/>
              <w:rPr>
                <w:sz w:val="13"/>
                <w:szCs w:val="13"/>
                <w:color w:val="auto"/>
              </w:rPr>
            </w:pPr>
          </w:p>
        </w:tc>
        <w:tc>
          <w:tcPr>
            <w:tcW w:w="680" w:type="dxa"/>
            <w:vAlign w:val="bottom"/>
          </w:tcPr>
          <w:p>
            <w:pPr>
              <w:jc w:val="right"/>
              <w:spacing w:after="0" w:line="159" w:lineRule="exact"/>
              <w:rPr>
                <w:sz w:val="20"/>
                <w:szCs w:val="20"/>
                <w:color w:val="auto"/>
              </w:rPr>
            </w:pPr>
            <w:r>
              <w:rPr>
                <w:rFonts w:ascii="Arial" w:cs="Arial" w:eastAsia="Arial" w:hAnsi="Arial"/>
                <w:sz w:val="14"/>
                <w:szCs w:val="14"/>
                <w:color w:val="auto"/>
              </w:rPr>
              <w:t>43</w:t>
            </w: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3740" w:type="dxa"/>
            <w:vAlign w:val="bottom"/>
            <w:shd w:val="clear" w:color="auto" w:fill="CFF0FC"/>
          </w:tcPr>
          <w:p>
            <w:pPr>
              <w:ind w:left="260"/>
              <w:spacing w:after="0"/>
              <w:rPr>
                <w:sz w:val="20"/>
                <w:szCs w:val="20"/>
                <w:color w:val="auto"/>
              </w:rPr>
            </w:pPr>
            <w:r>
              <w:rPr>
                <w:rFonts w:ascii="Arial" w:cs="Arial" w:eastAsia="Arial" w:hAnsi="Arial"/>
                <w:sz w:val="14"/>
                <w:szCs w:val="14"/>
                <w:color w:val="auto"/>
              </w:rPr>
              <w:t>Stock-based compensation</w:t>
            </w:r>
          </w:p>
        </w:tc>
        <w:tc>
          <w:tcPr>
            <w:tcW w:w="900" w:type="dxa"/>
            <w:vAlign w:val="bottom"/>
            <w:gridSpan w:val="2"/>
            <w:shd w:val="clear" w:color="auto" w:fill="CFF0FC"/>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760" w:type="dxa"/>
            <w:vAlign w:val="bottom"/>
            <w:tcBorders>
              <w:right w:val="single" w:sz="8" w:color="auto"/>
            </w:tcBorders>
            <w:gridSpan w:val="2"/>
            <w:shd w:val="clear" w:color="auto" w:fill="CFF0FC"/>
          </w:tcPr>
          <w:p>
            <w:pPr>
              <w:jc w:val="right"/>
              <w:ind w:right="140"/>
              <w:spacing w:after="0"/>
              <w:rPr>
                <w:sz w:val="20"/>
                <w:szCs w:val="20"/>
                <w:color w:val="auto"/>
              </w:rPr>
            </w:pPr>
            <w:r>
              <w:rPr>
                <w:rFonts w:ascii="Arial" w:cs="Arial" w:eastAsia="Arial" w:hAnsi="Arial"/>
                <w:sz w:val="14"/>
                <w:szCs w:val="14"/>
                <w:color w:val="auto"/>
              </w:rPr>
              <w:t>—</w:t>
            </w:r>
          </w:p>
        </w:tc>
        <w:tc>
          <w:tcPr>
            <w:tcW w:w="80" w:type="dxa"/>
            <w:vAlign w:val="bottom"/>
            <w:shd w:val="clear" w:color="auto" w:fill="CFF0FC"/>
          </w:tcPr>
          <w:p>
            <w:pPr>
              <w:spacing w:after="0"/>
              <w:rPr>
                <w:sz w:val="14"/>
                <w:szCs w:val="14"/>
                <w:color w:val="auto"/>
              </w:rPr>
            </w:pPr>
          </w:p>
        </w:tc>
        <w:tc>
          <w:tcPr>
            <w:tcW w:w="7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22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280" w:type="dxa"/>
            <w:vAlign w:val="bottom"/>
            <w:tcBorders>
              <w:right w:val="single" w:sz="8" w:color="CFF0FC"/>
            </w:tcBorders>
            <w:shd w:val="clear" w:color="auto" w:fill="CFF0FC"/>
          </w:tcPr>
          <w:p>
            <w:pPr>
              <w:spacing w:after="0"/>
              <w:rPr>
                <w:sz w:val="14"/>
                <w:szCs w:val="14"/>
                <w:color w:val="auto"/>
              </w:rPr>
            </w:pPr>
          </w:p>
        </w:tc>
        <w:tc>
          <w:tcPr>
            <w:tcW w:w="6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465</w:t>
            </w:r>
          </w:p>
        </w:tc>
        <w:tc>
          <w:tcPr>
            <w:tcW w:w="22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900" w:type="dxa"/>
            <w:vAlign w:val="bottom"/>
            <w:gridSpan w:val="2"/>
            <w:shd w:val="clear" w:color="auto" w:fill="CFF0FC"/>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shd w:val="clear" w:color="auto" w:fill="CFF0FC"/>
          </w:tcPr>
          <w:p>
            <w:pPr>
              <w:spacing w:after="0"/>
              <w:rPr>
                <w:sz w:val="14"/>
                <w:szCs w:val="14"/>
                <w:color w:val="auto"/>
              </w:rPr>
            </w:pPr>
          </w:p>
        </w:tc>
        <w:tc>
          <w:tcPr>
            <w:tcW w:w="820" w:type="dxa"/>
            <w:vAlign w:val="bottom"/>
            <w:gridSpan w:val="2"/>
            <w:shd w:val="clear" w:color="auto" w:fill="CFF0FC"/>
          </w:tcPr>
          <w:p>
            <w:pPr>
              <w:jc w:val="right"/>
              <w:ind w:right="240"/>
              <w:spacing w:after="0"/>
              <w:rPr>
                <w:sz w:val="20"/>
                <w:szCs w:val="20"/>
                <w:color w:val="auto"/>
              </w:rPr>
            </w:pPr>
            <w:r>
              <w:rPr>
                <w:rFonts w:ascii="Arial" w:cs="Arial" w:eastAsia="Arial" w:hAnsi="Arial"/>
                <w:sz w:val="14"/>
                <w:szCs w:val="14"/>
                <w:color w:val="auto"/>
              </w:rPr>
              <w:t>—</w:t>
            </w:r>
          </w:p>
        </w:tc>
        <w:tc>
          <w:tcPr>
            <w:tcW w:w="160" w:type="dxa"/>
            <w:vAlign w:val="bottom"/>
            <w:shd w:val="clear" w:color="auto" w:fill="CFF0FC"/>
          </w:tcPr>
          <w:p>
            <w:pPr>
              <w:spacing w:after="0"/>
              <w:rPr>
                <w:sz w:val="14"/>
                <w:szCs w:val="14"/>
                <w:color w:val="auto"/>
              </w:rPr>
            </w:pPr>
          </w:p>
        </w:tc>
        <w:tc>
          <w:tcPr>
            <w:tcW w:w="6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465</w:t>
            </w:r>
          </w:p>
        </w:tc>
        <w:tc>
          <w:tcPr>
            <w:tcW w:w="6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51"/>
        </w:trPr>
        <w:tc>
          <w:tcPr>
            <w:tcW w:w="3740" w:type="dxa"/>
            <w:vAlign w:val="bottom"/>
          </w:tcPr>
          <w:p>
            <w:pPr>
              <w:ind w:left="260"/>
              <w:spacing w:after="0" w:line="151" w:lineRule="exact"/>
              <w:rPr>
                <w:sz w:val="20"/>
                <w:szCs w:val="20"/>
                <w:color w:val="auto"/>
              </w:rPr>
            </w:pPr>
            <w:r>
              <w:rPr>
                <w:rFonts w:ascii="Arial" w:cs="Arial" w:eastAsia="Arial" w:hAnsi="Arial"/>
                <w:sz w:val="14"/>
                <w:szCs w:val="14"/>
                <w:color w:val="auto"/>
                <w:w w:val="98"/>
              </w:rPr>
              <w:t>Issuance of Series C convertible preferred stock for cash</w:t>
            </w:r>
          </w:p>
        </w:tc>
        <w:tc>
          <w:tcPr>
            <w:tcW w:w="7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40" w:type="dxa"/>
            <w:vAlign w:val="bottom"/>
            <w:tcBorders>
              <w:right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9"/>
        </w:trPr>
        <w:tc>
          <w:tcPr>
            <w:tcW w:w="3740" w:type="dxa"/>
            <w:vAlign w:val="bottom"/>
          </w:tcPr>
          <w:p>
            <w:pPr>
              <w:ind w:left="360"/>
              <w:spacing w:after="0" w:line="159" w:lineRule="exact"/>
              <w:rPr>
                <w:sz w:val="20"/>
                <w:szCs w:val="20"/>
                <w:color w:val="auto"/>
              </w:rPr>
            </w:pPr>
            <w:r>
              <w:rPr>
                <w:rFonts w:ascii="Arial" w:cs="Arial" w:eastAsia="Arial" w:hAnsi="Arial"/>
                <w:sz w:val="14"/>
                <w:szCs w:val="14"/>
                <w:color w:val="auto"/>
              </w:rPr>
              <w:t>net of issuance costs of $726</w:t>
            </w:r>
          </w:p>
        </w:tc>
        <w:tc>
          <w:tcPr>
            <w:tcW w:w="780" w:type="dxa"/>
            <w:vAlign w:val="bottom"/>
          </w:tcPr>
          <w:p>
            <w:pPr>
              <w:jc w:val="right"/>
              <w:spacing w:after="0" w:line="159" w:lineRule="exact"/>
              <w:rPr>
                <w:sz w:val="20"/>
                <w:szCs w:val="20"/>
                <w:color w:val="auto"/>
              </w:rPr>
            </w:pPr>
            <w:r>
              <w:rPr>
                <w:rFonts w:ascii="Arial" w:cs="Arial" w:eastAsia="Arial" w:hAnsi="Arial"/>
                <w:sz w:val="14"/>
                <w:szCs w:val="14"/>
                <w:color w:val="auto"/>
              </w:rPr>
              <w:t>1,529,306</w:t>
            </w: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jc w:val="right"/>
              <w:spacing w:after="0" w:line="159" w:lineRule="exact"/>
              <w:rPr>
                <w:sz w:val="20"/>
                <w:szCs w:val="20"/>
                <w:color w:val="auto"/>
              </w:rPr>
            </w:pPr>
            <w:r>
              <w:rPr>
                <w:rFonts w:ascii="Arial" w:cs="Arial" w:eastAsia="Arial" w:hAnsi="Arial"/>
                <w:sz w:val="14"/>
                <w:szCs w:val="14"/>
                <w:color w:val="auto"/>
              </w:rPr>
              <w:t>10,209</w:t>
            </w:r>
          </w:p>
        </w:tc>
        <w:tc>
          <w:tcPr>
            <w:tcW w:w="140" w:type="dxa"/>
            <w:vAlign w:val="bottom"/>
            <w:tcBorders>
              <w:right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720" w:type="dxa"/>
            <w:vAlign w:val="bottom"/>
          </w:tcPr>
          <w:p>
            <w:pPr>
              <w:jc w:val="right"/>
              <w:spacing w:after="0" w:line="159" w:lineRule="exact"/>
              <w:rPr>
                <w:sz w:val="20"/>
                <w:szCs w:val="20"/>
                <w:color w:val="auto"/>
              </w:rPr>
            </w:pPr>
            <w:r>
              <w:rPr>
                <w:rFonts w:ascii="Arial" w:cs="Arial" w:eastAsia="Arial" w:hAnsi="Arial"/>
                <w:sz w:val="14"/>
                <w:szCs w:val="14"/>
                <w:color w:val="auto"/>
              </w:rPr>
              <w:t>—</w:t>
            </w:r>
          </w:p>
        </w:tc>
        <w:tc>
          <w:tcPr>
            <w:tcW w:w="2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jc w:val="right"/>
              <w:spacing w:after="0" w:line="159" w:lineRule="exact"/>
              <w:rPr>
                <w:sz w:val="20"/>
                <w:szCs w:val="20"/>
                <w:color w:val="auto"/>
              </w:rPr>
            </w:pPr>
            <w:r>
              <w:rPr>
                <w:rFonts w:ascii="Arial" w:cs="Arial" w:eastAsia="Arial" w:hAnsi="Arial"/>
                <w:sz w:val="14"/>
                <w:szCs w:val="14"/>
                <w:color w:val="auto"/>
              </w:rPr>
              <w:t>—</w:t>
            </w:r>
          </w:p>
        </w:tc>
        <w:tc>
          <w:tcPr>
            <w:tcW w:w="280" w:type="dxa"/>
            <w:vAlign w:val="bottom"/>
          </w:tcPr>
          <w:p>
            <w:pPr>
              <w:spacing w:after="0"/>
              <w:rPr>
                <w:sz w:val="13"/>
                <w:szCs w:val="13"/>
                <w:color w:val="auto"/>
              </w:rPr>
            </w:pPr>
          </w:p>
        </w:tc>
        <w:tc>
          <w:tcPr>
            <w:tcW w:w="660" w:type="dxa"/>
            <w:vAlign w:val="bottom"/>
          </w:tcPr>
          <w:p>
            <w:pPr>
              <w:jc w:val="right"/>
              <w:spacing w:after="0" w:line="159" w:lineRule="exact"/>
              <w:rPr>
                <w:sz w:val="20"/>
                <w:szCs w:val="20"/>
                <w:color w:val="auto"/>
              </w:rPr>
            </w:pPr>
            <w:r>
              <w:rPr>
                <w:rFonts w:ascii="Arial" w:cs="Arial" w:eastAsia="Arial" w:hAnsi="Arial"/>
                <w:sz w:val="14"/>
                <w:szCs w:val="14"/>
                <w:color w:val="auto"/>
              </w:rPr>
              <w:t>—</w:t>
            </w:r>
          </w:p>
        </w:tc>
        <w:tc>
          <w:tcPr>
            <w:tcW w:w="2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900" w:type="dxa"/>
            <w:vAlign w:val="bottom"/>
            <w:gridSpan w:val="2"/>
          </w:tcPr>
          <w:p>
            <w:pPr>
              <w:jc w:val="right"/>
              <w:ind w:right="220"/>
              <w:spacing w:after="0" w:line="159" w:lineRule="exact"/>
              <w:rPr>
                <w:sz w:val="20"/>
                <w:szCs w:val="20"/>
                <w:color w:val="auto"/>
              </w:rPr>
            </w:pPr>
            <w:r>
              <w:rPr>
                <w:rFonts w:ascii="Arial" w:cs="Arial" w:eastAsia="Arial" w:hAnsi="Arial"/>
                <w:sz w:val="14"/>
                <w:szCs w:val="14"/>
                <w:color w:val="auto"/>
              </w:rPr>
              <w:t>—</w:t>
            </w:r>
          </w:p>
        </w:tc>
        <w:tc>
          <w:tcPr>
            <w:tcW w:w="140" w:type="dxa"/>
            <w:vAlign w:val="bottom"/>
          </w:tcPr>
          <w:p>
            <w:pPr>
              <w:spacing w:after="0"/>
              <w:rPr>
                <w:sz w:val="13"/>
                <w:szCs w:val="13"/>
                <w:color w:val="auto"/>
              </w:rPr>
            </w:pPr>
          </w:p>
        </w:tc>
        <w:tc>
          <w:tcPr>
            <w:tcW w:w="820" w:type="dxa"/>
            <w:vAlign w:val="bottom"/>
            <w:gridSpan w:val="2"/>
          </w:tcPr>
          <w:p>
            <w:pPr>
              <w:jc w:val="right"/>
              <w:ind w:right="240"/>
              <w:spacing w:after="0" w:line="159" w:lineRule="exact"/>
              <w:rPr>
                <w:sz w:val="20"/>
                <w:szCs w:val="20"/>
                <w:color w:val="auto"/>
              </w:rPr>
            </w:pPr>
            <w:r>
              <w:rPr>
                <w:rFonts w:ascii="Arial" w:cs="Arial" w:eastAsia="Arial" w:hAnsi="Arial"/>
                <w:sz w:val="14"/>
                <w:szCs w:val="14"/>
                <w:color w:val="auto"/>
              </w:rPr>
              <w:t>—</w:t>
            </w:r>
          </w:p>
        </w:tc>
        <w:tc>
          <w:tcPr>
            <w:tcW w:w="160" w:type="dxa"/>
            <w:vAlign w:val="bottom"/>
          </w:tcPr>
          <w:p>
            <w:pPr>
              <w:spacing w:after="0"/>
              <w:rPr>
                <w:sz w:val="13"/>
                <w:szCs w:val="13"/>
                <w:color w:val="auto"/>
              </w:rPr>
            </w:pPr>
          </w:p>
        </w:tc>
        <w:tc>
          <w:tcPr>
            <w:tcW w:w="740" w:type="dxa"/>
            <w:vAlign w:val="bottom"/>
            <w:gridSpan w:val="2"/>
          </w:tcPr>
          <w:p>
            <w:pPr>
              <w:jc w:val="right"/>
              <w:ind w:right="80"/>
              <w:spacing w:after="0" w:line="15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62"/>
        </w:trPr>
        <w:tc>
          <w:tcPr>
            <w:tcW w:w="3740" w:type="dxa"/>
            <w:vAlign w:val="bottom"/>
            <w:shd w:val="clear" w:color="auto" w:fill="CFF0FC"/>
          </w:tcPr>
          <w:p>
            <w:pPr>
              <w:ind w:left="260"/>
              <w:spacing w:after="0"/>
              <w:rPr>
                <w:sz w:val="20"/>
                <w:szCs w:val="20"/>
                <w:color w:val="auto"/>
              </w:rPr>
            </w:pPr>
            <w:r>
              <w:rPr>
                <w:rFonts w:ascii="Arial" w:cs="Arial" w:eastAsia="Arial" w:hAnsi="Arial"/>
                <w:sz w:val="14"/>
                <w:szCs w:val="14"/>
                <w:color w:val="auto"/>
              </w:rPr>
              <w:t>Adjustment for fractional shares from reverse stock split</w:t>
            </w:r>
          </w:p>
        </w:tc>
        <w:tc>
          <w:tcPr>
            <w:tcW w:w="900" w:type="dxa"/>
            <w:vAlign w:val="bottom"/>
            <w:gridSpan w:val="2"/>
            <w:shd w:val="clear" w:color="auto" w:fill="CFF0FC"/>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760" w:type="dxa"/>
            <w:vAlign w:val="bottom"/>
            <w:tcBorders>
              <w:right w:val="single" w:sz="8" w:color="auto"/>
            </w:tcBorders>
            <w:gridSpan w:val="2"/>
            <w:shd w:val="clear" w:color="auto" w:fill="CFF0FC"/>
          </w:tcPr>
          <w:p>
            <w:pPr>
              <w:jc w:val="right"/>
              <w:ind w:right="140"/>
              <w:spacing w:after="0"/>
              <w:rPr>
                <w:sz w:val="20"/>
                <w:szCs w:val="20"/>
                <w:color w:val="auto"/>
              </w:rPr>
            </w:pPr>
            <w:r>
              <w:rPr>
                <w:rFonts w:ascii="Arial" w:cs="Arial" w:eastAsia="Arial" w:hAnsi="Arial"/>
                <w:sz w:val="14"/>
                <w:szCs w:val="14"/>
                <w:color w:val="auto"/>
              </w:rPr>
              <w:t>—</w:t>
            </w:r>
          </w:p>
        </w:tc>
        <w:tc>
          <w:tcPr>
            <w:tcW w:w="80" w:type="dxa"/>
            <w:vAlign w:val="bottom"/>
            <w:shd w:val="clear" w:color="auto" w:fill="CFF0FC"/>
          </w:tcPr>
          <w:p>
            <w:pPr>
              <w:spacing w:after="0"/>
              <w:rPr>
                <w:sz w:val="14"/>
                <w:szCs w:val="14"/>
                <w:color w:val="auto"/>
              </w:rPr>
            </w:pPr>
          </w:p>
        </w:tc>
        <w:tc>
          <w:tcPr>
            <w:tcW w:w="7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137</w:t>
            </w:r>
          </w:p>
        </w:tc>
        <w:tc>
          <w:tcPr>
            <w:tcW w:w="22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280" w:type="dxa"/>
            <w:vAlign w:val="bottom"/>
            <w:tcBorders>
              <w:right w:val="single" w:sz="8" w:color="CFF0FC"/>
            </w:tcBorders>
            <w:shd w:val="clear" w:color="auto" w:fill="CFF0FC"/>
          </w:tcPr>
          <w:p>
            <w:pPr>
              <w:spacing w:after="0"/>
              <w:rPr>
                <w:sz w:val="14"/>
                <w:szCs w:val="14"/>
                <w:color w:val="auto"/>
              </w:rPr>
            </w:pPr>
          </w:p>
        </w:tc>
        <w:tc>
          <w:tcPr>
            <w:tcW w:w="6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22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900" w:type="dxa"/>
            <w:vAlign w:val="bottom"/>
            <w:gridSpan w:val="2"/>
            <w:shd w:val="clear" w:color="auto" w:fill="CFF0FC"/>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shd w:val="clear" w:color="auto" w:fill="CFF0FC"/>
          </w:tcPr>
          <w:p>
            <w:pPr>
              <w:spacing w:after="0"/>
              <w:rPr>
                <w:sz w:val="14"/>
                <w:szCs w:val="14"/>
                <w:color w:val="auto"/>
              </w:rPr>
            </w:pPr>
          </w:p>
        </w:tc>
        <w:tc>
          <w:tcPr>
            <w:tcW w:w="820" w:type="dxa"/>
            <w:vAlign w:val="bottom"/>
            <w:gridSpan w:val="2"/>
            <w:shd w:val="clear" w:color="auto" w:fill="CFF0FC"/>
          </w:tcPr>
          <w:p>
            <w:pPr>
              <w:jc w:val="right"/>
              <w:ind w:right="240"/>
              <w:spacing w:after="0"/>
              <w:rPr>
                <w:sz w:val="20"/>
                <w:szCs w:val="20"/>
                <w:color w:val="auto"/>
              </w:rPr>
            </w:pPr>
            <w:r>
              <w:rPr>
                <w:rFonts w:ascii="Arial" w:cs="Arial" w:eastAsia="Arial" w:hAnsi="Arial"/>
                <w:sz w:val="14"/>
                <w:szCs w:val="14"/>
                <w:color w:val="auto"/>
              </w:rPr>
              <w:t>—</w:t>
            </w:r>
          </w:p>
        </w:tc>
        <w:tc>
          <w:tcPr>
            <w:tcW w:w="160" w:type="dxa"/>
            <w:vAlign w:val="bottom"/>
            <w:shd w:val="clear" w:color="auto" w:fill="CFF0FC"/>
          </w:tcPr>
          <w:p>
            <w:pPr>
              <w:spacing w:after="0"/>
              <w:rPr>
                <w:sz w:val="14"/>
                <w:szCs w:val="14"/>
                <w:color w:val="auto"/>
              </w:rPr>
            </w:pPr>
          </w:p>
        </w:tc>
        <w:tc>
          <w:tcPr>
            <w:tcW w:w="740" w:type="dxa"/>
            <w:vAlign w:val="bottom"/>
            <w:gridSpan w:val="2"/>
            <w:shd w:val="clear" w:color="auto" w:fill="CFF0FC"/>
          </w:tcPr>
          <w:p>
            <w:pPr>
              <w:jc w:val="right"/>
              <w:ind w:right="8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51"/>
        </w:trPr>
        <w:tc>
          <w:tcPr>
            <w:tcW w:w="3740" w:type="dxa"/>
            <w:vAlign w:val="bottom"/>
          </w:tcPr>
          <w:p>
            <w:pPr>
              <w:ind w:left="260"/>
              <w:spacing w:after="0" w:line="151" w:lineRule="exact"/>
              <w:rPr>
                <w:sz w:val="20"/>
                <w:szCs w:val="20"/>
                <w:color w:val="auto"/>
              </w:rPr>
            </w:pPr>
            <w:r>
              <w:rPr>
                <w:rFonts w:ascii="Arial" w:cs="Arial" w:eastAsia="Arial" w:hAnsi="Arial"/>
                <w:sz w:val="14"/>
                <w:szCs w:val="14"/>
                <w:color w:val="auto"/>
              </w:rPr>
              <w:t>Reclassification of preferred stock warrant liabilities to</w:t>
            </w:r>
          </w:p>
        </w:tc>
        <w:tc>
          <w:tcPr>
            <w:tcW w:w="7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40" w:type="dxa"/>
            <w:vAlign w:val="bottom"/>
            <w:tcBorders>
              <w:right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3740" w:type="dxa"/>
            <w:vAlign w:val="bottom"/>
          </w:tcPr>
          <w:p>
            <w:pPr>
              <w:ind w:left="260"/>
              <w:spacing w:after="0" w:line="149" w:lineRule="exact"/>
              <w:rPr>
                <w:sz w:val="20"/>
                <w:szCs w:val="20"/>
                <w:color w:val="auto"/>
              </w:rPr>
            </w:pPr>
            <w:r>
              <w:rPr>
                <w:rFonts w:ascii="Arial" w:cs="Arial" w:eastAsia="Arial" w:hAnsi="Arial"/>
                <w:sz w:val="14"/>
                <w:szCs w:val="14"/>
                <w:color w:val="auto"/>
              </w:rPr>
              <w:t>additional</w:t>
            </w:r>
          </w:p>
        </w:tc>
        <w:tc>
          <w:tcPr>
            <w:tcW w:w="7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40" w:type="dxa"/>
            <w:vAlign w:val="bottom"/>
            <w:tcBorders>
              <w:right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9"/>
        </w:trPr>
        <w:tc>
          <w:tcPr>
            <w:tcW w:w="3740" w:type="dxa"/>
            <w:vAlign w:val="bottom"/>
          </w:tcPr>
          <w:p>
            <w:pPr>
              <w:ind w:left="360"/>
              <w:spacing w:after="0" w:line="159" w:lineRule="exact"/>
              <w:rPr>
                <w:sz w:val="20"/>
                <w:szCs w:val="20"/>
                <w:color w:val="auto"/>
              </w:rPr>
            </w:pPr>
            <w:r>
              <w:rPr>
                <w:rFonts w:ascii="Arial" w:cs="Arial" w:eastAsia="Arial" w:hAnsi="Arial"/>
                <w:sz w:val="14"/>
                <w:szCs w:val="14"/>
                <w:color w:val="auto"/>
              </w:rPr>
              <w:t>paid in capital</w:t>
            </w:r>
          </w:p>
        </w:tc>
        <w:tc>
          <w:tcPr>
            <w:tcW w:w="900" w:type="dxa"/>
            <w:vAlign w:val="bottom"/>
            <w:gridSpan w:val="2"/>
          </w:tcPr>
          <w:p>
            <w:pPr>
              <w:jc w:val="right"/>
              <w:ind w:right="140"/>
              <w:spacing w:after="0" w:line="159"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60" w:type="dxa"/>
            <w:vAlign w:val="bottom"/>
            <w:tcBorders>
              <w:right w:val="single" w:sz="8" w:color="auto"/>
            </w:tcBorders>
            <w:gridSpan w:val="2"/>
          </w:tcPr>
          <w:p>
            <w:pPr>
              <w:jc w:val="right"/>
              <w:ind w:right="140"/>
              <w:spacing w:after="0" w:line="15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3"/>
                <w:szCs w:val="13"/>
                <w:color w:val="auto"/>
              </w:rPr>
            </w:pPr>
          </w:p>
        </w:tc>
        <w:tc>
          <w:tcPr>
            <w:tcW w:w="720" w:type="dxa"/>
            <w:vAlign w:val="bottom"/>
          </w:tcPr>
          <w:p>
            <w:pPr>
              <w:jc w:val="right"/>
              <w:spacing w:after="0" w:line="159" w:lineRule="exact"/>
              <w:rPr>
                <w:sz w:val="20"/>
                <w:szCs w:val="20"/>
                <w:color w:val="auto"/>
              </w:rPr>
            </w:pPr>
            <w:r>
              <w:rPr>
                <w:rFonts w:ascii="Arial" w:cs="Arial" w:eastAsia="Arial" w:hAnsi="Arial"/>
                <w:sz w:val="14"/>
                <w:szCs w:val="14"/>
                <w:color w:val="auto"/>
              </w:rPr>
              <w:t>—</w:t>
            </w:r>
          </w:p>
        </w:tc>
        <w:tc>
          <w:tcPr>
            <w:tcW w:w="2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jc w:val="right"/>
              <w:spacing w:after="0" w:line="159" w:lineRule="exact"/>
              <w:rPr>
                <w:sz w:val="20"/>
                <w:szCs w:val="20"/>
                <w:color w:val="auto"/>
              </w:rPr>
            </w:pPr>
            <w:r>
              <w:rPr>
                <w:rFonts w:ascii="Arial" w:cs="Arial" w:eastAsia="Arial" w:hAnsi="Arial"/>
                <w:sz w:val="14"/>
                <w:szCs w:val="14"/>
                <w:color w:val="auto"/>
              </w:rPr>
              <w:t>—</w:t>
            </w:r>
          </w:p>
        </w:tc>
        <w:tc>
          <w:tcPr>
            <w:tcW w:w="280" w:type="dxa"/>
            <w:vAlign w:val="bottom"/>
          </w:tcPr>
          <w:p>
            <w:pPr>
              <w:spacing w:after="0"/>
              <w:rPr>
                <w:sz w:val="13"/>
                <w:szCs w:val="13"/>
                <w:color w:val="auto"/>
              </w:rPr>
            </w:pPr>
          </w:p>
        </w:tc>
        <w:tc>
          <w:tcPr>
            <w:tcW w:w="660" w:type="dxa"/>
            <w:vAlign w:val="bottom"/>
          </w:tcPr>
          <w:p>
            <w:pPr>
              <w:jc w:val="right"/>
              <w:spacing w:after="0" w:line="159" w:lineRule="exact"/>
              <w:rPr>
                <w:sz w:val="20"/>
                <w:szCs w:val="20"/>
                <w:color w:val="auto"/>
              </w:rPr>
            </w:pPr>
            <w:r>
              <w:rPr>
                <w:rFonts w:ascii="Arial" w:cs="Arial" w:eastAsia="Arial" w:hAnsi="Arial"/>
                <w:sz w:val="14"/>
                <w:szCs w:val="14"/>
                <w:color w:val="auto"/>
              </w:rPr>
              <w:t>1,080</w:t>
            </w:r>
          </w:p>
        </w:tc>
        <w:tc>
          <w:tcPr>
            <w:tcW w:w="2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900" w:type="dxa"/>
            <w:vAlign w:val="bottom"/>
            <w:gridSpan w:val="2"/>
          </w:tcPr>
          <w:p>
            <w:pPr>
              <w:jc w:val="right"/>
              <w:ind w:right="220"/>
              <w:spacing w:after="0" w:line="159" w:lineRule="exact"/>
              <w:rPr>
                <w:sz w:val="20"/>
                <w:szCs w:val="20"/>
                <w:color w:val="auto"/>
              </w:rPr>
            </w:pPr>
            <w:r>
              <w:rPr>
                <w:rFonts w:ascii="Arial" w:cs="Arial" w:eastAsia="Arial" w:hAnsi="Arial"/>
                <w:sz w:val="14"/>
                <w:szCs w:val="14"/>
                <w:color w:val="auto"/>
              </w:rPr>
              <w:t>—</w:t>
            </w:r>
          </w:p>
        </w:tc>
        <w:tc>
          <w:tcPr>
            <w:tcW w:w="140" w:type="dxa"/>
            <w:vAlign w:val="bottom"/>
          </w:tcPr>
          <w:p>
            <w:pPr>
              <w:spacing w:after="0"/>
              <w:rPr>
                <w:sz w:val="13"/>
                <w:szCs w:val="13"/>
                <w:color w:val="auto"/>
              </w:rPr>
            </w:pPr>
          </w:p>
        </w:tc>
        <w:tc>
          <w:tcPr>
            <w:tcW w:w="820" w:type="dxa"/>
            <w:vAlign w:val="bottom"/>
            <w:gridSpan w:val="2"/>
          </w:tcPr>
          <w:p>
            <w:pPr>
              <w:jc w:val="right"/>
              <w:ind w:right="240"/>
              <w:spacing w:after="0" w:line="159" w:lineRule="exact"/>
              <w:rPr>
                <w:sz w:val="20"/>
                <w:szCs w:val="20"/>
                <w:color w:val="auto"/>
              </w:rPr>
            </w:pPr>
            <w:r>
              <w:rPr>
                <w:rFonts w:ascii="Arial" w:cs="Arial" w:eastAsia="Arial" w:hAnsi="Arial"/>
                <w:sz w:val="14"/>
                <w:szCs w:val="14"/>
                <w:color w:val="auto"/>
              </w:rPr>
              <w:t>—</w:t>
            </w:r>
          </w:p>
        </w:tc>
        <w:tc>
          <w:tcPr>
            <w:tcW w:w="160" w:type="dxa"/>
            <w:vAlign w:val="bottom"/>
          </w:tcPr>
          <w:p>
            <w:pPr>
              <w:spacing w:after="0"/>
              <w:rPr>
                <w:sz w:val="13"/>
                <w:szCs w:val="13"/>
                <w:color w:val="auto"/>
              </w:rPr>
            </w:pPr>
          </w:p>
        </w:tc>
        <w:tc>
          <w:tcPr>
            <w:tcW w:w="680" w:type="dxa"/>
            <w:vAlign w:val="bottom"/>
          </w:tcPr>
          <w:p>
            <w:pPr>
              <w:jc w:val="right"/>
              <w:spacing w:after="0" w:line="159" w:lineRule="exact"/>
              <w:rPr>
                <w:sz w:val="20"/>
                <w:szCs w:val="20"/>
                <w:color w:val="auto"/>
              </w:rPr>
            </w:pPr>
            <w:r>
              <w:rPr>
                <w:rFonts w:ascii="Arial" w:cs="Arial" w:eastAsia="Arial" w:hAnsi="Arial"/>
                <w:sz w:val="14"/>
                <w:szCs w:val="14"/>
                <w:color w:val="auto"/>
              </w:rPr>
              <w:t>1,080</w:t>
            </w: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3740" w:type="dxa"/>
            <w:vAlign w:val="bottom"/>
            <w:shd w:val="clear" w:color="auto" w:fill="CFF0FC"/>
          </w:tcPr>
          <w:p>
            <w:pPr>
              <w:ind w:left="260"/>
              <w:spacing w:after="0"/>
              <w:rPr>
                <w:sz w:val="20"/>
                <w:szCs w:val="20"/>
                <w:color w:val="auto"/>
              </w:rPr>
            </w:pPr>
            <w:r>
              <w:rPr>
                <w:rFonts w:ascii="Arial" w:cs="Arial" w:eastAsia="Arial" w:hAnsi="Arial"/>
                <w:sz w:val="14"/>
                <w:szCs w:val="14"/>
                <w:color w:val="auto"/>
              </w:rPr>
              <w:t>Conversion of convertible notes to common stock</w:t>
            </w:r>
          </w:p>
        </w:tc>
        <w:tc>
          <w:tcPr>
            <w:tcW w:w="900" w:type="dxa"/>
            <w:vAlign w:val="bottom"/>
            <w:gridSpan w:val="2"/>
            <w:shd w:val="clear" w:color="auto" w:fill="CFF0FC"/>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760" w:type="dxa"/>
            <w:vAlign w:val="bottom"/>
            <w:tcBorders>
              <w:right w:val="single" w:sz="8" w:color="auto"/>
            </w:tcBorders>
            <w:gridSpan w:val="2"/>
            <w:shd w:val="clear" w:color="auto" w:fill="CFF0FC"/>
          </w:tcPr>
          <w:p>
            <w:pPr>
              <w:jc w:val="right"/>
              <w:ind w:right="140"/>
              <w:spacing w:after="0"/>
              <w:rPr>
                <w:sz w:val="20"/>
                <w:szCs w:val="20"/>
                <w:color w:val="auto"/>
              </w:rPr>
            </w:pPr>
            <w:r>
              <w:rPr>
                <w:rFonts w:ascii="Arial" w:cs="Arial" w:eastAsia="Arial" w:hAnsi="Arial"/>
                <w:sz w:val="14"/>
                <w:szCs w:val="14"/>
                <w:color w:val="auto"/>
              </w:rPr>
              <w:t>—</w:t>
            </w:r>
          </w:p>
        </w:tc>
        <w:tc>
          <w:tcPr>
            <w:tcW w:w="80" w:type="dxa"/>
            <w:vAlign w:val="bottom"/>
            <w:shd w:val="clear" w:color="auto" w:fill="CFF0FC"/>
          </w:tcPr>
          <w:p>
            <w:pPr>
              <w:spacing w:after="0"/>
              <w:rPr>
                <w:sz w:val="14"/>
                <w:szCs w:val="14"/>
                <w:color w:val="auto"/>
              </w:rPr>
            </w:pPr>
          </w:p>
        </w:tc>
        <w:tc>
          <w:tcPr>
            <w:tcW w:w="7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718,184</w:t>
            </w:r>
          </w:p>
        </w:tc>
        <w:tc>
          <w:tcPr>
            <w:tcW w:w="22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280" w:type="dxa"/>
            <w:vAlign w:val="bottom"/>
            <w:tcBorders>
              <w:right w:val="single" w:sz="8" w:color="CFF0FC"/>
            </w:tcBorders>
            <w:shd w:val="clear" w:color="auto" w:fill="CFF0FC"/>
          </w:tcPr>
          <w:p>
            <w:pPr>
              <w:spacing w:after="0"/>
              <w:rPr>
                <w:sz w:val="14"/>
                <w:szCs w:val="14"/>
                <w:color w:val="auto"/>
              </w:rPr>
            </w:pPr>
          </w:p>
        </w:tc>
        <w:tc>
          <w:tcPr>
            <w:tcW w:w="6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5,027</w:t>
            </w:r>
          </w:p>
        </w:tc>
        <w:tc>
          <w:tcPr>
            <w:tcW w:w="22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900" w:type="dxa"/>
            <w:vAlign w:val="bottom"/>
            <w:gridSpan w:val="2"/>
            <w:shd w:val="clear" w:color="auto" w:fill="CFF0FC"/>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shd w:val="clear" w:color="auto" w:fill="CFF0FC"/>
          </w:tcPr>
          <w:p>
            <w:pPr>
              <w:spacing w:after="0"/>
              <w:rPr>
                <w:sz w:val="14"/>
                <w:szCs w:val="14"/>
                <w:color w:val="auto"/>
              </w:rPr>
            </w:pPr>
          </w:p>
        </w:tc>
        <w:tc>
          <w:tcPr>
            <w:tcW w:w="820" w:type="dxa"/>
            <w:vAlign w:val="bottom"/>
            <w:gridSpan w:val="2"/>
            <w:shd w:val="clear" w:color="auto" w:fill="CFF0FC"/>
          </w:tcPr>
          <w:p>
            <w:pPr>
              <w:jc w:val="right"/>
              <w:ind w:right="240"/>
              <w:spacing w:after="0"/>
              <w:rPr>
                <w:sz w:val="20"/>
                <w:szCs w:val="20"/>
                <w:color w:val="auto"/>
              </w:rPr>
            </w:pPr>
            <w:r>
              <w:rPr>
                <w:rFonts w:ascii="Arial" w:cs="Arial" w:eastAsia="Arial" w:hAnsi="Arial"/>
                <w:sz w:val="14"/>
                <w:szCs w:val="14"/>
                <w:color w:val="auto"/>
              </w:rPr>
              <w:t>—</w:t>
            </w:r>
          </w:p>
        </w:tc>
        <w:tc>
          <w:tcPr>
            <w:tcW w:w="160" w:type="dxa"/>
            <w:vAlign w:val="bottom"/>
            <w:shd w:val="clear" w:color="auto" w:fill="CFF0FC"/>
          </w:tcPr>
          <w:p>
            <w:pPr>
              <w:spacing w:after="0"/>
              <w:rPr>
                <w:sz w:val="14"/>
                <w:szCs w:val="14"/>
                <w:color w:val="auto"/>
              </w:rPr>
            </w:pPr>
          </w:p>
        </w:tc>
        <w:tc>
          <w:tcPr>
            <w:tcW w:w="6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5,027</w:t>
            </w:r>
          </w:p>
        </w:tc>
        <w:tc>
          <w:tcPr>
            <w:tcW w:w="6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51"/>
        </w:trPr>
        <w:tc>
          <w:tcPr>
            <w:tcW w:w="3740" w:type="dxa"/>
            <w:vAlign w:val="bottom"/>
          </w:tcPr>
          <w:p>
            <w:pPr>
              <w:ind w:left="260"/>
              <w:spacing w:after="0" w:line="151" w:lineRule="exact"/>
              <w:rPr>
                <w:sz w:val="20"/>
                <w:szCs w:val="20"/>
                <w:color w:val="auto"/>
              </w:rPr>
            </w:pPr>
            <w:r>
              <w:rPr>
                <w:rFonts w:ascii="Arial" w:cs="Arial" w:eastAsia="Arial" w:hAnsi="Arial"/>
                <w:sz w:val="14"/>
                <w:szCs w:val="14"/>
                <w:color w:val="auto"/>
              </w:rPr>
              <w:t>Conversion of preferred stock to common stock upon</w:t>
            </w:r>
          </w:p>
        </w:tc>
        <w:tc>
          <w:tcPr>
            <w:tcW w:w="7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40" w:type="dxa"/>
            <w:vAlign w:val="bottom"/>
            <w:tcBorders>
              <w:right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9"/>
        </w:trPr>
        <w:tc>
          <w:tcPr>
            <w:tcW w:w="3740" w:type="dxa"/>
            <w:vAlign w:val="bottom"/>
          </w:tcPr>
          <w:p>
            <w:pPr>
              <w:ind w:left="360"/>
              <w:spacing w:after="0" w:line="159" w:lineRule="exact"/>
              <w:rPr>
                <w:sz w:val="20"/>
                <w:szCs w:val="20"/>
                <w:color w:val="auto"/>
              </w:rPr>
            </w:pPr>
            <w:r>
              <w:rPr>
                <w:rFonts w:ascii="Arial" w:cs="Arial" w:eastAsia="Arial" w:hAnsi="Arial"/>
                <w:sz w:val="14"/>
                <w:szCs w:val="14"/>
                <w:color w:val="auto"/>
              </w:rPr>
              <w:t>initial public offering</w:t>
            </w:r>
          </w:p>
        </w:tc>
        <w:tc>
          <w:tcPr>
            <w:tcW w:w="900" w:type="dxa"/>
            <w:vAlign w:val="bottom"/>
            <w:gridSpan w:val="2"/>
          </w:tcPr>
          <w:p>
            <w:pPr>
              <w:jc w:val="right"/>
              <w:ind w:right="80"/>
              <w:spacing w:after="0" w:line="159" w:lineRule="exact"/>
              <w:rPr>
                <w:sz w:val="20"/>
                <w:szCs w:val="20"/>
                <w:color w:val="auto"/>
              </w:rPr>
            </w:pPr>
            <w:r>
              <w:rPr>
                <w:rFonts w:ascii="Arial" w:cs="Arial" w:eastAsia="Arial" w:hAnsi="Arial"/>
                <w:sz w:val="14"/>
                <w:szCs w:val="14"/>
                <w:color w:val="auto"/>
              </w:rPr>
              <w:t>(22,671,601)</w:t>
            </w: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60" w:type="dxa"/>
            <w:vAlign w:val="bottom"/>
            <w:tcBorders>
              <w:right w:val="single" w:sz="8" w:color="auto"/>
            </w:tcBorders>
            <w:gridSpan w:val="2"/>
          </w:tcPr>
          <w:p>
            <w:pPr>
              <w:jc w:val="right"/>
              <w:ind w:right="100"/>
              <w:spacing w:after="0" w:line="159" w:lineRule="exact"/>
              <w:rPr>
                <w:sz w:val="20"/>
                <w:szCs w:val="20"/>
                <w:color w:val="auto"/>
              </w:rPr>
            </w:pPr>
            <w:r>
              <w:rPr>
                <w:rFonts w:ascii="Arial" w:cs="Arial" w:eastAsia="Arial" w:hAnsi="Arial"/>
                <w:sz w:val="14"/>
                <w:szCs w:val="14"/>
                <w:color w:val="auto"/>
              </w:rPr>
              <w:t>(145,944)</w:t>
            </w:r>
          </w:p>
        </w:tc>
        <w:tc>
          <w:tcPr>
            <w:tcW w:w="80" w:type="dxa"/>
            <w:vAlign w:val="bottom"/>
          </w:tcPr>
          <w:p>
            <w:pPr>
              <w:spacing w:after="0"/>
              <w:rPr>
                <w:sz w:val="13"/>
                <w:szCs w:val="13"/>
                <w:color w:val="auto"/>
              </w:rPr>
            </w:pPr>
          </w:p>
        </w:tc>
        <w:tc>
          <w:tcPr>
            <w:tcW w:w="720" w:type="dxa"/>
            <w:vAlign w:val="bottom"/>
          </w:tcPr>
          <w:p>
            <w:pPr>
              <w:jc w:val="right"/>
              <w:spacing w:after="0" w:line="159" w:lineRule="exact"/>
              <w:rPr>
                <w:sz w:val="20"/>
                <w:szCs w:val="20"/>
                <w:color w:val="auto"/>
              </w:rPr>
            </w:pPr>
            <w:r>
              <w:rPr>
                <w:rFonts w:ascii="Arial" w:cs="Arial" w:eastAsia="Arial" w:hAnsi="Arial"/>
                <w:sz w:val="14"/>
                <w:szCs w:val="14"/>
                <w:color w:val="auto"/>
                <w:w w:val="99"/>
              </w:rPr>
              <w:t>22,671,601</w:t>
            </w:r>
          </w:p>
        </w:tc>
        <w:tc>
          <w:tcPr>
            <w:tcW w:w="2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jc w:val="right"/>
              <w:spacing w:after="0" w:line="159" w:lineRule="exact"/>
              <w:rPr>
                <w:sz w:val="20"/>
                <w:szCs w:val="20"/>
                <w:color w:val="auto"/>
              </w:rPr>
            </w:pPr>
            <w:r>
              <w:rPr>
                <w:rFonts w:ascii="Arial" w:cs="Arial" w:eastAsia="Arial" w:hAnsi="Arial"/>
                <w:sz w:val="14"/>
                <w:szCs w:val="14"/>
                <w:color w:val="auto"/>
              </w:rPr>
              <w:t>3</w:t>
            </w:r>
          </w:p>
        </w:tc>
        <w:tc>
          <w:tcPr>
            <w:tcW w:w="280" w:type="dxa"/>
            <w:vAlign w:val="bottom"/>
          </w:tcPr>
          <w:p>
            <w:pPr>
              <w:spacing w:after="0"/>
              <w:rPr>
                <w:sz w:val="13"/>
                <w:szCs w:val="13"/>
                <w:color w:val="auto"/>
              </w:rPr>
            </w:pPr>
          </w:p>
        </w:tc>
        <w:tc>
          <w:tcPr>
            <w:tcW w:w="660" w:type="dxa"/>
            <w:vAlign w:val="bottom"/>
          </w:tcPr>
          <w:p>
            <w:pPr>
              <w:jc w:val="right"/>
              <w:spacing w:after="0" w:line="159" w:lineRule="exact"/>
              <w:rPr>
                <w:sz w:val="20"/>
                <w:szCs w:val="20"/>
                <w:color w:val="auto"/>
              </w:rPr>
            </w:pPr>
            <w:r>
              <w:rPr>
                <w:rFonts w:ascii="Arial" w:cs="Arial" w:eastAsia="Arial" w:hAnsi="Arial"/>
                <w:sz w:val="14"/>
                <w:szCs w:val="14"/>
                <w:color w:val="auto"/>
              </w:rPr>
              <w:t>145,941</w:t>
            </w:r>
          </w:p>
        </w:tc>
        <w:tc>
          <w:tcPr>
            <w:tcW w:w="2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900" w:type="dxa"/>
            <w:vAlign w:val="bottom"/>
            <w:gridSpan w:val="2"/>
          </w:tcPr>
          <w:p>
            <w:pPr>
              <w:jc w:val="right"/>
              <w:ind w:right="220"/>
              <w:spacing w:after="0" w:line="159" w:lineRule="exact"/>
              <w:rPr>
                <w:sz w:val="20"/>
                <w:szCs w:val="20"/>
                <w:color w:val="auto"/>
              </w:rPr>
            </w:pPr>
            <w:r>
              <w:rPr>
                <w:rFonts w:ascii="Arial" w:cs="Arial" w:eastAsia="Arial" w:hAnsi="Arial"/>
                <w:sz w:val="14"/>
                <w:szCs w:val="14"/>
                <w:color w:val="auto"/>
              </w:rPr>
              <w:t>—</w:t>
            </w:r>
          </w:p>
        </w:tc>
        <w:tc>
          <w:tcPr>
            <w:tcW w:w="140" w:type="dxa"/>
            <w:vAlign w:val="bottom"/>
          </w:tcPr>
          <w:p>
            <w:pPr>
              <w:spacing w:after="0"/>
              <w:rPr>
                <w:sz w:val="13"/>
                <w:szCs w:val="13"/>
                <w:color w:val="auto"/>
              </w:rPr>
            </w:pPr>
          </w:p>
        </w:tc>
        <w:tc>
          <w:tcPr>
            <w:tcW w:w="820" w:type="dxa"/>
            <w:vAlign w:val="bottom"/>
            <w:gridSpan w:val="2"/>
          </w:tcPr>
          <w:p>
            <w:pPr>
              <w:jc w:val="right"/>
              <w:ind w:right="240"/>
              <w:spacing w:after="0" w:line="159" w:lineRule="exact"/>
              <w:rPr>
                <w:sz w:val="20"/>
                <w:szCs w:val="20"/>
                <w:color w:val="auto"/>
              </w:rPr>
            </w:pPr>
            <w:r>
              <w:rPr>
                <w:rFonts w:ascii="Arial" w:cs="Arial" w:eastAsia="Arial" w:hAnsi="Arial"/>
                <w:sz w:val="14"/>
                <w:szCs w:val="14"/>
                <w:color w:val="auto"/>
              </w:rPr>
              <w:t>—</w:t>
            </w:r>
          </w:p>
        </w:tc>
        <w:tc>
          <w:tcPr>
            <w:tcW w:w="160" w:type="dxa"/>
            <w:vAlign w:val="bottom"/>
          </w:tcPr>
          <w:p>
            <w:pPr>
              <w:spacing w:after="0"/>
              <w:rPr>
                <w:sz w:val="13"/>
                <w:szCs w:val="13"/>
                <w:color w:val="auto"/>
              </w:rPr>
            </w:pPr>
          </w:p>
        </w:tc>
        <w:tc>
          <w:tcPr>
            <w:tcW w:w="680" w:type="dxa"/>
            <w:vAlign w:val="bottom"/>
          </w:tcPr>
          <w:p>
            <w:pPr>
              <w:jc w:val="right"/>
              <w:spacing w:after="0" w:line="159" w:lineRule="exact"/>
              <w:rPr>
                <w:sz w:val="20"/>
                <w:szCs w:val="20"/>
                <w:color w:val="auto"/>
              </w:rPr>
            </w:pPr>
            <w:r>
              <w:rPr>
                <w:rFonts w:ascii="Arial" w:cs="Arial" w:eastAsia="Arial" w:hAnsi="Arial"/>
                <w:sz w:val="14"/>
                <w:szCs w:val="14"/>
                <w:color w:val="auto"/>
              </w:rPr>
              <w:t>145,944</w:t>
            </w: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1"/>
        </w:trPr>
        <w:tc>
          <w:tcPr>
            <w:tcW w:w="3740" w:type="dxa"/>
            <w:vAlign w:val="bottom"/>
            <w:shd w:val="clear" w:color="auto" w:fill="CFF0FC"/>
          </w:tcPr>
          <w:p>
            <w:pPr>
              <w:ind w:left="260"/>
              <w:spacing w:after="0" w:line="151" w:lineRule="exact"/>
              <w:rPr>
                <w:sz w:val="20"/>
                <w:szCs w:val="20"/>
                <w:color w:val="auto"/>
              </w:rPr>
            </w:pPr>
            <w:r>
              <w:rPr>
                <w:rFonts w:ascii="Arial" w:cs="Arial" w:eastAsia="Arial" w:hAnsi="Arial"/>
                <w:sz w:val="14"/>
                <w:szCs w:val="14"/>
                <w:color w:val="auto"/>
              </w:rPr>
              <w:t>Issuance of common stock in connection with initial</w:t>
            </w:r>
          </w:p>
        </w:tc>
        <w:tc>
          <w:tcPr>
            <w:tcW w:w="78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620" w:type="dxa"/>
            <w:vAlign w:val="bottom"/>
            <w:shd w:val="clear" w:color="auto" w:fill="CFF0FC"/>
          </w:tcPr>
          <w:p>
            <w:pPr>
              <w:spacing w:after="0"/>
              <w:rPr>
                <w:sz w:val="13"/>
                <w:szCs w:val="13"/>
                <w:color w:val="auto"/>
              </w:rPr>
            </w:pPr>
          </w:p>
        </w:tc>
        <w:tc>
          <w:tcPr>
            <w:tcW w:w="140" w:type="dxa"/>
            <w:vAlign w:val="bottom"/>
            <w:tcBorders>
              <w:right w:val="single" w:sz="8" w:color="auto"/>
            </w:tcBorders>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720" w:type="dxa"/>
            <w:vAlign w:val="bottom"/>
            <w:shd w:val="clear" w:color="auto" w:fill="CFF0FC"/>
          </w:tcPr>
          <w:p>
            <w:pPr>
              <w:spacing w:after="0"/>
              <w:rPr>
                <w:sz w:val="13"/>
                <w:szCs w:val="13"/>
                <w:color w:val="auto"/>
              </w:rPr>
            </w:pPr>
          </w:p>
        </w:tc>
        <w:tc>
          <w:tcPr>
            <w:tcW w:w="22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620" w:type="dxa"/>
            <w:vAlign w:val="bottom"/>
            <w:shd w:val="clear" w:color="auto" w:fill="CFF0FC"/>
          </w:tcPr>
          <w:p>
            <w:pPr>
              <w:spacing w:after="0"/>
              <w:rPr>
                <w:sz w:val="13"/>
                <w:szCs w:val="13"/>
                <w:color w:val="auto"/>
              </w:rPr>
            </w:pPr>
          </w:p>
        </w:tc>
        <w:tc>
          <w:tcPr>
            <w:tcW w:w="280" w:type="dxa"/>
            <w:vAlign w:val="bottom"/>
            <w:tcBorders>
              <w:right w:val="single" w:sz="8" w:color="CFF0FC"/>
            </w:tcBorders>
            <w:shd w:val="clear" w:color="auto" w:fill="CFF0FC"/>
          </w:tcPr>
          <w:p>
            <w:pPr>
              <w:spacing w:after="0"/>
              <w:rPr>
                <w:sz w:val="13"/>
                <w:szCs w:val="13"/>
                <w:color w:val="auto"/>
              </w:rPr>
            </w:pPr>
          </w:p>
        </w:tc>
        <w:tc>
          <w:tcPr>
            <w:tcW w:w="660" w:type="dxa"/>
            <w:vAlign w:val="bottom"/>
            <w:shd w:val="clear" w:color="auto" w:fill="CFF0FC"/>
          </w:tcPr>
          <w:p>
            <w:pPr>
              <w:spacing w:after="0"/>
              <w:rPr>
                <w:sz w:val="13"/>
                <w:szCs w:val="13"/>
                <w:color w:val="auto"/>
              </w:rPr>
            </w:pPr>
          </w:p>
        </w:tc>
        <w:tc>
          <w:tcPr>
            <w:tcW w:w="220" w:type="dxa"/>
            <w:vAlign w:val="bottom"/>
            <w:shd w:val="clear" w:color="auto" w:fill="CFF0FC"/>
          </w:tcPr>
          <w:p>
            <w:pPr>
              <w:spacing w:after="0"/>
              <w:rPr>
                <w:sz w:val="13"/>
                <w:szCs w:val="13"/>
                <w:color w:val="auto"/>
              </w:rPr>
            </w:pPr>
          </w:p>
        </w:tc>
        <w:tc>
          <w:tcPr>
            <w:tcW w:w="160" w:type="dxa"/>
            <w:vAlign w:val="bottom"/>
            <w:shd w:val="clear" w:color="auto" w:fill="CFF0FC"/>
          </w:tcPr>
          <w:p>
            <w:pPr>
              <w:spacing w:after="0"/>
              <w:rPr>
                <w:sz w:val="13"/>
                <w:szCs w:val="13"/>
                <w:color w:val="auto"/>
              </w:rPr>
            </w:pPr>
          </w:p>
        </w:tc>
        <w:tc>
          <w:tcPr>
            <w:tcW w:w="700" w:type="dxa"/>
            <w:vAlign w:val="bottom"/>
            <w:shd w:val="clear" w:color="auto" w:fill="CFF0FC"/>
          </w:tcPr>
          <w:p>
            <w:pPr>
              <w:spacing w:after="0"/>
              <w:rPr>
                <w:sz w:val="13"/>
                <w:szCs w:val="13"/>
                <w:color w:val="auto"/>
              </w:rPr>
            </w:pPr>
          </w:p>
        </w:tc>
        <w:tc>
          <w:tcPr>
            <w:tcW w:w="200" w:type="dxa"/>
            <w:vAlign w:val="bottom"/>
            <w:shd w:val="clear" w:color="auto" w:fill="CFF0FC"/>
          </w:tcPr>
          <w:p>
            <w:pPr>
              <w:spacing w:after="0"/>
              <w:rPr>
                <w:sz w:val="13"/>
                <w:szCs w:val="13"/>
                <w:color w:val="auto"/>
              </w:rPr>
            </w:pPr>
          </w:p>
        </w:tc>
        <w:tc>
          <w:tcPr>
            <w:tcW w:w="140" w:type="dxa"/>
            <w:vAlign w:val="bottom"/>
            <w:shd w:val="clear" w:color="auto" w:fill="CFF0FC"/>
          </w:tcPr>
          <w:p>
            <w:pPr>
              <w:spacing w:after="0"/>
              <w:rPr>
                <w:sz w:val="13"/>
                <w:szCs w:val="13"/>
                <w:color w:val="auto"/>
              </w:rPr>
            </w:pPr>
          </w:p>
        </w:tc>
        <w:tc>
          <w:tcPr>
            <w:tcW w:w="600" w:type="dxa"/>
            <w:vAlign w:val="bottom"/>
            <w:shd w:val="clear" w:color="auto" w:fill="CFF0FC"/>
          </w:tcPr>
          <w:p>
            <w:pPr>
              <w:spacing w:after="0"/>
              <w:rPr>
                <w:sz w:val="13"/>
                <w:szCs w:val="13"/>
                <w:color w:val="auto"/>
              </w:rPr>
            </w:pPr>
          </w:p>
        </w:tc>
        <w:tc>
          <w:tcPr>
            <w:tcW w:w="220" w:type="dxa"/>
            <w:vAlign w:val="bottom"/>
            <w:shd w:val="clear" w:color="auto" w:fill="CFF0FC"/>
          </w:tcPr>
          <w:p>
            <w:pPr>
              <w:spacing w:after="0"/>
              <w:rPr>
                <w:sz w:val="13"/>
                <w:szCs w:val="13"/>
                <w:color w:val="auto"/>
              </w:rPr>
            </w:pPr>
          </w:p>
        </w:tc>
        <w:tc>
          <w:tcPr>
            <w:tcW w:w="160" w:type="dxa"/>
            <w:vAlign w:val="bottom"/>
            <w:shd w:val="clear" w:color="auto" w:fill="CFF0FC"/>
          </w:tcPr>
          <w:p>
            <w:pPr>
              <w:spacing w:after="0"/>
              <w:rPr>
                <w:sz w:val="13"/>
                <w:szCs w:val="13"/>
                <w:color w:val="auto"/>
              </w:rPr>
            </w:pPr>
          </w:p>
        </w:tc>
        <w:tc>
          <w:tcPr>
            <w:tcW w:w="680" w:type="dxa"/>
            <w:vAlign w:val="bottom"/>
            <w:shd w:val="clear" w:color="auto" w:fill="CFF0FC"/>
          </w:tcPr>
          <w:p>
            <w:pPr>
              <w:spacing w:after="0"/>
              <w:rPr>
                <w:sz w:val="13"/>
                <w:szCs w:val="13"/>
                <w:color w:val="auto"/>
              </w:rPr>
            </w:pPr>
          </w:p>
        </w:tc>
        <w:tc>
          <w:tcPr>
            <w:tcW w:w="6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59"/>
        </w:trPr>
        <w:tc>
          <w:tcPr>
            <w:tcW w:w="3740" w:type="dxa"/>
            <w:vAlign w:val="bottom"/>
            <w:shd w:val="clear" w:color="auto" w:fill="CFF0FC"/>
          </w:tcPr>
          <w:p>
            <w:pPr>
              <w:ind w:left="360"/>
              <w:spacing w:after="0" w:line="159" w:lineRule="exact"/>
              <w:rPr>
                <w:sz w:val="20"/>
                <w:szCs w:val="20"/>
                <w:color w:val="auto"/>
              </w:rPr>
            </w:pPr>
            <w:r>
              <w:rPr>
                <w:rFonts w:ascii="Arial" w:cs="Arial" w:eastAsia="Arial" w:hAnsi="Arial"/>
                <w:sz w:val="14"/>
                <w:szCs w:val="14"/>
                <w:color w:val="auto"/>
              </w:rPr>
              <w:t>public offering, net of issuance costs of $5,171</w:t>
            </w:r>
          </w:p>
        </w:tc>
        <w:tc>
          <w:tcPr>
            <w:tcW w:w="900" w:type="dxa"/>
            <w:vAlign w:val="bottom"/>
            <w:gridSpan w:val="2"/>
            <w:shd w:val="clear" w:color="auto" w:fill="CFF0FC"/>
          </w:tcPr>
          <w:p>
            <w:pPr>
              <w:jc w:val="right"/>
              <w:ind w:right="140"/>
              <w:spacing w:after="0" w:line="159" w:lineRule="exact"/>
              <w:rPr>
                <w:sz w:val="20"/>
                <w:szCs w:val="20"/>
                <w:color w:val="auto"/>
              </w:rPr>
            </w:pPr>
            <w:r>
              <w:rPr>
                <w:rFonts w:ascii="Arial" w:cs="Arial" w:eastAsia="Arial" w:hAnsi="Arial"/>
                <w:sz w:val="14"/>
                <w:szCs w:val="14"/>
                <w:color w:val="auto"/>
              </w:rPr>
              <w:t>—</w:t>
            </w:r>
          </w:p>
        </w:tc>
        <w:tc>
          <w:tcPr>
            <w:tcW w:w="10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760" w:type="dxa"/>
            <w:vAlign w:val="bottom"/>
            <w:tcBorders>
              <w:right w:val="single" w:sz="8" w:color="auto"/>
            </w:tcBorders>
            <w:gridSpan w:val="2"/>
            <w:shd w:val="clear" w:color="auto" w:fill="CFF0FC"/>
          </w:tcPr>
          <w:p>
            <w:pPr>
              <w:jc w:val="right"/>
              <w:ind w:right="140"/>
              <w:spacing w:after="0" w:line="159" w:lineRule="exact"/>
              <w:rPr>
                <w:sz w:val="20"/>
                <w:szCs w:val="20"/>
                <w:color w:val="auto"/>
              </w:rPr>
            </w:pPr>
            <w:r>
              <w:rPr>
                <w:rFonts w:ascii="Arial" w:cs="Arial" w:eastAsia="Arial" w:hAnsi="Arial"/>
                <w:sz w:val="14"/>
                <w:szCs w:val="14"/>
                <w:color w:val="auto"/>
              </w:rPr>
              <w:t>—</w:t>
            </w:r>
          </w:p>
        </w:tc>
        <w:tc>
          <w:tcPr>
            <w:tcW w:w="80" w:type="dxa"/>
            <w:vAlign w:val="bottom"/>
            <w:shd w:val="clear" w:color="auto" w:fill="CFF0FC"/>
          </w:tcPr>
          <w:p>
            <w:pPr>
              <w:spacing w:after="0"/>
              <w:rPr>
                <w:sz w:val="13"/>
                <w:szCs w:val="13"/>
                <w:color w:val="auto"/>
              </w:rPr>
            </w:pPr>
          </w:p>
        </w:tc>
        <w:tc>
          <w:tcPr>
            <w:tcW w:w="720" w:type="dxa"/>
            <w:vAlign w:val="bottom"/>
            <w:shd w:val="clear" w:color="auto" w:fill="CFF0FC"/>
          </w:tcPr>
          <w:p>
            <w:pPr>
              <w:jc w:val="right"/>
              <w:spacing w:after="0" w:line="159" w:lineRule="exact"/>
              <w:rPr>
                <w:sz w:val="20"/>
                <w:szCs w:val="20"/>
                <w:color w:val="auto"/>
              </w:rPr>
            </w:pPr>
            <w:r>
              <w:rPr>
                <w:rFonts w:ascii="Arial" w:cs="Arial" w:eastAsia="Arial" w:hAnsi="Arial"/>
                <w:sz w:val="14"/>
                <w:szCs w:val="14"/>
                <w:color w:val="auto"/>
              </w:rPr>
              <w:t>3,897,910</w:t>
            </w:r>
          </w:p>
        </w:tc>
        <w:tc>
          <w:tcPr>
            <w:tcW w:w="22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620" w:type="dxa"/>
            <w:vAlign w:val="bottom"/>
            <w:shd w:val="clear" w:color="auto" w:fill="CFF0FC"/>
          </w:tcPr>
          <w:p>
            <w:pPr>
              <w:jc w:val="right"/>
              <w:spacing w:after="0" w:line="159" w:lineRule="exact"/>
              <w:rPr>
                <w:sz w:val="20"/>
                <w:szCs w:val="20"/>
                <w:color w:val="auto"/>
              </w:rPr>
            </w:pPr>
            <w:r>
              <w:rPr>
                <w:rFonts w:ascii="Arial" w:cs="Arial" w:eastAsia="Arial" w:hAnsi="Arial"/>
                <w:sz w:val="14"/>
                <w:szCs w:val="14"/>
                <w:color w:val="auto"/>
              </w:rPr>
              <w:t>—</w:t>
            </w:r>
          </w:p>
        </w:tc>
        <w:tc>
          <w:tcPr>
            <w:tcW w:w="280" w:type="dxa"/>
            <w:vAlign w:val="bottom"/>
            <w:tcBorders>
              <w:right w:val="single" w:sz="8" w:color="CFF0FC"/>
            </w:tcBorders>
            <w:shd w:val="clear" w:color="auto" w:fill="CFF0FC"/>
          </w:tcPr>
          <w:p>
            <w:pPr>
              <w:spacing w:after="0"/>
              <w:rPr>
                <w:sz w:val="13"/>
                <w:szCs w:val="13"/>
                <w:color w:val="auto"/>
              </w:rPr>
            </w:pPr>
          </w:p>
        </w:tc>
        <w:tc>
          <w:tcPr>
            <w:tcW w:w="660" w:type="dxa"/>
            <w:vAlign w:val="bottom"/>
            <w:shd w:val="clear" w:color="auto" w:fill="CFF0FC"/>
          </w:tcPr>
          <w:p>
            <w:pPr>
              <w:jc w:val="right"/>
              <w:spacing w:after="0" w:line="159" w:lineRule="exact"/>
              <w:rPr>
                <w:sz w:val="20"/>
                <w:szCs w:val="20"/>
                <w:color w:val="auto"/>
              </w:rPr>
            </w:pPr>
            <w:r>
              <w:rPr>
                <w:rFonts w:ascii="Arial" w:cs="Arial" w:eastAsia="Arial" w:hAnsi="Arial"/>
                <w:sz w:val="14"/>
                <w:szCs w:val="14"/>
                <w:color w:val="auto"/>
              </w:rPr>
              <w:t>22,114</w:t>
            </w:r>
          </w:p>
        </w:tc>
        <w:tc>
          <w:tcPr>
            <w:tcW w:w="220" w:type="dxa"/>
            <w:vAlign w:val="bottom"/>
            <w:shd w:val="clear" w:color="auto" w:fill="CFF0FC"/>
          </w:tcPr>
          <w:p>
            <w:pPr>
              <w:spacing w:after="0"/>
              <w:rPr>
                <w:sz w:val="13"/>
                <w:szCs w:val="13"/>
                <w:color w:val="auto"/>
              </w:rPr>
            </w:pPr>
          </w:p>
        </w:tc>
        <w:tc>
          <w:tcPr>
            <w:tcW w:w="160" w:type="dxa"/>
            <w:vAlign w:val="bottom"/>
            <w:shd w:val="clear" w:color="auto" w:fill="CFF0FC"/>
          </w:tcPr>
          <w:p>
            <w:pPr>
              <w:spacing w:after="0"/>
              <w:rPr>
                <w:sz w:val="13"/>
                <w:szCs w:val="13"/>
                <w:color w:val="auto"/>
              </w:rPr>
            </w:pPr>
          </w:p>
        </w:tc>
        <w:tc>
          <w:tcPr>
            <w:tcW w:w="900" w:type="dxa"/>
            <w:vAlign w:val="bottom"/>
            <w:gridSpan w:val="2"/>
            <w:shd w:val="clear" w:color="auto" w:fill="CFF0FC"/>
          </w:tcPr>
          <w:p>
            <w:pPr>
              <w:jc w:val="right"/>
              <w:ind w:right="220"/>
              <w:spacing w:after="0" w:line="159" w:lineRule="exact"/>
              <w:rPr>
                <w:sz w:val="20"/>
                <w:szCs w:val="20"/>
                <w:color w:val="auto"/>
              </w:rPr>
            </w:pPr>
            <w:r>
              <w:rPr>
                <w:rFonts w:ascii="Arial" w:cs="Arial" w:eastAsia="Arial" w:hAnsi="Arial"/>
                <w:sz w:val="14"/>
                <w:szCs w:val="14"/>
                <w:color w:val="auto"/>
              </w:rPr>
              <w:t>—</w:t>
            </w:r>
          </w:p>
        </w:tc>
        <w:tc>
          <w:tcPr>
            <w:tcW w:w="140" w:type="dxa"/>
            <w:vAlign w:val="bottom"/>
            <w:shd w:val="clear" w:color="auto" w:fill="CFF0FC"/>
          </w:tcPr>
          <w:p>
            <w:pPr>
              <w:spacing w:after="0"/>
              <w:rPr>
                <w:sz w:val="13"/>
                <w:szCs w:val="13"/>
                <w:color w:val="auto"/>
              </w:rPr>
            </w:pPr>
          </w:p>
        </w:tc>
        <w:tc>
          <w:tcPr>
            <w:tcW w:w="820" w:type="dxa"/>
            <w:vAlign w:val="bottom"/>
            <w:gridSpan w:val="2"/>
            <w:shd w:val="clear" w:color="auto" w:fill="CFF0FC"/>
          </w:tcPr>
          <w:p>
            <w:pPr>
              <w:jc w:val="right"/>
              <w:ind w:right="240"/>
              <w:spacing w:after="0" w:line="159" w:lineRule="exact"/>
              <w:rPr>
                <w:sz w:val="20"/>
                <w:szCs w:val="20"/>
                <w:color w:val="auto"/>
              </w:rPr>
            </w:pPr>
            <w:r>
              <w:rPr>
                <w:rFonts w:ascii="Arial" w:cs="Arial" w:eastAsia="Arial" w:hAnsi="Arial"/>
                <w:sz w:val="14"/>
                <w:szCs w:val="14"/>
                <w:color w:val="auto"/>
              </w:rPr>
              <w:t>—</w:t>
            </w:r>
          </w:p>
        </w:tc>
        <w:tc>
          <w:tcPr>
            <w:tcW w:w="160" w:type="dxa"/>
            <w:vAlign w:val="bottom"/>
            <w:shd w:val="clear" w:color="auto" w:fill="CFF0FC"/>
          </w:tcPr>
          <w:p>
            <w:pPr>
              <w:spacing w:after="0"/>
              <w:rPr>
                <w:sz w:val="13"/>
                <w:szCs w:val="13"/>
                <w:color w:val="auto"/>
              </w:rPr>
            </w:pPr>
          </w:p>
        </w:tc>
        <w:tc>
          <w:tcPr>
            <w:tcW w:w="680" w:type="dxa"/>
            <w:vAlign w:val="bottom"/>
            <w:shd w:val="clear" w:color="auto" w:fill="CFF0FC"/>
          </w:tcPr>
          <w:p>
            <w:pPr>
              <w:jc w:val="right"/>
              <w:spacing w:after="0" w:line="159" w:lineRule="exact"/>
              <w:rPr>
                <w:sz w:val="20"/>
                <w:szCs w:val="20"/>
                <w:color w:val="auto"/>
              </w:rPr>
            </w:pPr>
            <w:r>
              <w:rPr>
                <w:rFonts w:ascii="Arial" w:cs="Arial" w:eastAsia="Arial" w:hAnsi="Arial"/>
                <w:sz w:val="14"/>
                <w:szCs w:val="14"/>
                <w:color w:val="auto"/>
              </w:rPr>
              <w:t>22,114</w:t>
            </w:r>
          </w:p>
        </w:tc>
        <w:tc>
          <w:tcPr>
            <w:tcW w:w="6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51"/>
        </w:trPr>
        <w:tc>
          <w:tcPr>
            <w:tcW w:w="3740" w:type="dxa"/>
            <w:vAlign w:val="bottom"/>
          </w:tcPr>
          <w:p>
            <w:pPr>
              <w:ind w:left="260"/>
              <w:spacing w:after="0" w:line="151" w:lineRule="exact"/>
              <w:rPr>
                <w:sz w:val="20"/>
                <w:szCs w:val="20"/>
                <w:color w:val="auto"/>
              </w:rPr>
            </w:pPr>
            <w:r>
              <w:rPr>
                <w:rFonts w:ascii="Arial" w:cs="Arial" w:eastAsia="Arial" w:hAnsi="Arial"/>
                <w:sz w:val="14"/>
                <w:szCs w:val="14"/>
                <w:color w:val="auto"/>
                <w:w w:val="94"/>
              </w:rPr>
              <w:t>Issuance of common stock upon exercise of common stock</w:t>
            </w:r>
          </w:p>
        </w:tc>
        <w:tc>
          <w:tcPr>
            <w:tcW w:w="7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40" w:type="dxa"/>
            <w:vAlign w:val="bottom"/>
            <w:tcBorders>
              <w:right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9"/>
        </w:trPr>
        <w:tc>
          <w:tcPr>
            <w:tcW w:w="3740" w:type="dxa"/>
            <w:vAlign w:val="bottom"/>
          </w:tcPr>
          <w:p>
            <w:pPr>
              <w:ind w:left="360"/>
              <w:spacing w:after="0" w:line="159" w:lineRule="exact"/>
              <w:rPr>
                <w:sz w:val="20"/>
                <w:szCs w:val="20"/>
                <w:color w:val="auto"/>
              </w:rPr>
            </w:pPr>
            <w:r>
              <w:rPr>
                <w:rFonts w:ascii="Arial" w:cs="Arial" w:eastAsia="Arial" w:hAnsi="Arial"/>
                <w:sz w:val="14"/>
                <w:szCs w:val="14"/>
                <w:color w:val="auto"/>
              </w:rPr>
              <w:t>warrants</w:t>
            </w:r>
          </w:p>
        </w:tc>
        <w:tc>
          <w:tcPr>
            <w:tcW w:w="900" w:type="dxa"/>
            <w:vAlign w:val="bottom"/>
            <w:gridSpan w:val="2"/>
          </w:tcPr>
          <w:p>
            <w:pPr>
              <w:jc w:val="right"/>
              <w:ind w:right="140"/>
              <w:spacing w:after="0" w:line="159"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60" w:type="dxa"/>
            <w:vAlign w:val="bottom"/>
            <w:tcBorders>
              <w:right w:val="single" w:sz="8" w:color="auto"/>
            </w:tcBorders>
            <w:gridSpan w:val="2"/>
          </w:tcPr>
          <w:p>
            <w:pPr>
              <w:jc w:val="right"/>
              <w:ind w:right="140"/>
              <w:spacing w:after="0" w:line="15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3"/>
                <w:szCs w:val="13"/>
                <w:color w:val="auto"/>
              </w:rPr>
            </w:pPr>
          </w:p>
        </w:tc>
        <w:tc>
          <w:tcPr>
            <w:tcW w:w="720" w:type="dxa"/>
            <w:vAlign w:val="bottom"/>
          </w:tcPr>
          <w:p>
            <w:pPr>
              <w:jc w:val="right"/>
              <w:spacing w:after="0" w:line="159" w:lineRule="exact"/>
              <w:rPr>
                <w:sz w:val="20"/>
                <w:szCs w:val="20"/>
                <w:color w:val="auto"/>
              </w:rPr>
            </w:pPr>
            <w:r>
              <w:rPr>
                <w:rFonts w:ascii="Arial" w:cs="Arial" w:eastAsia="Arial" w:hAnsi="Arial"/>
                <w:sz w:val="14"/>
                <w:szCs w:val="14"/>
                <w:color w:val="auto"/>
              </w:rPr>
              <w:t>15,112</w:t>
            </w:r>
          </w:p>
        </w:tc>
        <w:tc>
          <w:tcPr>
            <w:tcW w:w="2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jc w:val="right"/>
              <w:spacing w:after="0" w:line="159" w:lineRule="exact"/>
              <w:rPr>
                <w:sz w:val="20"/>
                <w:szCs w:val="20"/>
                <w:color w:val="auto"/>
              </w:rPr>
            </w:pPr>
            <w:r>
              <w:rPr>
                <w:rFonts w:ascii="Arial" w:cs="Arial" w:eastAsia="Arial" w:hAnsi="Arial"/>
                <w:sz w:val="14"/>
                <w:szCs w:val="14"/>
                <w:color w:val="auto"/>
              </w:rPr>
              <w:t>—</w:t>
            </w:r>
          </w:p>
        </w:tc>
        <w:tc>
          <w:tcPr>
            <w:tcW w:w="280" w:type="dxa"/>
            <w:vAlign w:val="bottom"/>
          </w:tcPr>
          <w:p>
            <w:pPr>
              <w:spacing w:after="0"/>
              <w:rPr>
                <w:sz w:val="13"/>
                <w:szCs w:val="13"/>
                <w:color w:val="auto"/>
              </w:rPr>
            </w:pPr>
          </w:p>
        </w:tc>
        <w:tc>
          <w:tcPr>
            <w:tcW w:w="660" w:type="dxa"/>
            <w:vAlign w:val="bottom"/>
          </w:tcPr>
          <w:p>
            <w:pPr>
              <w:jc w:val="right"/>
              <w:spacing w:after="0" w:line="159" w:lineRule="exact"/>
              <w:rPr>
                <w:sz w:val="20"/>
                <w:szCs w:val="20"/>
                <w:color w:val="auto"/>
              </w:rPr>
            </w:pPr>
            <w:r>
              <w:rPr>
                <w:rFonts w:ascii="Arial" w:cs="Arial" w:eastAsia="Arial" w:hAnsi="Arial"/>
                <w:sz w:val="14"/>
                <w:szCs w:val="14"/>
                <w:color w:val="auto"/>
              </w:rPr>
              <w:t>—</w:t>
            </w:r>
          </w:p>
        </w:tc>
        <w:tc>
          <w:tcPr>
            <w:tcW w:w="2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900" w:type="dxa"/>
            <w:vAlign w:val="bottom"/>
            <w:gridSpan w:val="2"/>
          </w:tcPr>
          <w:p>
            <w:pPr>
              <w:jc w:val="right"/>
              <w:ind w:right="220"/>
              <w:spacing w:after="0" w:line="159" w:lineRule="exact"/>
              <w:rPr>
                <w:sz w:val="20"/>
                <w:szCs w:val="20"/>
                <w:color w:val="auto"/>
              </w:rPr>
            </w:pPr>
            <w:r>
              <w:rPr>
                <w:rFonts w:ascii="Arial" w:cs="Arial" w:eastAsia="Arial" w:hAnsi="Arial"/>
                <w:sz w:val="14"/>
                <w:szCs w:val="14"/>
                <w:color w:val="auto"/>
              </w:rPr>
              <w:t>—</w:t>
            </w:r>
          </w:p>
        </w:tc>
        <w:tc>
          <w:tcPr>
            <w:tcW w:w="140" w:type="dxa"/>
            <w:vAlign w:val="bottom"/>
          </w:tcPr>
          <w:p>
            <w:pPr>
              <w:spacing w:after="0"/>
              <w:rPr>
                <w:sz w:val="13"/>
                <w:szCs w:val="13"/>
                <w:color w:val="auto"/>
              </w:rPr>
            </w:pPr>
          </w:p>
        </w:tc>
        <w:tc>
          <w:tcPr>
            <w:tcW w:w="820" w:type="dxa"/>
            <w:vAlign w:val="bottom"/>
            <w:gridSpan w:val="2"/>
          </w:tcPr>
          <w:p>
            <w:pPr>
              <w:jc w:val="right"/>
              <w:ind w:right="240"/>
              <w:spacing w:after="0" w:line="159" w:lineRule="exact"/>
              <w:rPr>
                <w:sz w:val="20"/>
                <w:szCs w:val="20"/>
                <w:color w:val="auto"/>
              </w:rPr>
            </w:pPr>
            <w:r>
              <w:rPr>
                <w:rFonts w:ascii="Arial" w:cs="Arial" w:eastAsia="Arial" w:hAnsi="Arial"/>
                <w:sz w:val="14"/>
                <w:szCs w:val="14"/>
                <w:color w:val="auto"/>
              </w:rPr>
              <w:t>—</w:t>
            </w:r>
          </w:p>
        </w:tc>
        <w:tc>
          <w:tcPr>
            <w:tcW w:w="160" w:type="dxa"/>
            <w:vAlign w:val="bottom"/>
          </w:tcPr>
          <w:p>
            <w:pPr>
              <w:spacing w:after="0"/>
              <w:rPr>
                <w:sz w:val="13"/>
                <w:szCs w:val="13"/>
                <w:color w:val="auto"/>
              </w:rPr>
            </w:pPr>
          </w:p>
        </w:tc>
        <w:tc>
          <w:tcPr>
            <w:tcW w:w="740" w:type="dxa"/>
            <w:vAlign w:val="bottom"/>
            <w:gridSpan w:val="2"/>
          </w:tcPr>
          <w:p>
            <w:pPr>
              <w:jc w:val="right"/>
              <w:ind w:right="80"/>
              <w:spacing w:after="0" w:line="15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62"/>
        </w:trPr>
        <w:tc>
          <w:tcPr>
            <w:tcW w:w="3740" w:type="dxa"/>
            <w:vAlign w:val="bottom"/>
            <w:shd w:val="clear" w:color="auto" w:fill="CFF0FC"/>
          </w:tcPr>
          <w:p>
            <w:pPr>
              <w:ind w:left="260"/>
              <w:spacing w:after="0"/>
              <w:rPr>
                <w:sz w:val="20"/>
                <w:szCs w:val="20"/>
                <w:color w:val="auto"/>
              </w:rPr>
            </w:pPr>
            <w:r>
              <w:rPr>
                <w:rFonts w:ascii="Arial" w:cs="Arial" w:eastAsia="Arial" w:hAnsi="Arial"/>
                <w:sz w:val="14"/>
                <w:szCs w:val="14"/>
                <w:color w:val="auto"/>
              </w:rPr>
              <w:t>Other comprehensive loss</w:t>
            </w:r>
          </w:p>
        </w:tc>
        <w:tc>
          <w:tcPr>
            <w:tcW w:w="900" w:type="dxa"/>
            <w:vAlign w:val="bottom"/>
            <w:gridSpan w:val="2"/>
            <w:shd w:val="clear" w:color="auto" w:fill="CFF0FC"/>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760" w:type="dxa"/>
            <w:vAlign w:val="bottom"/>
            <w:tcBorders>
              <w:right w:val="single" w:sz="8" w:color="auto"/>
            </w:tcBorders>
            <w:gridSpan w:val="2"/>
            <w:shd w:val="clear" w:color="auto" w:fill="CFF0FC"/>
          </w:tcPr>
          <w:p>
            <w:pPr>
              <w:jc w:val="right"/>
              <w:ind w:right="140"/>
              <w:spacing w:after="0"/>
              <w:rPr>
                <w:sz w:val="20"/>
                <w:szCs w:val="20"/>
                <w:color w:val="auto"/>
              </w:rPr>
            </w:pPr>
            <w:r>
              <w:rPr>
                <w:rFonts w:ascii="Arial" w:cs="Arial" w:eastAsia="Arial" w:hAnsi="Arial"/>
                <w:sz w:val="14"/>
                <w:szCs w:val="14"/>
                <w:color w:val="auto"/>
              </w:rPr>
              <w:t>—</w:t>
            </w:r>
          </w:p>
        </w:tc>
        <w:tc>
          <w:tcPr>
            <w:tcW w:w="80" w:type="dxa"/>
            <w:vAlign w:val="bottom"/>
            <w:shd w:val="clear" w:color="auto" w:fill="CFF0FC"/>
          </w:tcPr>
          <w:p>
            <w:pPr>
              <w:spacing w:after="0"/>
              <w:rPr>
                <w:sz w:val="14"/>
                <w:szCs w:val="14"/>
                <w:color w:val="auto"/>
              </w:rPr>
            </w:pPr>
          </w:p>
        </w:tc>
        <w:tc>
          <w:tcPr>
            <w:tcW w:w="7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22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280" w:type="dxa"/>
            <w:vAlign w:val="bottom"/>
            <w:tcBorders>
              <w:right w:val="single" w:sz="8" w:color="CFF0FC"/>
            </w:tcBorders>
            <w:shd w:val="clear" w:color="auto" w:fill="CFF0FC"/>
          </w:tcPr>
          <w:p>
            <w:pPr>
              <w:spacing w:after="0"/>
              <w:rPr>
                <w:sz w:val="14"/>
                <w:szCs w:val="14"/>
                <w:color w:val="auto"/>
              </w:rPr>
            </w:pPr>
          </w:p>
        </w:tc>
        <w:tc>
          <w:tcPr>
            <w:tcW w:w="6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22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900" w:type="dxa"/>
            <w:vAlign w:val="bottom"/>
            <w:gridSpan w:val="2"/>
            <w:shd w:val="clear" w:color="auto" w:fill="CFF0FC"/>
          </w:tcPr>
          <w:p>
            <w:pPr>
              <w:jc w:val="right"/>
              <w:ind w:right="160"/>
              <w:spacing w:after="0"/>
              <w:rPr>
                <w:sz w:val="20"/>
                <w:szCs w:val="20"/>
                <w:color w:val="auto"/>
              </w:rPr>
            </w:pPr>
            <w:r>
              <w:rPr>
                <w:rFonts w:ascii="Arial" w:cs="Arial" w:eastAsia="Arial" w:hAnsi="Arial"/>
                <w:sz w:val="14"/>
                <w:szCs w:val="14"/>
                <w:color w:val="auto"/>
              </w:rPr>
              <w:t>(93)</w:t>
            </w:r>
          </w:p>
        </w:tc>
        <w:tc>
          <w:tcPr>
            <w:tcW w:w="140" w:type="dxa"/>
            <w:vAlign w:val="bottom"/>
            <w:shd w:val="clear" w:color="auto" w:fill="CFF0FC"/>
          </w:tcPr>
          <w:p>
            <w:pPr>
              <w:spacing w:after="0"/>
              <w:rPr>
                <w:sz w:val="14"/>
                <w:szCs w:val="14"/>
                <w:color w:val="auto"/>
              </w:rPr>
            </w:pPr>
          </w:p>
        </w:tc>
        <w:tc>
          <w:tcPr>
            <w:tcW w:w="820" w:type="dxa"/>
            <w:vAlign w:val="bottom"/>
            <w:gridSpan w:val="2"/>
            <w:shd w:val="clear" w:color="auto" w:fill="CFF0FC"/>
          </w:tcPr>
          <w:p>
            <w:pPr>
              <w:jc w:val="right"/>
              <w:ind w:right="240"/>
              <w:spacing w:after="0"/>
              <w:rPr>
                <w:sz w:val="20"/>
                <w:szCs w:val="20"/>
                <w:color w:val="auto"/>
              </w:rPr>
            </w:pPr>
            <w:r>
              <w:rPr>
                <w:rFonts w:ascii="Arial" w:cs="Arial" w:eastAsia="Arial" w:hAnsi="Arial"/>
                <w:sz w:val="14"/>
                <w:szCs w:val="14"/>
                <w:color w:val="auto"/>
              </w:rPr>
              <w:t>—</w:t>
            </w:r>
          </w:p>
        </w:tc>
        <w:tc>
          <w:tcPr>
            <w:tcW w:w="160" w:type="dxa"/>
            <w:vAlign w:val="bottom"/>
            <w:shd w:val="clear" w:color="auto" w:fill="CFF0FC"/>
          </w:tcPr>
          <w:p>
            <w:pPr>
              <w:spacing w:after="0"/>
              <w:rPr>
                <w:sz w:val="14"/>
                <w:szCs w:val="14"/>
                <w:color w:val="auto"/>
              </w:rPr>
            </w:pPr>
          </w:p>
        </w:tc>
        <w:tc>
          <w:tcPr>
            <w:tcW w:w="740" w:type="dxa"/>
            <w:vAlign w:val="bottom"/>
            <w:gridSpan w:val="2"/>
            <w:shd w:val="clear" w:color="auto" w:fill="CFF0FC"/>
          </w:tcPr>
          <w:p>
            <w:pPr>
              <w:jc w:val="right"/>
              <w:ind w:right="20"/>
              <w:spacing w:after="0"/>
              <w:rPr>
                <w:sz w:val="20"/>
                <w:szCs w:val="20"/>
                <w:color w:val="auto"/>
              </w:rPr>
            </w:pPr>
            <w:r>
              <w:rPr>
                <w:rFonts w:ascii="Arial" w:cs="Arial" w:eastAsia="Arial" w:hAnsi="Arial"/>
                <w:sz w:val="14"/>
                <w:szCs w:val="14"/>
                <w:color w:val="auto"/>
              </w:rPr>
              <w:t>(93)</w:t>
            </w:r>
          </w:p>
        </w:tc>
        <w:tc>
          <w:tcPr>
            <w:tcW w:w="0" w:type="dxa"/>
            <w:vAlign w:val="bottom"/>
          </w:tcPr>
          <w:p>
            <w:pPr>
              <w:spacing w:after="0"/>
              <w:rPr>
                <w:sz w:val="1"/>
                <w:szCs w:val="1"/>
                <w:color w:val="auto"/>
              </w:rPr>
            </w:pPr>
          </w:p>
        </w:tc>
      </w:tr>
      <w:tr>
        <w:trPr>
          <w:trHeight w:val="162"/>
        </w:trPr>
        <w:tc>
          <w:tcPr>
            <w:tcW w:w="3740" w:type="dxa"/>
            <w:vAlign w:val="bottom"/>
          </w:tcPr>
          <w:p>
            <w:pPr>
              <w:ind w:left="260"/>
              <w:spacing w:after="0"/>
              <w:rPr>
                <w:sz w:val="20"/>
                <w:szCs w:val="20"/>
                <w:color w:val="auto"/>
              </w:rPr>
            </w:pPr>
            <w:r>
              <w:rPr>
                <w:rFonts w:ascii="Arial" w:cs="Arial" w:eastAsia="Arial" w:hAnsi="Arial"/>
                <w:sz w:val="14"/>
                <w:szCs w:val="14"/>
                <w:color w:val="auto"/>
              </w:rPr>
              <w:t>Net loss</w:t>
            </w:r>
          </w:p>
        </w:tc>
        <w:tc>
          <w:tcPr>
            <w:tcW w:w="780" w:type="dxa"/>
            <w:vAlign w:val="bottom"/>
          </w:tcPr>
          <w:p>
            <w:pPr>
              <w:jc w:val="right"/>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jc w:val="right"/>
              <w:spacing w:after="0"/>
              <w:rPr>
                <w:sz w:val="20"/>
                <w:szCs w:val="20"/>
                <w:color w:val="auto"/>
              </w:rPr>
            </w:pPr>
            <w:r>
              <w:rPr>
                <w:rFonts w:ascii="Arial" w:cs="Arial" w:eastAsia="Arial" w:hAnsi="Arial"/>
                <w:sz w:val="14"/>
                <w:szCs w:val="14"/>
                <w:color w:val="auto"/>
              </w:rPr>
              <w:t>—</w:t>
            </w:r>
          </w:p>
        </w:tc>
        <w:tc>
          <w:tcPr>
            <w:tcW w:w="140" w:type="dxa"/>
            <w:vAlign w:val="bottom"/>
            <w:tcBorders>
              <w:right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jc w:val="right"/>
              <w:spacing w:after="0"/>
              <w:rPr>
                <w:sz w:val="20"/>
                <w:szCs w:val="20"/>
                <w:color w:val="auto"/>
              </w:rPr>
            </w:pPr>
            <w:r>
              <w:rPr>
                <w:rFonts w:ascii="Arial" w:cs="Arial" w:eastAsia="Arial" w:hAnsi="Arial"/>
                <w:sz w:val="14"/>
                <w:szCs w:val="14"/>
                <w:color w:val="auto"/>
              </w:rPr>
              <w:t>—</w:t>
            </w:r>
          </w:p>
        </w:tc>
        <w:tc>
          <w:tcPr>
            <w:tcW w:w="28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20" w:type="dxa"/>
            <w:vAlign w:val="bottom"/>
            <w:gridSpan w:val="2"/>
          </w:tcPr>
          <w:p>
            <w:pPr>
              <w:jc w:val="right"/>
              <w:ind w:right="180"/>
              <w:spacing w:after="0"/>
              <w:rPr>
                <w:sz w:val="20"/>
                <w:szCs w:val="20"/>
                <w:color w:val="auto"/>
              </w:rPr>
            </w:pPr>
            <w:r>
              <w:rPr>
                <w:rFonts w:ascii="Arial" w:cs="Arial" w:eastAsia="Arial" w:hAnsi="Arial"/>
                <w:sz w:val="14"/>
                <w:szCs w:val="14"/>
                <w:color w:val="auto"/>
              </w:rPr>
              <w:t>(17,842)</w:t>
            </w:r>
          </w:p>
        </w:tc>
        <w:tc>
          <w:tcPr>
            <w:tcW w:w="160" w:type="dxa"/>
            <w:vAlign w:val="bottom"/>
          </w:tcPr>
          <w:p>
            <w:pPr>
              <w:spacing w:after="0"/>
              <w:rPr>
                <w:sz w:val="14"/>
                <w:szCs w:val="14"/>
                <w:color w:val="auto"/>
              </w:rPr>
            </w:pPr>
          </w:p>
        </w:tc>
        <w:tc>
          <w:tcPr>
            <w:tcW w:w="740" w:type="dxa"/>
            <w:vAlign w:val="bottom"/>
            <w:gridSpan w:val="2"/>
          </w:tcPr>
          <w:p>
            <w:pPr>
              <w:jc w:val="right"/>
              <w:ind w:right="20"/>
              <w:spacing w:after="0"/>
              <w:rPr>
                <w:sz w:val="20"/>
                <w:szCs w:val="20"/>
                <w:color w:val="auto"/>
              </w:rPr>
            </w:pPr>
            <w:r>
              <w:rPr>
                <w:rFonts w:ascii="Arial" w:cs="Arial" w:eastAsia="Arial" w:hAnsi="Arial"/>
                <w:sz w:val="14"/>
                <w:szCs w:val="14"/>
                <w:color w:val="auto"/>
              </w:rPr>
              <w:t>(17,842)</w:t>
            </w:r>
          </w:p>
        </w:tc>
        <w:tc>
          <w:tcPr>
            <w:tcW w:w="0" w:type="dxa"/>
            <w:vAlign w:val="bottom"/>
          </w:tcPr>
          <w:p>
            <w:pPr>
              <w:spacing w:after="0"/>
              <w:rPr>
                <w:sz w:val="1"/>
                <w:szCs w:val="1"/>
                <w:color w:val="auto"/>
              </w:rPr>
            </w:pPr>
          </w:p>
        </w:tc>
      </w:tr>
      <w:tr>
        <w:trPr>
          <w:trHeight w:val="20"/>
        </w:trPr>
        <w:tc>
          <w:tcPr>
            <w:tcW w:w="3740" w:type="dxa"/>
            <w:vAlign w:val="bottom"/>
            <w:vMerge w:val="restart"/>
            <w:shd w:val="clear" w:color="auto" w:fill="CFF0FC"/>
          </w:tcPr>
          <w:p>
            <w:pPr>
              <w:spacing w:after="0"/>
              <w:rPr>
                <w:sz w:val="20"/>
                <w:szCs w:val="20"/>
                <w:color w:val="auto"/>
              </w:rPr>
            </w:pPr>
            <w:r>
              <w:rPr>
                <w:rFonts w:ascii="Arial" w:cs="Arial" w:eastAsia="Arial" w:hAnsi="Arial"/>
                <w:sz w:val="14"/>
                <w:szCs w:val="14"/>
                <w:color w:val="auto"/>
              </w:rPr>
              <w:t>Balance — December 31, 2017</w:t>
            </w:r>
          </w:p>
        </w:tc>
        <w:tc>
          <w:tcPr>
            <w:tcW w:w="780" w:type="dxa"/>
            <w:vAlign w:val="bottom"/>
            <w:shd w:val="clear" w:color="auto" w:fill="000000"/>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40" w:type="dxa"/>
            <w:vAlign w:val="bottom"/>
            <w:tcBorders>
              <w:right w:val="single" w:sz="8" w:color="auto"/>
            </w:tcBorders>
            <w:shd w:val="clear" w:color="auto" w:fill="CFF0FC"/>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280" w:type="dxa"/>
            <w:vAlign w:val="bottom"/>
            <w:tcBorders>
              <w:right w:val="single" w:sz="8" w:color="auto"/>
            </w:tcBorders>
            <w:shd w:val="clear" w:color="auto" w:fill="CFF0FC"/>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200" w:type="dxa"/>
            <w:vAlign w:val="bottom"/>
            <w:shd w:val="clear" w:color="auto" w:fill="CFF0FC"/>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6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3740" w:type="dxa"/>
            <w:vAlign w:val="bottom"/>
            <w:vMerge w:val="continue"/>
            <w:shd w:val="clear" w:color="auto" w:fill="CFF0FC"/>
          </w:tcPr>
          <w:p>
            <w:pPr>
              <w:spacing w:after="0"/>
              <w:rPr>
                <w:sz w:val="13"/>
                <w:szCs w:val="13"/>
                <w:color w:val="auto"/>
              </w:rPr>
            </w:pPr>
          </w:p>
        </w:tc>
        <w:tc>
          <w:tcPr>
            <w:tcW w:w="780" w:type="dxa"/>
            <w:vAlign w:val="bottom"/>
            <w:shd w:val="clear" w:color="auto" w:fill="CFF0FC"/>
          </w:tcPr>
          <w:p>
            <w:pPr>
              <w:jc w:val="right"/>
              <w:spacing w:after="0" w:line="155" w:lineRule="exact"/>
              <w:rPr>
                <w:sz w:val="20"/>
                <w:szCs w:val="20"/>
                <w:color w:val="auto"/>
              </w:rPr>
            </w:pPr>
            <w:r>
              <w:rPr>
                <w:rFonts w:ascii="Arial" w:cs="Arial" w:eastAsia="Arial" w:hAnsi="Arial"/>
                <w:sz w:val="14"/>
                <w:szCs w:val="14"/>
                <w:color w:val="auto"/>
              </w:rPr>
              <w:t>—</w:t>
            </w:r>
          </w:p>
        </w:tc>
        <w:tc>
          <w:tcPr>
            <w:tcW w:w="120" w:type="dxa"/>
            <w:vAlign w:val="bottom"/>
            <w:shd w:val="clear" w:color="auto" w:fill="CFF0FC"/>
          </w:tcPr>
          <w:p>
            <w:pPr>
              <w:spacing w:after="0"/>
              <w:rPr>
                <w:sz w:val="13"/>
                <w:szCs w:val="13"/>
                <w:color w:val="auto"/>
              </w:rPr>
            </w:pPr>
          </w:p>
        </w:tc>
        <w:tc>
          <w:tcPr>
            <w:tcW w:w="200" w:type="dxa"/>
            <w:vAlign w:val="bottom"/>
            <w:gridSpan w:val="2"/>
            <w:shd w:val="clear" w:color="auto" w:fill="CFF0FC"/>
          </w:tcPr>
          <w:p>
            <w:pPr>
              <w:jc w:val="right"/>
              <w:ind w:right="40"/>
              <w:spacing w:after="0" w:line="155" w:lineRule="exact"/>
              <w:rPr>
                <w:sz w:val="20"/>
                <w:szCs w:val="20"/>
                <w:color w:val="auto"/>
              </w:rPr>
            </w:pPr>
            <w:r>
              <w:rPr>
                <w:rFonts w:ascii="Arial" w:cs="Arial" w:eastAsia="Arial" w:hAnsi="Arial"/>
                <w:sz w:val="14"/>
                <w:szCs w:val="14"/>
                <w:color w:val="auto"/>
              </w:rPr>
              <w:t>$</w:t>
            </w:r>
          </w:p>
        </w:tc>
        <w:tc>
          <w:tcPr>
            <w:tcW w:w="760" w:type="dxa"/>
            <w:vAlign w:val="bottom"/>
            <w:tcBorders>
              <w:right w:val="single" w:sz="8" w:color="auto"/>
            </w:tcBorders>
            <w:gridSpan w:val="2"/>
            <w:shd w:val="clear" w:color="auto" w:fill="CFF0FC"/>
          </w:tcPr>
          <w:p>
            <w:pPr>
              <w:jc w:val="right"/>
              <w:ind w:right="140"/>
              <w:spacing w:after="0" w:line="155" w:lineRule="exact"/>
              <w:rPr>
                <w:sz w:val="20"/>
                <w:szCs w:val="20"/>
                <w:color w:val="auto"/>
              </w:rPr>
            </w:pPr>
            <w:r>
              <w:rPr>
                <w:rFonts w:ascii="Arial" w:cs="Arial" w:eastAsia="Arial" w:hAnsi="Arial"/>
                <w:sz w:val="14"/>
                <w:szCs w:val="14"/>
                <w:color w:val="auto"/>
              </w:rPr>
              <w:t>—</w:t>
            </w:r>
          </w:p>
        </w:tc>
        <w:tc>
          <w:tcPr>
            <w:tcW w:w="80" w:type="dxa"/>
            <w:vAlign w:val="bottom"/>
            <w:shd w:val="clear" w:color="auto" w:fill="CFF0FC"/>
          </w:tcPr>
          <w:p>
            <w:pPr>
              <w:spacing w:after="0"/>
              <w:rPr>
                <w:sz w:val="13"/>
                <w:szCs w:val="13"/>
                <w:color w:val="auto"/>
              </w:rPr>
            </w:pPr>
          </w:p>
        </w:tc>
        <w:tc>
          <w:tcPr>
            <w:tcW w:w="720" w:type="dxa"/>
            <w:vAlign w:val="bottom"/>
            <w:shd w:val="clear" w:color="auto" w:fill="CFF0FC"/>
          </w:tcPr>
          <w:p>
            <w:pPr>
              <w:jc w:val="right"/>
              <w:spacing w:after="0" w:line="155" w:lineRule="exact"/>
              <w:rPr>
                <w:sz w:val="20"/>
                <w:szCs w:val="20"/>
                <w:color w:val="auto"/>
              </w:rPr>
            </w:pPr>
            <w:r>
              <w:rPr>
                <w:rFonts w:ascii="Arial" w:cs="Arial" w:eastAsia="Arial" w:hAnsi="Arial"/>
                <w:sz w:val="14"/>
                <w:szCs w:val="14"/>
                <w:color w:val="auto"/>
                <w:w w:val="99"/>
              </w:rPr>
              <w:t>28,940,282</w:t>
            </w:r>
          </w:p>
        </w:tc>
        <w:tc>
          <w:tcPr>
            <w:tcW w:w="320" w:type="dxa"/>
            <w:vAlign w:val="bottom"/>
            <w:gridSpan w:val="2"/>
            <w:shd w:val="clear" w:color="auto" w:fill="CFF0FC"/>
          </w:tcPr>
          <w:p>
            <w:pPr>
              <w:jc w:val="right"/>
              <w:ind w:right="20"/>
              <w:spacing w:after="0" w:line="155" w:lineRule="exact"/>
              <w:rPr>
                <w:sz w:val="20"/>
                <w:szCs w:val="20"/>
                <w:color w:val="auto"/>
              </w:rPr>
            </w:pPr>
            <w:r>
              <w:rPr>
                <w:rFonts w:ascii="Arial" w:cs="Arial" w:eastAsia="Arial" w:hAnsi="Arial"/>
                <w:sz w:val="14"/>
                <w:szCs w:val="14"/>
                <w:color w:val="auto"/>
              </w:rPr>
              <w:t>$</w:t>
            </w:r>
          </w:p>
        </w:tc>
        <w:tc>
          <w:tcPr>
            <w:tcW w:w="620" w:type="dxa"/>
            <w:vAlign w:val="bottom"/>
            <w:shd w:val="clear" w:color="auto" w:fill="CFF0FC"/>
          </w:tcPr>
          <w:p>
            <w:pPr>
              <w:jc w:val="right"/>
              <w:spacing w:after="0" w:line="155" w:lineRule="exact"/>
              <w:rPr>
                <w:sz w:val="20"/>
                <w:szCs w:val="20"/>
                <w:color w:val="auto"/>
              </w:rPr>
            </w:pPr>
            <w:r>
              <w:rPr>
                <w:rFonts w:ascii="Arial" w:cs="Arial" w:eastAsia="Arial" w:hAnsi="Arial"/>
                <w:sz w:val="14"/>
                <w:szCs w:val="14"/>
                <w:color w:val="auto"/>
              </w:rPr>
              <w:t>3</w:t>
            </w:r>
          </w:p>
        </w:tc>
        <w:tc>
          <w:tcPr>
            <w:tcW w:w="280" w:type="dxa"/>
            <w:vAlign w:val="bottom"/>
            <w:tcBorders>
              <w:right w:val="single" w:sz="8" w:color="CFF0FC"/>
            </w:tcBorders>
            <w:shd w:val="clear" w:color="auto" w:fill="CFF0FC"/>
          </w:tcPr>
          <w:p>
            <w:pPr>
              <w:jc w:val="right"/>
              <w:spacing w:after="0" w:line="155" w:lineRule="exact"/>
              <w:rPr>
                <w:sz w:val="20"/>
                <w:szCs w:val="20"/>
                <w:color w:val="auto"/>
              </w:rPr>
            </w:pPr>
            <w:r>
              <w:rPr>
                <w:rFonts w:ascii="Arial" w:cs="Arial" w:eastAsia="Arial" w:hAnsi="Arial"/>
                <w:sz w:val="14"/>
                <w:szCs w:val="14"/>
                <w:color w:val="auto"/>
              </w:rPr>
              <w:t>$</w:t>
            </w:r>
          </w:p>
        </w:tc>
        <w:tc>
          <w:tcPr>
            <w:tcW w:w="660" w:type="dxa"/>
            <w:vAlign w:val="bottom"/>
            <w:shd w:val="clear" w:color="auto" w:fill="CFF0FC"/>
          </w:tcPr>
          <w:p>
            <w:pPr>
              <w:jc w:val="right"/>
              <w:spacing w:after="0" w:line="155" w:lineRule="exact"/>
              <w:rPr>
                <w:sz w:val="20"/>
                <w:szCs w:val="20"/>
                <w:color w:val="auto"/>
              </w:rPr>
            </w:pPr>
            <w:r>
              <w:rPr>
                <w:rFonts w:ascii="Arial" w:cs="Arial" w:eastAsia="Arial" w:hAnsi="Arial"/>
                <w:sz w:val="14"/>
                <w:szCs w:val="14"/>
                <w:color w:val="auto"/>
              </w:rPr>
              <w:t>177,757</w:t>
            </w:r>
          </w:p>
        </w:tc>
        <w:tc>
          <w:tcPr>
            <w:tcW w:w="380" w:type="dxa"/>
            <w:vAlign w:val="bottom"/>
            <w:gridSpan w:val="2"/>
            <w:shd w:val="clear" w:color="auto" w:fill="CFF0FC"/>
          </w:tcPr>
          <w:p>
            <w:pPr>
              <w:jc w:val="right"/>
              <w:ind w:right="17"/>
              <w:spacing w:after="0" w:line="155" w:lineRule="exact"/>
              <w:rPr>
                <w:sz w:val="20"/>
                <w:szCs w:val="20"/>
                <w:color w:val="auto"/>
              </w:rPr>
            </w:pPr>
            <w:r>
              <w:rPr>
                <w:rFonts w:ascii="Arial" w:cs="Arial" w:eastAsia="Arial" w:hAnsi="Arial"/>
                <w:sz w:val="14"/>
                <w:szCs w:val="14"/>
                <w:color w:val="auto"/>
              </w:rPr>
              <w:t>$</w:t>
            </w:r>
          </w:p>
        </w:tc>
        <w:tc>
          <w:tcPr>
            <w:tcW w:w="900" w:type="dxa"/>
            <w:vAlign w:val="bottom"/>
            <w:gridSpan w:val="2"/>
            <w:shd w:val="clear" w:color="auto" w:fill="CFF0FC"/>
          </w:tcPr>
          <w:p>
            <w:pPr>
              <w:jc w:val="right"/>
              <w:ind w:right="160"/>
              <w:spacing w:after="0" w:line="155" w:lineRule="exact"/>
              <w:rPr>
                <w:sz w:val="20"/>
                <w:szCs w:val="20"/>
                <w:color w:val="auto"/>
              </w:rPr>
            </w:pPr>
            <w:r>
              <w:rPr>
                <w:rFonts w:ascii="Arial" w:cs="Arial" w:eastAsia="Arial" w:hAnsi="Arial"/>
                <w:sz w:val="14"/>
                <w:szCs w:val="14"/>
                <w:color w:val="auto"/>
              </w:rPr>
              <w:t>(79)</w:t>
            </w:r>
          </w:p>
        </w:tc>
        <w:tc>
          <w:tcPr>
            <w:tcW w:w="140" w:type="dxa"/>
            <w:vAlign w:val="bottom"/>
            <w:shd w:val="clear" w:color="auto" w:fill="CFF0FC"/>
          </w:tcPr>
          <w:p>
            <w:pPr>
              <w:spacing w:after="0" w:line="155" w:lineRule="exact"/>
              <w:rPr>
                <w:sz w:val="20"/>
                <w:szCs w:val="20"/>
                <w:color w:val="auto"/>
              </w:rPr>
            </w:pPr>
            <w:r>
              <w:rPr>
                <w:rFonts w:ascii="Arial" w:cs="Arial" w:eastAsia="Arial" w:hAnsi="Arial"/>
                <w:sz w:val="14"/>
                <w:szCs w:val="14"/>
                <w:color w:val="auto"/>
              </w:rPr>
              <w:t>$</w:t>
            </w:r>
          </w:p>
        </w:tc>
        <w:tc>
          <w:tcPr>
            <w:tcW w:w="820" w:type="dxa"/>
            <w:vAlign w:val="bottom"/>
            <w:gridSpan w:val="2"/>
            <w:shd w:val="clear" w:color="auto" w:fill="CFF0FC"/>
          </w:tcPr>
          <w:p>
            <w:pPr>
              <w:jc w:val="right"/>
              <w:ind w:right="180"/>
              <w:spacing w:after="0" w:line="155" w:lineRule="exact"/>
              <w:rPr>
                <w:sz w:val="20"/>
                <w:szCs w:val="20"/>
                <w:color w:val="auto"/>
              </w:rPr>
            </w:pPr>
            <w:r>
              <w:rPr>
                <w:rFonts w:ascii="Arial" w:cs="Arial" w:eastAsia="Arial" w:hAnsi="Arial"/>
                <w:sz w:val="14"/>
                <w:szCs w:val="14"/>
                <w:color w:val="auto"/>
              </w:rPr>
              <w:t>(164,487)</w:t>
            </w:r>
          </w:p>
        </w:tc>
        <w:tc>
          <w:tcPr>
            <w:tcW w:w="160" w:type="dxa"/>
            <w:vAlign w:val="bottom"/>
            <w:shd w:val="clear" w:color="auto" w:fill="CFF0FC"/>
          </w:tcPr>
          <w:p>
            <w:pPr>
              <w:spacing w:after="0" w:line="155" w:lineRule="exact"/>
              <w:rPr>
                <w:sz w:val="20"/>
                <w:szCs w:val="20"/>
                <w:color w:val="auto"/>
              </w:rPr>
            </w:pPr>
            <w:r>
              <w:rPr>
                <w:rFonts w:ascii="Arial" w:cs="Arial" w:eastAsia="Arial" w:hAnsi="Arial"/>
                <w:sz w:val="14"/>
                <w:szCs w:val="14"/>
                <w:color w:val="auto"/>
              </w:rPr>
              <w:t>$</w:t>
            </w:r>
          </w:p>
        </w:tc>
        <w:tc>
          <w:tcPr>
            <w:tcW w:w="680" w:type="dxa"/>
            <w:vAlign w:val="bottom"/>
            <w:shd w:val="clear" w:color="auto" w:fill="CFF0FC"/>
          </w:tcPr>
          <w:p>
            <w:pPr>
              <w:jc w:val="right"/>
              <w:spacing w:after="0" w:line="155" w:lineRule="exact"/>
              <w:rPr>
                <w:sz w:val="20"/>
                <w:szCs w:val="20"/>
                <w:color w:val="auto"/>
              </w:rPr>
            </w:pPr>
            <w:r>
              <w:rPr>
                <w:rFonts w:ascii="Arial" w:cs="Arial" w:eastAsia="Arial" w:hAnsi="Arial"/>
                <w:sz w:val="14"/>
                <w:szCs w:val="14"/>
                <w:color w:val="auto"/>
              </w:rPr>
              <w:t>13,194</w:t>
            </w:r>
          </w:p>
        </w:tc>
        <w:tc>
          <w:tcPr>
            <w:tcW w:w="6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3740" w:type="dxa"/>
            <w:vAlign w:val="bottom"/>
            <w:tcBorders>
              <w:top w:val="single" w:sz="8" w:color="CFF0FC"/>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FF0FC"/>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FF0FC"/>
              <w:right w:val="single" w:sz="8" w:color="auto"/>
            </w:tcBorders>
          </w:tcPr>
          <w:p>
            <w:pPr>
              <w:spacing w:after="0" w:line="20" w:lineRule="exact"/>
              <w:rPr>
                <w:sz w:val="1"/>
                <w:szCs w:val="1"/>
                <w:color w:val="auto"/>
              </w:rPr>
            </w:pPr>
          </w:p>
        </w:tc>
        <w:tc>
          <w:tcPr>
            <w:tcW w:w="80" w:type="dxa"/>
            <w:vAlign w:val="bottom"/>
            <w:tcBorders>
              <w:top w:val="single" w:sz="8" w:color="CFF0FC"/>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FF0FC"/>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CFF0FC"/>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FF0FC"/>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FF0FC"/>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FF0FC"/>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CFF0F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88"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The accompanying notes are an integral part of these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37" w:right="239" w:bottom="1440" w:gutter="0" w:footer="0" w:header="0"/>
        </w:sectPr>
      </w:pPr>
    </w:p>
    <w:bookmarkStart w:id="78" w:name="page79"/>
    <w:bookmarkEnd w:id="78"/>
    <w:p>
      <w:pPr>
        <w:ind w:left="4320"/>
        <w:spacing w:after="0"/>
        <w:rPr>
          <w:sz w:val="20"/>
          <w:szCs w:val="20"/>
          <w:color w:val="auto"/>
        </w:rPr>
      </w:pPr>
      <w:r>
        <w:rPr>
          <w:rFonts w:ascii="Arial" w:cs="Arial" w:eastAsia="Arial" w:hAnsi="Arial"/>
          <w:sz w:val="18"/>
          <w:szCs w:val="18"/>
          <w:b w:val="1"/>
          <w:bCs w:val="1"/>
          <w:color w:val="auto"/>
        </w:rPr>
        <w:t>RESTORATION ROBOTICS, INC.</w:t>
      </w:r>
    </w:p>
    <w:p>
      <w:pPr>
        <w:spacing w:after="0" w:line="117" w:lineRule="exact"/>
        <w:rPr>
          <w:sz w:val="20"/>
          <w:szCs w:val="20"/>
          <w:color w:val="auto"/>
        </w:rPr>
      </w:pPr>
    </w:p>
    <w:p>
      <w:pPr>
        <w:ind w:left="4200"/>
        <w:spacing w:after="0"/>
        <w:rPr>
          <w:sz w:val="20"/>
          <w:szCs w:val="20"/>
          <w:color w:val="auto"/>
        </w:rPr>
      </w:pPr>
      <w:r>
        <w:rPr>
          <w:rFonts w:ascii="Arial" w:cs="Arial" w:eastAsia="Arial" w:hAnsi="Arial"/>
          <w:sz w:val="18"/>
          <w:szCs w:val="18"/>
          <w:b w:val="1"/>
          <w:bCs w:val="1"/>
          <w:color w:val="auto"/>
        </w:rPr>
        <w:t>Consolidated Statements of Cash Flows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share and per share data)</w:t>
      </w:r>
    </w:p>
    <w:p>
      <w:pPr>
        <w:spacing w:after="0" w:line="288" w:lineRule="exact"/>
        <w:rPr>
          <w:sz w:val="20"/>
          <w:szCs w:val="20"/>
          <w:color w:val="auto"/>
        </w:rPr>
      </w:pPr>
    </w:p>
    <w:tbl>
      <w:tblPr>
        <w:tblLayout w:type="fixed"/>
        <w:tblInd w:w="0" w:type="dxa"/>
        <w:tblCellMar>
          <w:top w:w="0" w:type="dxa"/>
          <w:left w:w="0" w:type="dxa"/>
          <w:bottom w:w="0" w:type="dxa"/>
          <w:right w:w="0" w:type="dxa"/>
        </w:tblCellMar>
      </w:tblPr>
      <w:tr>
        <w:trPr>
          <w:trHeight w:val="153"/>
        </w:trPr>
        <w:tc>
          <w:tcPr>
            <w:tcW w:w="576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800" w:type="dxa"/>
            <w:vAlign w:val="bottom"/>
            <w:tcBorders>
              <w:bottom w:val="single" w:sz="8" w:color="auto"/>
            </w:tcBorders>
          </w:tcPr>
          <w:p>
            <w:pPr>
              <w:spacing w:after="0"/>
              <w:rPr>
                <w:sz w:val="13"/>
                <w:szCs w:val="13"/>
                <w:color w:val="auto"/>
              </w:rPr>
            </w:pPr>
          </w:p>
        </w:tc>
        <w:tc>
          <w:tcPr>
            <w:tcW w:w="540" w:type="dxa"/>
            <w:vAlign w:val="bottom"/>
            <w:tcBorders>
              <w:bottom w:val="single" w:sz="8" w:color="auto"/>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1740" w:type="dxa"/>
            <w:vAlign w:val="bottom"/>
            <w:tcBorders>
              <w:bottom w:val="single" w:sz="8" w:color="auto"/>
            </w:tcBorders>
            <w:gridSpan w:val="4"/>
          </w:tcPr>
          <w:p>
            <w:pPr>
              <w:ind w:left="100"/>
              <w:spacing w:after="0"/>
              <w:rPr>
                <w:sz w:val="20"/>
                <w:szCs w:val="20"/>
                <w:color w:val="auto"/>
              </w:rPr>
            </w:pPr>
            <w:r>
              <w:rPr>
                <w:rFonts w:ascii="Arial" w:cs="Arial" w:eastAsia="Arial" w:hAnsi="Arial"/>
                <w:sz w:val="13"/>
                <w:szCs w:val="13"/>
                <w:b w:val="1"/>
                <w:bCs w:val="1"/>
                <w:color w:val="auto"/>
              </w:rPr>
              <w:t>Year Ended December 31,</w:t>
            </w:r>
          </w:p>
        </w:tc>
        <w:tc>
          <w:tcPr>
            <w:tcW w:w="320" w:type="dxa"/>
            <w:vAlign w:val="bottom"/>
            <w:tcBorders>
              <w:bottom w:val="single" w:sz="8" w:color="auto"/>
            </w:tcBorders>
          </w:tcPr>
          <w:p>
            <w:pPr>
              <w:spacing w:after="0"/>
              <w:rPr>
                <w:sz w:val="13"/>
                <w:szCs w:val="13"/>
                <w:color w:val="auto"/>
              </w:rPr>
            </w:pPr>
          </w:p>
        </w:tc>
        <w:tc>
          <w:tcPr>
            <w:tcW w:w="1040" w:type="dxa"/>
            <w:vAlign w:val="bottom"/>
            <w:tcBorders>
              <w:bottom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2"/>
        </w:trPr>
        <w:tc>
          <w:tcPr>
            <w:tcW w:w="5760" w:type="dxa"/>
            <w:vAlign w:val="bottom"/>
            <w:tcBorders>
              <w:bottom w:val="single" w:sz="8" w:color="CFF0FC"/>
            </w:tcBorders>
          </w:tcPr>
          <w:p>
            <w:pPr>
              <w:spacing w:after="0"/>
              <w:rPr>
                <w:sz w:val="12"/>
                <w:szCs w:val="12"/>
                <w:color w:val="auto"/>
              </w:rPr>
            </w:pPr>
          </w:p>
        </w:tc>
        <w:tc>
          <w:tcPr>
            <w:tcW w:w="980" w:type="dxa"/>
            <w:vAlign w:val="bottom"/>
            <w:tcBorders>
              <w:bottom w:val="single" w:sz="8" w:color="CFF0FC"/>
            </w:tcBorders>
          </w:tcPr>
          <w:p>
            <w:pPr>
              <w:spacing w:after="0"/>
              <w:rPr>
                <w:sz w:val="12"/>
                <w:szCs w:val="12"/>
                <w:color w:val="auto"/>
              </w:rPr>
            </w:pPr>
          </w:p>
        </w:tc>
        <w:tc>
          <w:tcPr>
            <w:tcW w:w="800" w:type="dxa"/>
            <w:vAlign w:val="bottom"/>
            <w:tcBorders>
              <w:bottom w:val="single" w:sz="8" w:color="auto"/>
            </w:tcBorders>
          </w:tcPr>
          <w:p>
            <w:pPr>
              <w:jc w:val="right"/>
              <w:spacing w:after="0" w:line="143" w:lineRule="exact"/>
              <w:rPr>
                <w:sz w:val="20"/>
                <w:szCs w:val="20"/>
                <w:color w:val="auto"/>
              </w:rPr>
            </w:pPr>
            <w:r>
              <w:rPr>
                <w:rFonts w:ascii="Arial" w:cs="Arial" w:eastAsia="Arial" w:hAnsi="Arial"/>
                <w:sz w:val="13"/>
                <w:szCs w:val="13"/>
                <w:b w:val="1"/>
                <w:bCs w:val="1"/>
                <w:color w:val="auto"/>
              </w:rPr>
              <w:t>2017</w:t>
            </w:r>
          </w:p>
        </w:tc>
        <w:tc>
          <w:tcPr>
            <w:tcW w:w="540" w:type="dxa"/>
            <w:vAlign w:val="bottom"/>
            <w:tcBorders>
              <w:bottom w:val="single" w:sz="8" w:color="auto"/>
            </w:tcBorders>
          </w:tcPr>
          <w:p>
            <w:pPr>
              <w:spacing w:after="0"/>
              <w:rPr>
                <w:sz w:val="12"/>
                <w:szCs w:val="12"/>
                <w:color w:val="auto"/>
              </w:rPr>
            </w:pPr>
          </w:p>
        </w:tc>
        <w:tc>
          <w:tcPr>
            <w:tcW w:w="140" w:type="dxa"/>
            <w:vAlign w:val="bottom"/>
            <w:tcBorders>
              <w:bottom w:val="single" w:sz="8" w:color="CFF0FC"/>
            </w:tcBorders>
          </w:tcPr>
          <w:p>
            <w:pPr>
              <w:spacing w:after="0"/>
              <w:rPr>
                <w:sz w:val="12"/>
                <w:szCs w:val="12"/>
                <w:color w:val="auto"/>
              </w:rPr>
            </w:pPr>
          </w:p>
        </w:tc>
        <w:tc>
          <w:tcPr>
            <w:tcW w:w="120" w:type="dxa"/>
            <w:vAlign w:val="bottom"/>
            <w:tcBorders>
              <w:bottom w:val="single" w:sz="8" w:color="CFF0FC"/>
            </w:tcBorders>
          </w:tcPr>
          <w:p>
            <w:pPr>
              <w:spacing w:after="0"/>
              <w:rPr>
                <w:sz w:val="12"/>
                <w:szCs w:val="12"/>
                <w:color w:val="auto"/>
              </w:rPr>
            </w:pPr>
          </w:p>
        </w:tc>
        <w:tc>
          <w:tcPr>
            <w:tcW w:w="320" w:type="dxa"/>
            <w:vAlign w:val="bottom"/>
            <w:tcBorders>
              <w:bottom w:val="single" w:sz="8" w:color="auto"/>
            </w:tcBorders>
          </w:tcPr>
          <w:p>
            <w:pPr>
              <w:spacing w:after="0"/>
              <w:rPr>
                <w:sz w:val="12"/>
                <w:szCs w:val="12"/>
                <w:color w:val="auto"/>
              </w:rPr>
            </w:pPr>
          </w:p>
        </w:tc>
        <w:tc>
          <w:tcPr>
            <w:tcW w:w="1040" w:type="dxa"/>
            <w:vAlign w:val="bottom"/>
            <w:tcBorders>
              <w:bottom w:val="single" w:sz="8" w:color="auto"/>
            </w:tcBorders>
          </w:tcPr>
          <w:p>
            <w:pPr>
              <w:jc w:val="right"/>
              <w:ind w:right="484"/>
              <w:spacing w:after="0" w:line="143" w:lineRule="exact"/>
              <w:rPr>
                <w:sz w:val="20"/>
                <w:szCs w:val="20"/>
                <w:color w:val="auto"/>
              </w:rPr>
            </w:pPr>
            <w:r>
              <w:rPr>
                <w:rFonts w:ascii="Arial" w:cs="Arial" w:eastAsia="Arial" w:hAnsi="Arial"/>
                <w:sz w:val="13"/>
                <w:szCs w:val="13"/>
                <w:b w:val="1"/>
                <w:bCs w:val="1"/>
                <w:color w:val="auto"/>
              </w:rPr>
              <w:t>2016</w:t>
            </w:r>
          </w:p>
        </w:tc>
        <w:tc>
          <w:tcPr>
            <w:tcW w:w="260" w:type="dxa"/>
            <w:vAlign w:val="bottom"/>
            <w:tcBorders>
              <w:bottom w:val="single" w:sz="8" w:color="CFF0FC"/>
            </w:tcBorders>
          </w:tcPr>
          <w:p>
            <w:pPr>
              <w:spacing w:after="0"/>
              <w:rPr>
                <w:sz w:val="12"/>
                <w:szCs w:val="12"/>
                <w:color w:val="auto"/>
              </w:rPr>
            </w:pPr>
          </w:p>
        </w:tc>
        <w:tc>
          <w:tcPr>
            <w:tcW w:w="320" w:type="dxa"/>
            <w:vAlign w:val="bottom"/>
            <w:tcBorders>
              <w:bottom w:val="single" w:sz="8" w:color="auto"/>
            </w:tcBorders>
          </w:tcPr>
          <w:p>
            <w:pPr>
              <w:spacing w:after="0"/>
              <w:rPr>
                <w:sz w:val="12"/>
                <w:szCs w:val="12"/>
                <w:color w:val="auto"/>
              </w:rPr>
            </w:pPr>
          </w:p>
        </w:tc>
        <w:tc>
          <w:tcPr>
            <w:tcW w:w="1040" w:type="dxa"/>
            <w:vAlign w:val="bottom"/>
            <w:tcBorders>
              <w:bottom w:val="single" w:sz="8" w:color="auto"/>
            </w:tcBorders>
          </w:tcPr>
          <w:p>
            <w:pPr>
              <w:jc w:val="right"/>
              <w:ind w:right="484"/>
              <w:spacing w:after="0" w:line="143" w:lineRule="exact"/>
              <w:rPr>
                <w:sz w:val="20"/>
                <w:szCs w:val="20"/>
                <w:color w:val="auto"/>
              </w:rPr>
            </w:pPr>
            <w:r>
              <w:rPr>
                <w:rFonts w:ascii="Arial" w:cs="Arial" w:eastAsia="Arial" w:hAnsi="Arial"/>
                <w:sz w:val="13"/>
                <w:szCs w:val="13"/>
                <w:b w:val="1"/>
                <w:bCs w:val="1"/>
                <w:color w:val="auto"/>
              </w:rPr>
              <w:t>2015</w:t>
            </w:r>
          </w:p>
        </w:tc>
        <w:tc>
          <w:tcPr>
            <w:tcW w:w="100" w:type="dxa"/>
            <w:vAlign w:val="bottom"/>
            <w:tcBorders>
              <w:bottom w:val="single" w:sz="8" w:color="CFF0FC"/>
            </w:tcBorders>
          </w:tcPr>
          <w:p>
            <w:pPr>
              <w:spacing w:after="0"/>
              <w:rPr>
                <w:sz w:val="12"/>
                <w:szCs w:val="12"/>
                <w:color w:val="auto"/>
              </w:rPr>
            </w:pPr>
          </w:p>
        </w:tc>
        <w:tc>
          <w:tcPr>
            <w:tcW w:w="0" w:type="dxa"/>
            <w:vAlign w:val="bottom"/>
          </w:tcPr>
          <w:p>
            <w:pPr>
              <w:spacing w:after="0"/>
              <w:rPr>
                <w:sz w:val="1"/>
                <w:szCs w:val="1"/>
                <w:color w:val="auto"/>
              </w:rPr>
            </w:pPr>
          </w:p>
        </w:tc>
      </w:tr>
      <w:tr>
        <w:trPr>
          <w:trHeight w:val="169"/>
        </w:trPr>
        <w:tc>
          <w:tcPr>
            <w:tcW w:w="5760" w:type="dxa"/>
            <w:vAlign w:val="bottom"/>
            <w:shd w:val="clear" w:color="auto" w:fill="CFF0FC"/>
          </w:tcPr>
          <w:p>
            <w:pPr>
              <w:spacing w:after="0" w:line="169" w:lineRule="exact"/>
              <w:rPr>
                <w:sz w:val="20"/>
                <w:szCs w:val="20"/>
                <w:color w:val="auto"/>
              </w:rPr>
            </w:pPr>
            <w:r>
              <w:rPr>
                <w:rFonts w:ascii="Arial" w:cs="Arial" w:eastAsia="Arial" w:hAnsi="Arial"/>
                <w:sz w:val="15"/>
                <w:szCs w:val="15"/>
                <w:b w:val="1"/>
                <w:bCs w:val="1"/>
                <w:color w:val="auto"/>
              </w:rPr>
              <w:t>CASH FLOWS FROM OPERATING ACTIVITIES:</w:t>
            </w:r>
          </w:p>
        </w:tc>
        <w:tc>
          <w:tcPr>
            <w:tcW w:w="980" w:type="dxa"/>
            <w:vAlign w:val="bottom"/>
            <w:shd w:val="clear" w:color="auto" w:fill="CFF0FC"/>
          </w:tcPr>
          <w:p>
            <w:pPr>
              <w:spacing w:after="0"/>
              <w:rPr>
                <w:sz w:val="14"/>
                <w:szCs w:val="14"/>
                <w:color w:val="auto"/>
              </w:rPr>
            </w:pPr>
          </w:p>
        </w:tc>
        <w:tc>
          <w:tcPr>
            <w:tcW w:w="800" w:type="dxa"/>
            <w:vAlign w:val="bottom"/>
            <w:shd w:val="clear" w:color="auto" w:fill="CFF0FC"/>
          </w:tcPr>
          <w:p>
            <w:pPr>
              <w:spacing w:after="0"/>
              <w:rPr>
                <w:sz w:val="14"/>
                <w:szCs w:val="14"/>
                <w:color w:val="auto"/>
              </w:rPr>
            </w:pPr>
          </w:p>
        </w:tc>
        <w:tc>
          <w:tcPr>
            <w:tcW w:w="54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320" w:type="dxa"/>
            <w:vAlign w:val="bottom"/>
            <w:shd w:val="clear" w:color="auto" w:fill="CFF0FC"/>
          </w:tcPr>
          <w:p>
            <w:pPr>
              <w:spacing w:after="0"/>
              <w:rPr>
                <w:sz w:val="14"/>
                <w:szCs w:val="14"/>
                <w:color w:val="auto"/>
              </w:rPr>
            </w:pPr>
          </w:p>
        </w:tc>
        <w:tc>
          <w:tcPr>
            <w:tcW w:w="1040" w:type="dxa"/>
            <w:vAlign w:val="bottom"/>
            <w:shd w:val="clear" w:color="auto" w:fill="CFF0FC"/>
          </w:tcPr>
          <w:p>
            <w:pPr>
              <w:spacing w:after="0"/>
              <w:rPr>
                <w:sz w:val="14"/>
                <w:szCs w:val="14"/>
                <w:color w:val="auto"/>
              </w:rPr>
            </w:pPr>
          </w:p>
        </w:tc>
        <w:tc>
          <w:tcPr>
            <w:tcW w:w="260" w:type="dxa"/>
            <w:vAlign w:val="bottom"/>
            <w:shd w:val="clear" w:color="auto" w:fill="CFF0FC"/>
          </w:tcPr>
          <w:p>
            <w:pPr>
              <w:spacing w:after="0"/>
              <w:rPr>
                <w:sz w:val="14"/>
                <w:szCs w:val="14"/>
                <w:color w:val="auto"/>
              </w:rPr>
            </w:pPr>
          </w:p>
        </w:tc>
        <w:tc>
          <w:tcPr>
            <w:tcW w:w="320" w:type="dxa"/>
            <w:vAlign w:val="bottom"/>
            <w:shd w:val="clear" w:color="auto" w:fill="CFF0FC"/>
          </w:tcPr>
          <w:p>
            <w:pPr>
              <w:spacing w:after="0"/>
              <w:rPr>
                <w:sz w:val="14"/>
                <w:szCs w:val="14"/>
                <w:color w:val="auto"/>
              </w:rPr>
            </w:pPr>
          </w:p>
        </w:tc>
        <w:tc>
          <w:tcPr>
            <w:tcW w:w="104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76"/>
        </w:trPr>
        <w:tc>
          <w:tcPr>
            <w:tcW w:w="5760" w:type="dxa"/>
            <w:vAlign w:val="bottom"/>
          </w:tcPr>
          <w:p>
            <w:pPr>
              <w:spacing w:after="0"/>
              <w:rPr>
                <w:sz w:val="20"/>
                <w:szCs w:val="20"/>
                <w:color w:val="auto"/>
              </w:rPr>
            </w:pPr>
            <w:r>
              <w:rPr>
                <w:rFonts w:ascii="Arial" w:cs="Arial" w:eastAsia="Arial" w:hAnsi="Arial"/>
                <w:sz w:val="15"/>
                <w:szCs w:val="15"/>
                <w:color w:val="auto"/>
              </w:rPr>
              <w:t>Net loss</w:t>
            </w:r>
          </w:p>
        </w:tc>
        <w:tc>
          <w:tcPr>
            <w:tcW w:w="1780" w:type="dxa"/>
            <w:vAlign w:val="bottom"/>
            <w:gridSpan w:val="2"/>
          </w:tcPr>
          <w:p>
            <w:pPr>
              <w:jc w:val="right"/>
              <w:ind w:right="657"/>
              <w:spacing w:after="0"/>
              <w:rPr>
                <w:sz w:val="20"/>
                <w:szCs w:val="20"/>
                <w:color w:val="auto"/>
              </w:rPr>
            </w:pPr>
            <w:r>
              <w:rPr>
                <w:rFonts w:ascii="Arial" w:cs="Arial" w:eastAsia="Arial" w:hAnsi="Arial"/>
                <w:sz w:val="15"/>
                <w:szCs w:val="15"/>
                <w:color w:val="auto"/>
              </w:rPr>
              <w:t>$</w:t>
            </w:r>
          </w:p>
        </w:tc>
        <w:tc>
          <w:tcPr>
            <w:tcW w:w="680" w:type="dxa"/>
            <w:vAlign w:val="bottom"/>
            <w:gridSpan w:val="2"/>
          </w:tcPr>
          <w:p>
            <w:pPr>
              <w:jc w:val="right"/>
              <w:ind w:right="100"/>
              <w:spacing w:after="0"/>
              <w:rPr>
                <w:sz w:val="20"/>
                <w:szCs w:val="20"/>
                <w:color w:val="auto"/>
              </w:rPr>
            </w:pPr>
            <w:r>
              <w:rPr>
                <w:rFonts w:ascii="Arial" w:cs="Arial" w:eastAsia="Arial" w:hAnsi="Arial"/>
                <w:sz w:val="15"/>
                <w:szCs w:val="15"/>
                <w:color w:val="auto"/>
              </w:rPr>
              <w:t>(17,842)</w:t>
            </w:r>
          </w:p>
        </w:tc>
        <w:tc>
          <w:tcPr>
            <w:tcW w:w="440" w:type="dxa"/>
            <w:vAlign w:val="bottom"/>
            <w:gridSpan w:val="2"/>
          </w:tcPr>
          <w:p>
            <w:pPr>
              <w:ind w:left="120"/>
              <w:spacing w:after="0"/>
              <w:rPr>
                <w:sz w:val="20"/>
                <w:szCs w:val="20"/>
                <w:color w:val="auto"/>
              </w:rPr>
            </w:pPr>
            <w:r>
              <w:rPr>
                <w:rFonts w:ascii="Arial" w:cs="Arial" w:eastAsia="Arial" w:hAnsi="Arial"/>
                <w:sz w:val="15"/>
                <w:szCs w:val="15"/>
                <w:color w:val="auto"/>
              </w:rPr>
              <w:t>$</w:t>
            </w:r>
          </w:p>
        </w:tc>
        <w:tc>
          <w:tcPr>
            <w:tcW w:w="1300" w:type="dxa"/>
            <w:vAlign w:val="bottom"/>
            <w:gridSpan w:val="2"/>
          </w:tcPr>
          <w:p>
            <w:pPr>
              <w:jc w:val="right"/>
              <w:ind w:right="220"/>
              <w:spacing w:after="0"/>
              <w:rPr>
                <w:sz w:val="20"/>
                <w:szCs w:val="20"/>
                <w:color w:val="auto"/>
              </w:rPr>
            </w:pPr>
            <w:r>
              <w:rPr>
                <w:rFonts w:ascii="Arial" w:cs="Arial" w:eastAsia="Arial" w:hAnsi="Arial"/>
                <w:sz w:val="15"/>
                <w:szCs w:val="15"/>
                <w:color w:val="auto"/>
              </w:rPr>
              <w:t>(21,846)</w:t>
            </w:r>
          </w:p>
        </w:tc>
        <w:tc>
          <w:tcPr>
            <w:tcW w:w="320" w:type="dxa"/>
            <w:vAlign w:val="bottom"/>
          </w:tcPr>
          <w:p>
            <w:pPr>
              <w:jc w:val="right"/>
              <w:ind w:right="163"/>
              <w:spacing w:after="0"/>
              <w:rPr>
                <w:sz w:val="20"/>
                <w:szCs w:val="20"/>
                <w:color w:val="auto"/>
              </w:rPr>
            </w:pPr>
            <w:r>
              <w:rPr>
                <w:rFonts w:ascii="Arial" w:cs="Arial" w:eastAsia="Arial" w:hAnsi="Arial"/>
                <w:sz w:val="15"/>
                <w:szCs w:val="15"/>
                <w:color w:val="auto"/>
                <w:w w:val="71"/>
              </w:rPr>
              <w:t>$</w:t>
            </w:r>
          </w:p>
        </w:tc>
        <w:tc>
          <w:tcPr>
            <w:tcW w:w="1140" w:type="dxa"/>
            <w:vAlign w:val="bottom"/>
            <w:gridSpan w:val="2"/>
          </w:tcPr>
          <w:p>
            <w:pPr>
              <w:jc w:val="right"/>
              <w:ind w:right="60"/>
              <w:spacing w:after="0"/>
              <w:rPr>
                <w:sz w:val="20"/>
                <w:szCs w:val="20"/>
                <w:color w:val="auto"/>
              </w:rPr>
            </w:pPr>
            <w:r>
              <w:rPr>
                <w:rFonts w:ascii="Arial" w:cs="Arial" w:eastAsia="Arial" w:hAnsi="Arial"/>
                <w:sz w:val="15"/>
                <w:szCs w:val="15"/>
                <w:color w:val="auto"/>
              </w:rPr>
              <w:t>(22,971)</w:t>
            </w:r>
          </w:p>
        </w:tc>
        <w:tc>
          <w:tcPr>
            <w:tcW w:w="0" w:type="dxa"/>
            <w:vAlign w:val="bottom"/>
          </w:tcPr>
          <w:p>
            <w:pPr>
              <w:spacing w:after="0"/>
              <w:rPr>
                <w:sz w:val="1"/>
                <w:szCs w:val="1"/>
                <w:color w:val="auto"/>
              </w:rPr>
            </w:pPr>
          </w:p>
        </w:tc>
      </w:tr>
      <w:tr>
        <w:trPr>
          <w:trHeight w:val="176"/>
        </w:trPr>
        <w:tc>
          <w:tcPr>
            <w:tcW w:w="5760" w:type="dxa"/>
            <w:vAlign w:val="bottom"/>
            <w:shd w:val="clear" w:color="auto" w:fill="CFF0FC"/>
          </w:tcPr>
          <w:p>
            <w:pPr>
              <w:spacing w:after="0"/>
              <w:rPr>
                <w:sz w:val="20"/>
                <w:szCs w:val="20"/>
                <w:color w:val="auto"/>
              </w:rPr>
            </w:pPr>
            <w:r>
              <w:rPr>
                <w:rFonts w:ascii="Arial" w:cs="Arial" w:eastAsia="Arial" w:hAnsi="Arial"/>
                <w:sz w:val="15"/>
                <w:szCs w:val="15"/>
                <w:color w:val="auto"/>
              </w:rPr>
              <w:t>Adjustments to reconcile net loss to net cash used in operating activities:</w:t>
            </w:r>
          </w:p>
        </w:tc>
        <w:tc>
          <w:tcPr>
            <w:tcW w:w="980" w:type="dxa"/>
            <w:vAlign w:val="bottom"/>
            <w:shd w:val="clear" w:color="auto" w:fill="CFF0FC"/>
          </w:tcPr>
          <w:p>
            <w:pPr>
              <w:spacing w:after="0"/>
              <w:rPr>
                <w:sz w:val="15"/>
                <w:szCs w:val="15"/>
                <w:color w:val="auto"/>
              </w:rPr>
            </w:pPr>
          </w:p>
        </w:tc>
        <w:tc>
          <w:tcPr>
            <w:tcW w:w="800" w:type="dxa"/>
            <w:vAlign w:val="bottom"/>
            <w:shd w:val="clear" w:color="auto" w:fill="CFF0FC"/>
          </w:tcPr>
          <w:p>
            <w:pPr>
              <w:spacing w:after="0"/>
              <w:rPr>
                <w:sz w:val="15"/>
                <w:szCs w:val="15"/>
                <w:color w:val="auto"/>
              </w:rPr>
            </w:pPr>
          </w:p>
        </w:tc>
        <w:tc>
          <w:tcPr>
            <w:tcW w:w="54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320" w:type="dxa"/>
            <w:vAlign w:val="bottom"/>
            <w:shd w:val="clear" w:color="auto" w:fill="CFF0FC"/>
          </w:tcPr>
          <w:p>
            <w:pPr>
              <w:spacing w:after="0"/>
              <w:rPr>
                <w:sz w:val="15"/>
                <w:szCs w:val="15"/>
                <w:color w:val="auto"/>
              </w:rPr>
            </w:pPr>
          </w:p>
        </w:tc>
        <w:tc>
          <w:tcPr>
            <w:tcW w:w="1040" w:type="dxa"/>
            <w:vAlign w:val="bottom"/>
            <w:shd w:val="clear" w:color="auto" w:fill="CFF0FC"/>
          </w:tcPr>
          <w:p>
            <w:pPr>
              <w:spacing w:after="0"/>
              <w:rPr>
                <w:sz w:val="15"/>
                <w:szCs w:val="15"/>
                <w:color w:val="auto"/>
              </w:rPr>
            </w:pPr>
          </w:p>
        </w:tc>
        <w:tc>
          <w:tcPr>
            <w:tcW w:w="260" w:type="dxa"/>
            <w:vAlign w:val="bottom"/>
            <w:shd w:val="clear" w:color="auto" w:fill="CFF0FC"/>
          </w:tcPr>
          <w:p>
            <w:pPr>
              <w:spacing w:after="0"/>
              <w:rPr>
                <w:sz w:val="15"/>
                <w:szCs w:val="15"/>
                <w:color w:val="auto"/>
              </w:rPr>
            </w:pPr>
          </w:p>
        </w:tc>
        <w:tc>
          <w:tcPr>
            <w:tcW w:w="320" w:type="dxa"/>
            <w:vAlign w:val="bottom"/>
            <w:shd w:val="clear" w:color="auto" w:fill="CFF0FC"/>
          </w:tcPr>
          <w:p>
            <w:pPr>
              <w:spacing w:after="0"/>
              <w:rPr>
                <w:sz w:val="15"/>
                <w:szCs w:val="15"/>
                <w:color w:val="auto"/>
              </w:rPr>
            </w:pPr>
          </w:p>
        </w:tc>
        <w:tc>
          <w:tcPr>
            <w:tcW w:w="104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5760" w:type="dxa"/>
            <w:vAlign w:val="bottom"/>
          </w:tcPr>
          <w:p>
            <w:pPr>
              <w:ind w:left="260"/>
              <w:spacing w:after="0"/>
              <w:rPr>
                <w:sz w:val="20"/>
                <w:szCs w:val="20"/>
                <w:color w:val="auto"/>
              </w:rPr>
            </w:pPr>
            <w:r>
              <w:rPr>
                <w:rFonts w:ascii="Arial" w:cs="Arial" w:eastAsia="Arial" w:hAnsi="Arial"/>
                <w:sz w:val="15"/>
                <w:szCs w:val="15"/>
                <w:color w:val="auto"/>
              </w:rPr>
              <w:t>Depreciation and amortization</w:t>
            </w:r>
          </w:p>
        </w:tc>
        <w:tc>
          <w:tcPr>
            <w:tcW w:w="98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540" w:type="dxa"/>
            <w:vAlign w:val="bottom"/>
          </w:tcPr>
          <w:p>
            <w:pPr>
              <w:jc w:val="right"/>
              <w:spacing w:after="0"/>
              <w:rPr>
                <w:sz w:val="20"/>
                <w:szCs w:val="20"/>
                <w:color w:val="auto"/>
              </w:rPr>
            </w:pPr>
            <w:r>
              <w:rPr>
                <w:rFonts w:ascii="Arial" w:cs="Arial" w:eastAsia="Arial" w:hAnsi="Arial"/>
                <w:sz w:val="15"/>
                <w:szCs w:val="15"/>
                <w:color w:val="auto"/>
              </w:rPr>
              <w:t>574</w:t>
            </w:r>
          </w:p>
        </w:tc>
        <w:tc>
          <w:tcPr>
            <w:tcW w:w="1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40" w:type="dxa"/>
            <w:vAlign w:val="bottom"/>
          </w:tcPr>
          <w:p>
            <w:pPr>
              <w:jc w:val="right"/>
              <w:spacing w:after="0"/>
              <w:rPr>
                <w:sz w:val="20"/>
                <w:szCs w:val="20"/>
                <w:color w:val="auto"/>
              </w:rPr>
            </w:pPr>
            <w:r>
              <w:rPr>
                <w:rFonts w:ascii="Arial" w:cs="Arial" w:eastAsia="Arial" w:hAnsi="Arial"/>
                <w:sz w:val="15"/>
                <w:szCs w:val="15"/>
                <w:color w:val="auto"/>
              </w:rPr>
              <w:t>654</w:t>
            </w:r>
          </w:p>
        </w:tc>
        <w:tc>
          <w:tcPr>
            <w:tcW w:w="26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40" w:type="dxa"/>
            <w:vAlign w:val="bottom"/>
          </w:tcPr>
          <w:p>
            <w:pPr>
              <w:jc w:val="right"/>
              <w:spacing w:after="0"/>
              <w:rPr>
                <w:sz w:val="20"/>
                <w:szCs w:val="20"/>
                <w:color w:val="auto"/>
              </w:rPr>
            </w:pPr>
            <w:r>
              <w:rPr>
                <w:rFonts w:ascii="Arial" w:cs="Arial" w:eastAsia="Arial" w:hAnsi="Arial"/>
                <w:sz w:val="15"/>
                <w:szCs w:val="15"/>
                <w:color w:val="auto"/>
              </w:rPr>
              <w:t>860</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5760" w:type="dxa"/>
            <w:vAlign w:val="bottom"/>
            <w:shd w:val="clear" w:color="auto" w:fill="CFF0FC"/>
          </w:tcPr>
          <w:p>
            <w:pPr>
              <w:ind w:left="260"/>
              <w:spacing w:after="0"/>
              <w:rPr>
                <w:sz w:val="20"/>
                <w:szCs w:val="20"/>
                <w:color w:val="auto"/>
              </w:rPr>
            </w:pPr>
            <w:r>
              <w:rPr>
                <w:rFonts w:ascii="Arial" w:cs="Arial" w:eastAsia="Arial" w:hAnsi="Arial"/>
                <w:sz w:val="15"/>
                <w:szCs w:val="15"/>
                <w:color w:val="auto"/>
              </w:rPr>
              <w:t>Loss on disposal of property and equipment</w:t>
            </w:r>
          </w:p>
        </w:tc>
        <w:tc>
          <w:tcPr>
            <w:tcW w:w="980" w:type="dxa"/>
            <w:vAlign w:val="bottom"/>
            <w:shd w:val="clear" w:color="auto" w:fill="CFF0FC"/>
          </w:tcPr>
          <w:p>
            <w:pPr>
              <w:spacing w:after="0"/>
              <w:rPr>
                <w:sz w:val="15"/>
                <w:szCs w:val="15"/>
                <w:color w:val="auto"/>
              </w:rPr>
            </w:pPr>
          </w:p>
        </w:tc>
        <w:tc>
          <w:tcPr>
            <w:tcW w:w="800" w:type="dxa"/>
            <w:vAlign w:val="bottom"/>
            <w:shd w:val="clear" w:color="auto" w:fill="CFF0FC"/>
          </w:tcPr>
          <w:p>
            <w:pPr>
              <w:spacing w:after="0"/>
              <w:rPr>
                <w:sz w:val="15"/>
                <w:szCs w:val="15"/>
                <w:color w:val="auto"/>
              </w:rPr>
            </w:pPr>
          </w:p>
        </w:tc>
        <w:tc>
          <w:tcPr>
            <w:tcW w:w="540" w:type="dxa"/>
            <w:vAlign w:val="bottom"/>
            <w:shd w:val="clear" w:color="auto" w:fill="CFF0FC"/>
          </w:tcPr>
          <w:p>
            <w:pPr>
              <w:jc w:val="right"/>
              <w:spacing w:after="0"/>
              <w:rPr>
                <w:sz w:val="20"/>
                <w:szCs w:val="20"/>
                <w:color w:val="auto"/>
              </w:rPr>
            </w:pPr>
            <w:r>
              <w:rPr>
                <w:rFonts w:ascii="Arial" w:cs="Arial" w:eastAsia="Arial" w:hAnsi="Arial"/>
                <w:sz w:val="15"/>
                <w:szCs w:val="15"/>
                <w:color w:val="auto"/>
              </w:rPr>
              <w:t>34</w:t>
            </w:r>
          </w:p>
        </w:tc>
        <w:tc>
          <w:tcPr>
            <w:tcW w:w="14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320" w:type="dxa"/>
            <w:vAlign w:val="bottom"/>
            <w:shd w:val="clear" w:color="auto" w:fill="CFF0FC"/>
          </w:tcPr>
          <w:p>
            <w:pPr>
              <w:spacing w:after="0"/>
              <w:rPr>
                <w:sz w:val="15"/>
                <w:szCs w:val="15"/>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5"/>
                <w:szCs w:val="15"/>
                <w:color w:val="auto"/>
              </w:rPr>
              <w:t>46</w:t>
            </w:r>
          </w:p>
        </w:tc>
        <w:tc>
          <w:tcPr>
            <w:tcW w:w="260" w:type="dxa"/>
            <w:vAlign w:val="bottom"/>
            <w:shd w:val="clear" w:color="auto" w:fill="CFF0FC"/>
          </w:tcPr>
          <w:p>
            <w:pPr>
              <w:spacing w:after="0"/>
              <w:rPr>
                <w:sz w:val="15"/>
                <w:szCs w:val="15"/>
                <w:color w:val="auto"/>
              </w:rPr>
            </w:pPr>
          </w:p>
        </w:tc>
        <w:tc>
          <w:tcPr>
            <w:tcW w:w="320" w:type="dxa"/>
            <w:vAlign w:val="bottom"/>
            <w:shd w:val="clear" w:color="auto" w:fill="CFF0FC"/>
          </w:tcPr>
          <w:p>
            <w:pPr>
              <w:spacing w:after="0"/>
              <w:rPr>
                <w:sz w:val="15"/>
                <w:szCs w:val="15"/>
                <w:color w:val="auto"/>
              </w:rPr>
            </w:pPr>
          </w:p>
        </w:tc>
        <w:tc>
          <w:tcPr>
            <w:tcW w:w="1140" w:type="dxa"/>
            <w:vAlign w:val="bottom"/>
            <w:gridSpan w:val="2"/>
            <w:shd w:val="clear" w:color="auto" w:fill="CFF0FC"/>
          </w:tcPr>
          <w:p>
            <w:pPr>
              <w:jc w:val="right"/>
              <w:ind w:right="120"/>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176"/>
        </w:trPr>
        <w:tc>
          <w:tcPr>
            <w:tcW w:w="5760" w:type="dxa"/>
            <w:vAlign w:val="bottom"/>
          </w:tcPr>
          <w:p>
            <w:pPr>
              <w:ind w:left="260"/>
              <w:spacing w:after="0"/>
              <w:rPr>
                <w:sz w:val="20"/>
                <w:szCs w:val="20"/>
                <w:color w:val="auto"/>
              </w:rPr>
            </w:pPr>
            <w:r>
              <w:rPr>
                <w:rFonts w:ascii="Arial" w:cs="Arial" w:eastAsia="Arial" w:hAnsi="Arial"/>
                <w:sz w:val="15"/>
                <w:szCs w:val="15"/>
                <w:color w:val="auto"/>
              </w:rPr>
              <w:t>Amortization of debt issuance costs</w:t>
            </w:r>
          </w:p>
        </w:tc>
        <w:tc>
          <w:tcPr>
            <w:tcW w:w="98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540" w:type="dxa"/>
            <w:vAlign w:val="bottom"/>
          </w:tcPr>
          <w:p>
            <w:pPr>
              <w:jc w:val="right"/>
              <w:spacing w:after="0"/>
              <w:rPr>
                <w:sz w:val="20"/>
                <w:szCs w:val="20"/>
                <w:color w:val="auto"/>
              </w:rPr>
            </w:pPr>
            <w:r>
              <w:rPr>
                <w:rFonts w:ascii="Arial" w:cs="Arial" w:eastAsia="Arial" w:hAnsi="Arial"/>
                <w:sz w:val="15"/>
                <w:szCs w:val="15"/>
                <w:color w:val="auto"/>
              </w:rPr>
              <w:t>551</w:t>
            </w:r>
          </w:p>
        </w:tc>
        <w:tc>
          <w:tcPr>
            <w:tcW w:w="1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40" w:type="dxa"/>
            <w:vAlign w:val="bottom"/>
          </w:tcPr>
          <w:p>
            <w:pPr>
              <w:jc w:val="right"/>
              <w:spacing w:after="0"/>
              <w:rPr>
                <w:sz w:val="20"/>
                <w:szCs w:val="20"/>
                <w:color w:val="auto"/>
              </w:rPr>
            </w:pPr>
            <w:r>
              <w:rPr>
                <w:rFonts w:ascii="Arial" w:cs="Arial" w:eastAsia="Arial" w:hAnsi="Arial"/>
                <w:sz w:val="15"/>
                <w:szCs w:val="15"/>
                <w:color w:val="auto"/>
              </w:rPr>
              <w:t>737</w:t>
            </w:r>
          </w:p>
        </w:tc>
        <w:tc>
          <w:tcPr>
            <w:tcW w:w="26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40" w:type="dxa"/>
            <w:vAlign w:val="bottom"/>
          </w:tcPr>
          <w:p>
            <w:pPr>
              <w:jc w:val="right"/>
              <w:spacing w:after="0"/>
              <w:rPr>
                <w:sz w:val="20"/>
                <w:szCs w:val="20"/>
                <w:color w:val="auto"/>
              </w:rPr>
            </w:pPr>
            <w:r>
              <w:rPr>
                <w:rFonts w:ascii="Arial" w:cs="Arial" w:eastAsia="Arial" w:hAnsi="Arial"/>
                <w:sz w:val="15"/>
                <w:szCs w:val="15"/>
                <w:color w:val="auto"/>
              </w:rPr>
              <w:t>1,209</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5760" w:type="dxa"/>
            <w:vAlign w:val="bottom"/>
            <w:shd w:val="clear" w:color="auto" w:fill="CFF0FC"/>
          </w:tcPr>
          <w:p>
            <w:pPr>
              <w:ind w:left="260"/>
              <w:spacing w:after="0"/>
              <w:rPr>
                <w:sz w:val="20"/>
                <w:szCs w:val="20"/>
                <w:color w:val="auto"/>
              </w:rPr>
            </w:pPr>
            <w:r>
              <w:rPr>
                <w:rFonts w:ascii="Arial" w:cs="Arial" w:eastAsia="Arial" w:hAnsi="Arial"/>
                <w:sz w:val="15"/>
                <w:szCs w:val="15"/>
                <w:color w:val="auto"/>
              </w:rPr>
              <w:t>Stock-based compensation</w:t>
            </w:r>
          </w:p>
        </w:tc>
        <w:tc>
          <w:tcPr>
            <w:tcW w:w="980" w:type="dxa"/>
            <w:vAlign w:val="bottom"/>
            <w:shd w:val="clear" w:color="auto" w:fill="CFF0FC"/>
          </w:tcPr>
          <w:p>
            <w:pPr>
              <w:spacing w:after="0"/>
              <w:rPr>
                <w:sz w:val="15"/>
                <w:szCs w:val="15"/>
                <w:color w:val="auto"/>
              </w:rPr>
            </w:pPr>
          </w:p>
        </w:tc>
        <w:tc>
          <w:tcPr>
            <w:tcW w:w="800" w:type="dxa"/>
            <w:vAlign w:val="bottom"/>
            <w:shd w:val="clear" w:color="auto" w:fill="CFF0FC"/>
          </w:tcPr>
          <w:p>
            <w:pPr>
              <w:spacing w:after="0"/>
              <w:rPr>
                <w:sz w:val="15"/>
                <w:szCs w:val="15"/>
                <w:color w:val="auto"/>
              </w:rPr>
            </w:pPr>
          </w:p>
        </w:tc>
        <w:tc>
          <w:tcPr>
            <w:tcW w:w="540" w:type="dxa"/>
            <w:vAlign w:val="bottom"/>
            <w:shd w:val="clear" w:color="auto" w:fill="CFF0FC"/>
          </w:tcPr>
          <w:p>
            <w:pPr>
              <w:jc w:val="right"/>
              <w:spacing w:after="0"/>
              <w:rPr>
                <w:sz w:val="20"/>
                <w:szCs w:val="20"/>
                <w:color w:val="auto"/>
              </w:rPr>
            </w:pPr>
            <w:r>
              <w:rPr>
                <w:rFonts w:ascii="Arial" w:cs="Arial" w:eastAsia="Arial" w:hAnsi="Arial"/>
                <w:sz w:val="15"/>
                <w:szCs w:val="15"/>
                <w:color w:val="auto"/>
              </w:rPr>
              <w:t>465</w:t>
            </w:r>
          </w:p>
        </w:tc>
        <w:tc>
          <w:tcPr>
            <w:tcW w:w="14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320" w:type="dxa"/>
            <w:vAlign w:val="bottom"/>
            <w:shd w:val="clear" w:color="auto" w:fill="CFF0FC"/>
          </w:tcPr>
          <w:p>
            <w:pPr>
              <w:spacing w:after="0"/>
              <w:rPr>
                <w:sz w:val="15"/>
                <w:szCs w:val="15"/>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5"/>
                <w:szCs w:val="15"/>
                <w:color w:val="auto"/>
              </w:rPr>
              <w:t>466</w:t>
            </w:r>
          </w:p>
        </w:tc>
        <w:tc>
          <w:tcPr>
            <w:tcW w:w="260" w:type="dxa"/>
            <w:vAlign w:val="bottom"/>
            <w:shd w:val="clear" w:color="auto" w:fill="CFF0FC"/>
          </w:tcPr>
          <w:p>
            <w:pPr>
              <w:spacing w:after="0"/>
              <w:rPr>
                <w:sz w:val="15"/>
                <w:szCs w:val="15"/>
                <w:color w:val="auto"/>
              </w:rPr>
            </w:pPr>
          </w:p>
        </w:tc>
        <w:tc>
          <w:tcPr>
            <w:tcW w:w="320" w:type="dxa"/>
            <w:vAlign w:val="bottom"/>
            <w:shd w:val="clear" w:color="auto" w:fill="CFF0FC"/>
          </w:tcPr>
          <w:p>
            <w:pPr>
              <w:spacing w:after="0"/>
              <w:rPr>
                <w:sz w:val="15"/>
                <w:szCs w:val="15"/>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5"/>
                <w:szCs w:val="15"/>
                <w:color w:val="auto"/>
              </w:rPr>
              <w:t>429</w:t>
            </w:r>
          </w:p>
        </w:tc>
        <w:tc>
          <w:tcPr>
            <w:tcW w:w="10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5760" w:type="dxa"/>
            <w:vAlign w:val="bottom"/>
          </w:tcPr>
          <w:p>
            <w:pPr>
              <w:ind w:left="260"/>
              <w:spacing w:after="0"/>
              <w:rPr>
                <w:sz w:val="20"/>
                <w:szCs w:val="20"/>
                <w:color w:val="auto"/>
              </w:rPr>
            </w:pPr>
            <w:r>
              <w:rPr>
                <w:rFonts w:ascii="Arial" w:cs="Arial" w:eastAsia="Arial" w:hAnsi="Arial"/>
                <w:sz w:val="15"/>
                <w:szCs w:val="15"/>
                <w:color w:val="auto"/>
              </w:rPr>
              <w:t>Changes in fair value of preferred stock warrant liabilities</w:t>
            </w:r>
          </w:p>
        </w:tc>
        <w:tc>
          <w:tcPr>
            <w:tcW w:w="98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540" w:type="dxa"/>
            <w:vAlign w:val="bottom"/>
          </w:tcPr>
          <w:p>
            <w:pPr>
              <w:jc w:val="right"/>
              <w:spacing w:after="0"/>
              <w:rPr>
                <w:sz w:val="20"/>
                <w:szCs w:val="20"/>
                <w:color w:val="auto"/>
              </w:rPr>
            </w:pPr>
            <w:r>
              <w:rPr>
                <w:rFonts w:ascii="Arial" w:cs="Arial" w:eastAsia="Arial" w:hAnsi="Arial"/>
                <w:sz w:val="15"/>
                <w:szCs w:val="15"/>
                <w:color w:val="auto"/>
              </w:rPr>
              <w:t>387</w:t>
            </w:r>
          </w:p>
        </w:tc>
        <w:tc>
          <w:tcPr>
            <w:tcW w:w="1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40" w:type="dxa"/>
            <w:vAlign w:val="bottom"/>
          </w:tcPr>
          <w:p>
            <w:pPr>
              <w:jc w:val="right"/>
              <w:spacing w:after="0"/>
              <w:rPr>
                <w:sz w:val="20"/>
                <w:szCs w:val="20"/>
                <w:color w:val="auto"/>
              </w:rPr>
            </w:pPr>
            <w:r>
              <w:rPr>
                <w:rFonts w:ascii="Arial" w:cs="Arial" w:eastAsia="Arial" w:hAnsi="Arial"/>
                <w:sz w:val="15"/>
                <w:szCs w:val="15"/>
                <w:color w:val="auto"/>
              </w:rPr>
              <w:t>346</w:t>
            </w:r>
          </w:p>
        </w:tc>
        <w:tc>
          <w:tcPr>
            <w:tcW w:w="26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140" w:type="dxa"/>
            <w:vAlign w:val="bottom"/>
            <w:gridSpan w:val="2"/>
          </w:tcPr>
          <w:p>
            <w:pPr>
              <w:jc w:val="right"/>
              <w:ind w:right="60"/>
              <w:spacing w:after="0"/>
              <w:rPr>
                <w:sz w:val="20"/>
                <w:szCs w:val="20"/>
                <w:color w:val="auto"/>
              </w:rPr>
            </w:pPr>
            <w:r>
              <w:rPr>
                <w:rFonts w:ascii="Arial" w:cs="Arial" w:eastAsia="Arial" w:hAnsi="Arial"/>
                <w:sz w:val="15"/>
                <w:szCs w:val="15"/>
                <w:color w:val="auto"/>
              </w:rPr>
              <w:t>(578)</w:t>
            </w:r>
          </w:p>
        </w:tc>
        <w:tc>
          <w:tcPr>
            <w:tcW w:w="0" w:type="dxa"/>
            <w:vAlign w:val="bottom"/>
          </w:tcPr>
          <w:p>
            <w:pPr>
              <w:spacing w:after="0"/>
              <w:rPr>
                <w:sz w:val="1"/>
                <w:szCs w:val="1"/>
                <w:color w:val="auto"/>
              </w:rPr>
            </w:pPr>
          </w:p>
        </w:tc>
      </w:tr>
      <w:tr>
        <w:trPr>
          <w:trHeight w:val="176"/>
        </w:trPr>
        <w:tc>
          <w:tcPr>
            <w:tcW w:w="5760" w:type="dxa"/>
            <w:vAlign w:val="bottom"/>
            <w:shd w:val="clear" w:color="auto" w:fill="CFF0FC"/>
          </w:tcPr>
          <w:p>
            <w:pPr>
              <w:ind w:left="260"/>
              <w:spacing w:after="0"/>
              <w:rPr>
                <w:sz w:val="20"/>
                <w:szCs w:val="20"/>
                <w:color w:val="auto"/>
              </w:rPr>
            </w:pPr>
            <w:r>
              <w:rPr>
                <w:rFonts w:ascii="Arial" w:cs="Arial" w:eastAsia="Arial" w:hAnsi="Arial"/>
                <w:sz w:val="15"/>
                <w:szCs w:val="15"/>
                <w:color w:val="auto"/>
              </w:rPr>
              <w:t>Gain on sale of investment</w:t>
            </w:r>
          </w:p>
        </w:tc>
        <w:tc>
          <w:tcPr>
            <w:tcW w:w="980" w:type="dxa"/>
            <w:vAlign w:val="bottom"/>
            <w:shd w:val="clear" w:color="auto" w:fill="CFF0FC"/>
          </w:tcPr>
          <w:p>
            <w:pPr>
              <w:spacing w:after="0"/>
              <w:rPr>
                <w:sz w:val="15"/>
                <w:szCs w:val="15"/>
                <w:color w:val="auto"/>
              </w:rPr>
            </w:pPr>
          </w:p>
        </w:tc>
        <w:tc>
          <w:tcPr>
            <w:tcW w:w="800" w:type="dxa"/>
            <w:vAlign w:val="bottom"/>
            <w:shd w:val="clear" w:color="auto" w:fill="CFF0FC"/>
          </w:tcPr>
          <w:p>
            <w:pPr>
              <w:spacing w:after="0"/>
              <w:rPr>
                <w:sz w:val="15"/>
                <w:szCs w:val="15"/>
                <w:color w:val="auto"/>
              </w:rPr>
            </w:pPr>
          </w:p>
        </w:tc>
        <w:tc>
          <w:tcPr>
            <w:tcW w:w="680" w:type="dxa"/>
            <w:vAlign w:val="bottom"/>
            <w:gridSpan w:val="2"/>
            <w:shd w:val="clear" w:color="auto" w:fill="CFF0FC"/>
          </w:tcPr>
          <w:p>
            <w:pPr>
              <w:jc w:val="right"/>
              <w:ind w:right="100"/>
              <w:spacing w:after="0"/>
              <w:rPr>
                <w:sz w:val="20"/>
                <w:szCs w:val="20"/>
                <w:color w:val="auto"/>
              </w:rPr>
            </w:pPr>
            <w:r>
              <w:rPr>
                <w:rFonts w:ascii="Arial" w:cs="Arial" w:eastAsia="Arial" w:hAnsi="Arial"/>
                <w:sz w:val="15"/>
                <w:szCs w:val="15"/>
                <w:color w:val="auto"/>
              </w:rPr>
              <w:t>(1,851)</w:t>
            </w:r>
          </w:p>
        </w:tc>
        <w:tc>
          <w:tcPr>
            <w:tcW w:w="120" w:type="dxa"/>
            <w:vAlign w:val="bottom"/>
            <w:shd w:val="clear" w:color="auto" w:fill="CFF0FC"/>
          </w:tcPr>
          <w:p>
            <w:pPr>
              <w:spacing w:after="0"/>
              <w:rPr>
                <w:sz w:val="15"/>
                <w:szCs w:val="15"/>
                <w:color w:val="auto"/>
              </w:rPr>
            </w:pPr>
          </w:p>
        </w:tc>
        <w:tc>
          <w:tcPr>
            <w:tcW w:w="320" w:type="dxa"/>
            <w:vAlign w:val="bottom"/>
            <w:shd w:val="clear" w:color="auto" w:fill="CFF0FC"/>
          </w:tcPr>
          <w:p>
            <w:pPr>
              <w:spacing w:after="0"/>
              <w:rPr>
                <w:sz w:val="15"/>
                <w:szCs w:val="15"/>
                <w:color w:val="auto"/>
              </w:rPr>
            </w:pPr>
          </w:p>
        </w:tc>
        <w:tc>
          <w:tcPr>
            <w:tcW w:w="1300" w:type="dxa"/>
            <w:vAlign w:val="bottom"/>
            <w:gridSpan w:val="2"/>
            <w:shd w:val="clear" w:color="auto" w:fill="CFF0FC"/>
          </w:tcPr>
          <w:p>
            <w:pPr>
              <w:jc w:val="right"/>
              <w:ind w:right="280"/>
              <w:spacing w:after="0"/>
              <w:rPr>
                <w:sz w:val="20"/>
                <w:szCs w:val="20"/>
                <w:color w:val="auto"/>
              </w:rPr>
            </w:pPr>
            <w:r>
              <w:rPr>
                <w:rFonts w:ascii="Arial" w:cs="Arial" w:eastAsia="Arial" w:hAnsi="Arial"/>
                <w:sz w:val="15"/>
                <w:szCs w:val="15"/>
                <w:color w:val="auto"/>
              </w:rPr>
              <w:t>—</w:t>
            </w:r>
          </w:p>
        </w:tc>
        <w:tc>
          <w:tcPr>
            <w:tcW w:w="320" w:type="dxa"/>
            <w:vAlign w:val="bottom"/>
            <w:shd w:val="clear" w:color="auto" w:fill="CFF0FC"/>
          </w:tcPr>
          <w:p>
            <w:pPr>
              <w:spacing w:after="0"/>
              <w:rPr>
                <w:sz w:val="15"/>
                <w:szCs w:val="15"/>
                <w:color w:val="auto"/>
              </w:rPr>
            </w:pPr>
          </w:p>
        </w:tc>
        <w:tc>
          <w:tcPr>
            <w:tcW w:w="1140" w:type="dxa"/>
            <w:vAlign w:val="bottom"/>
            <w:gridSpan w:val="2"/>
            <w:shd w:val="clear" w:color="auto" w:fill="CFF0FC"/>
          </w:tcPr>
          <w:p>
            <w:pPr>
              <w:jc w:val="right"/>
              <w:ind w:right="120"/>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176"/>
        </w:trPr>
        <w:tc>
          <w:tcPr>
            <w:tcW w:w="5760" w:type="dxa"/>
            <w:vAlign w:val="bottom"/>
          </w:tcPr>
          <w:p>
            <w:pPr>
              <w:ind w:left="260"/>
              <w:spacing w:after="0"/>
              <w:rPr>
                <w:sz w:val="20"/>
                <w:szCs w:val="20"/>
                <w:color w:val="auto"/>
              </w:rPr>
            </w:pPr>
            <w:r>
              <w:rPr>
                <w:rFonts w:ascii="Arial" w:cs="Arial" w:eastAsia="Arial" w:hAnsi="Arial"/>
                <w:sz w:val="15"/>
                <w:szCs w:val="15"/>
                <w:color w:val="auto"/>
              </w:rPr>
              <w:t>Non-cash interest expense on convertible notes</w:t>
            </w:r>
          </w:p>
        </w:tc>
        <w:tc>
          <w:tcPr>
            <w:tcW w:w="98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540" w:type="dxa"/>
            <w:vAlign w:val="bottom"/>
          </w:tcPr>
          <w:p>
            <w:pPr>
              <w:jc w:val="right"/>
              <w:spacing w:after="0"/>
              <w:rPr>
                <w:sz w:val="20"/>
                <w:szCs w:val="20"/>
                <w:color w:val="auto"/>
              </w:rPr>
            </w:pPr>
            <w:r>
              <w:rPr>
                <w:rFonts w:ascii="Arial" w:cs="Arial" w:eastAsia="Arial" w:hAnsi="Arial"/>
                <w:sz w:val="15"/>
                <w:szCs w:val="15"/>
                <w:color w:val="auto"/>
              </w:rPr>
              <w:t>27</w:t>
            </w:r>
          </w:p>
        </w:tc>
        <w:tc>
          <w:tcPr>
            <w:tcW w:w="1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300" w:type="dxa"/>
            <w:vAlign w:val="bottom"/>
            <w:gridSpan w:val="2"/>
          </w:tcPr>
          <w:p>
            <w:pPr>
              <w:jc w:val="right"/>
              <w:ind w:right="280"/>
              <w:spacing w:after="0"/>
              <w:rPr>
                <w:sz w:val="20"/>
                <w:szCs w:val="20"/>
                <w:color w:val="auto"/>
              </w:rPr>
            </w:pPr>
            <w:r>
              <w:rPr>
                <w:rFonts w:ascii="Arial" w:cs="Arial" w:eastAsia="Arial" w:hAnsi="Arial"/>
                <w:sz w:val="15"/>
                <w:szCs w:val="15"/>
                <w:color w:val="auto"/>
              </w:rPr>
              <w:t>—</w:t>
            </w:r>
          </w:p>
        </w:tc>
        <w:tc>
          <w:tcPr>
            <w:tcW w:w="320" w:type="dxa"/>
            <w:vAlign w:val="bottom"/>
          </w:tcPr>
          <w:p>
            <w:pPr>
              <w:spacing w:after="0"/>
              <w:rPr>
                <w:sz w:val="15"/>
                <w:szCs w:val="15"/>
                <w:color w:val="auto"/>
              </w:rPr>
            </w:pPr>
          </w:p>
        </w:tc>
        <w:tc>
          <w:tcPr>
            <w:tcW w:w="1140" w:type="dxa"/>
            <w:vAlign w:val="bottom"/>
            <w:gridSpan w:val="2"/>
          </w:tcPr>
          <w:p>
            <w:pPr>
              <w:jc w:val="right"/>
              <w:ind w:right="120"/>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176"/>
        </w:trPr>
        <w:tc>
          <w:tcPr>
            <w:tcW w:w="5760" w:type="dxa"/>
            <w:vAlign w:val="bottom"/>
            <w:shd w:val="clear" w:color="auto" w:fill="CFF0FC"/>
          </w:tcPr>
          <w:p>
            <w:pPr>
              <w:ind w:left="260"/>
              <w:spacing w:after="0"/>
              <w:rPr>
                <w:sz w:val="20"/>
                <w:szCs w:val="20"/>
                <w:color w:val="auto"/>
              </w:rPr>
            </w:pPr>
            <w:r>
              <w:rPr>
                <w:rFonts w:ascii="Arial" w:cs="Arial" w:eastAsia="Arial" w:hAnsi="Arial"/>
                <w:sz w:val="15"/>
                <w:szCs w:val="15"/>
                <w:color w:val="auto"/>
              </w:rPr>
              <w:t>Changes in operating assets and liabilities:</w:t>
            </w:r>
          </w:p>
        </w:tc>
        <w:tc>
          <w:tcPr>
            <w:tcW w:w="980" w:type="dxa"/>
            <w:vAlign w:val="bottom"/>
            <w:shd w:val="clear" w:color="auto" w:fill="CFF0FC"/>
          </w:tcPr>
          <w:p>
            <w:pPr>
              <w:spacing w:after="0"/>
              <w:rPr>
                <w:sz w:val="15"/>
                <w:szCs w:val="15"/>
                <w:color w:val="auto"/>
              </w:rPr>
            </w:pPr>
          </w:p>
        </w:tc>
        <w:tc>
          <w:tcPr>
            <w:tcW w:w="800" w:type="dxa"/>
            <w:vAlign w:val="bottom"/>
            <w:shd w:val="clear" w:color="auto" w:fill="CFF0FC"/>
          </w:tcPr>
          <w:p>
            <w:pPr>
              <w:spacing w:after="0"/>
              <w:rPr>
                <w:sz w:val="15"/>
                <w:szCs w:val="15"/>
                <w:color w:val="auto"/>
              </w:rPr>
            </w:pPr>
          </w:p>
        </w:tc>
        <w:tc>
          <w:tcPr>
            <w:tcW w:w="54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320" w:type="dxa"/>
            <w:vAlign w:val="bottom"/>
            <w:shd w:val="clear" w:color="auto" w:fill="CFF0FC"/>
          </w:tcPr>
          <w:p>
            <w:pPr>
              <w:spacing w:after="0"/>
              <w:rPr>
                <w:sz w:val="15"/>
                <w:szCs w:val="15"/>
                <w:color w:val="auto"/>
              </w:rPr>
            </w:pPr>
          </w:p>
        </w:tc>
        <w:tc>
          <w:tcPr>
            <w:tcW w:w="1040" w:type="dxa"/>
            <w:vAlign w:val="bottom"/>
            <w:shd w:val="clear" w:color="auto" w:fill="CFF0FC"/>
          </w:tcPr>
          <w:p>
            <w:pPr>
              <w:spacing w:after="0"/>
              <w:rPr>
                <w:sz w:val="15"/>
                <w:szCs w:val="15"/>
                <w:color w:val="auto"/>
              </w:rPr>
            </w:pPr>
          </w:p>
        </w:tc>
        <w:tc>
          <w:tcPr>
            <w:tcW w:w="260" w:type="dxa"/>
            <w:vAlign w:val="bottom"/>
            <w:shd w:val="clear" w:color="auto" w:fill="CFF0FC"/>
          </w:tcPr>
          <w:p>
            <w:pPr>
              <w:spacing w:after="0"/>
              <w:rPr>
                <w:sz w:val="15"/>
                <w:szCs w:val="15"/>
                <w:color w:val="auto"/>
              </w:rPr>
            </w:pPr>
          </w:p>
        </w:tc>
        <w:tc>
          <w:tcPr>
            <w:tcW w:w="320" w:type="dxa"/>
            <w:vAlign w:val="bottom"/>
            <w:shd w:val="clear" w:color="auto" w:fill="CFF0FC"/>
          </w:tcPr>
          <w:p>
            <w:pPr>
              <w:spacing w:after="0"/>
              <w:rPr>
                <w:sz w:val="15"/>
                <w:szCs w:val="15"/>
                <w:color w:val="auto"/>
              </w:rPr>
            </w:pPr>
          </w:p>
        </w:tc>
        <w:tc>
          <w:tcPr>
            <w:tcW w:w="104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5760" w:type="dxa"/>
            <w:vAlign w:val="bottom"/>
          </w:tcPr>
          <w:p>
            <w:pPr>
              <w:ind w:left="500"/>
              <w:spacing w:after="0"/>
              <w:rPr>
                <w:sz w:val="20"/>
                <w:szCs w:val="20"/>
                <w:color w:val="auto"/>
              </w:rPr>
            </w:pPr>
            <w:r>
              <w:rPr>
                <w:rFonts w:ascii="Arial" w:cs="Arial" w:eastAsia="Arial" w:hAnsi="Arial"/>
                <w:sz w:val="15"/>
                <w:szCs w:val="15"/>
                <w:color w:val="auto"/>
              </w:rPr>
              <w:t>Accounts receivable</w:t>
            </w:r>
          </w:p>
        </w:tc>
        <w:tc>
          <w:tcPr>
            <w:tcW w:w="98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5"/>
                <w:szCs w:val="15"/>
                <w:color w:val="auto"/>
              </w:rPr>
              <w:t>(1,383)</w:t>
            </w:r>
          </w:p>
        </w:tc>
        <w:tc>
          <w:tcPr>
            <w:tcW w:w="1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300" w:type="dxa"/>
            <w:vAlign w:val="bottom"/>
            <w:gridSpan w:val="2"/>
          </w:tcPr>
          <w:p>
            <w:pPr>
              <w:jc w:val="right"/>
              <w:ind w:right="220"/>
              <w:spacing w:after="0"/>
              <w:rPr>
                <w:sz w:val="20"/>
                <w:szCs w:val="20"/>
                <w:color w:val="auto"/>
              </w:rPr>
            </w:pPr>
            <w:r>
              <w:rPr>
                <w:rFonts w:ascii="Arial" w:cs="Arial" w:eastAsia="Arial" w:hAnsi="Arial"/>
                <w:sz w:val="15"/>
                <w:szCs w:val="15"/>
                <w:color w:val="auto"/>
              </w:rPr>
              <w:t>(987)</w:t>
            </w:r>
          </w:p>
        </w:tc>
        <w:tc>
          <w:tcPr>
            <w:tcW w:w="320" w:type="dxa"/>
            <w:vAlign w:val="bottom"/>
          </w:tcPr>
          <w:p>
            <w:pPr>
              <w:spacing w:after="0"/>
              <w:rPr>
                <w:sz w:val="15"/>
                <w:szCs w:val="15"/>
                <w:color w:val="auto"/>
              </w:rPr>
            </w:pPr>
          </w:p>
        </w:tc>
        <w:tc>
          <w:tcPr>
            <w:tcW w:w="1040" w:type="dxa"/>
            <w:vAlign w:val="bottom"/>
          </w:tcPr>
          <w:p>
            <w:pPr>
              <w:jc w:val="right"/>
              <w:spacing w:after="0"/>
              <w:rPr>
                <w:sz w:val="20"/>
                <w:szCs w:val="20"/>
                <w:color w:val="auto"/>
              </w:rPr>
            </w:pPr>
            <w:r>
              <w:rPr>
                <w:rFonts w:ascii="Arial" w:cs="Arial" w:eastAsia="Arial" w:hAnsi="Arial"/>
                <w:sz w:val="15"/>
                <w:szCs w:val="15"/>
                <w:color w:val="auto"/>
              </w:rPr>
              <w:t>3,501</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5760" w:type="dxa"/>
            <w:vAlign w:val="bottom"/>
            <w:shd w:val="clear" w:color="auto" w:fill="CFF0FC"/>
          </w:tcPr>
          <w:p>
            <w:pPr>
              <w:ind w:left="500"/>
              <w:spacing w:after="0"/>
              <w:rPr>
                <w:sz w:val="20"/>
                <w:szCs w:val="20"/>
                <w:color w:val="auto"/>
              </w:rPr>
            </w:pPr>
            <w:r>
              <w:rPr>
                <w:rFonts w:ascii="Arial" w:cs="Arial" w:eastAsia="Arial" w:hAnsi="Arial"/>
                <w:sz w:val="15"/>
                <w:szCs w:val="15"/>
                <w:color w:val="auto"/>
              </w:rPr>
              <w:t>Inventory</w:t>
            </w:r>
          </w:p>
        </w:tc>
        <w:tc>
          <w:tcPr>
            <w:tcW w:w="980" w:type="dxa"/>
            <w:vAlign w:val="bottom"/>
            <w:shd w:val="clear" w:color="auto" w:fill="CFF0FC"/>
          </w:tcPr>
          <w:p>
            <w:pPr>
              <w:spacing w:after="0"/>
              <w:rPr>
                <w:sz w:val="15"/>
                <w:szCs w:val="15"/>
                <w:color w:val="auto"/>
              </w:rPr>
            </w:pPr>
          </w:p>
        </w:tc>
        <w:tc>
          <w:tcPr>
            <w:tcW w:w="800" w:type="dxa"/>
            <w:vAlign w:val="bottom"/>
            <w:shd w:val="clear" w:color="auto" w:fill="CFF0FC"/>
          </w:tcPr>
          <w:p>
            <w:pPr>
              <w:spacing w:after="0"/>
              <w:rPr>
                <w:sz w:val="15"/>
                <w:szCs w:val="15"/>
                <w:color w:val="auto"/>
              </w:rPr>
            </w:pPr>
          </w:p>
        </w:tc>
        <w:tc>
          <w:tcPr>
            <w:tcW w:w="680" w:type="dxa"/>
            <w:vAlign w:val="bottom"/>
            <w:gridSpan w:val="2"/>
            <w:shd w:val="clear" w:color="auto" w:fill="CFF0FC"/>
          </w:tcPr>
          <w:p>
            <w:pPr>
              <w:jc w:val="right"/>
              <w:ind w:right="100"/>
              <w:spacing w:after="0"/>
              <w:rPr>
                <w:sz w:val="20"/>
                <w:szCs w:val="20"/>
                <w:color w:val="auto"/>
              </w:rPr>
            </w:pPr>
            <w:r>
              <w:rPr>
                <w:rFonts w:ascii="Arial" w:cs="Arial" w:eastAsia="Arial" w:hAnsi="Arial"/>
                <w:sz w:val="15"/>
                <w:szCs w:val="15"/>
                <w:color w:val="auto"/>
              </w:rPr>
              <w:t>(19)</w:t>
            </w:r>
          </w:p>
        </w:tc>
        <w:tc>
          <w:tcPr>
            <w:tcW w:w="120" w:type="dxa"/>
            <w:vAlign w:val="bottom"/>
            <w:shd w:val="clear" w:color="auto" w:fill="CFF0FC"/>
          </w:tcPr>
          <w:p>
            <w:pPr>
              <w:spacing w:after="0"/>
              <w:rPr>
                <w:sz w:val="15"/>
                <w:szCs w:val="15"/>
                <w:color w:val="auto"/>
              </w:rPr>
            </w:pPr>
          </w:p>
        </w:tc>
        <w:tc>
          <w:tcPr>
            <w:tcW w:w="320" w:type="dxa"/>
            <w:vAlign w:val="bottom"/>
            <w:shd w:val="clear" w:color="auto" w:fill="CFF0FC"/>
          </w:tcPr>
          <w:p>
            <w:pPr>
              <w:spacing w:after="0"/>
              <w:rPr>
                <w:sz w:val="15"/>
                <w:szCs w:val="15"/>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5"/>
                <w:szCs w:val="15"/>
                <w:color w:val="auto"/>
              </w:rPr>
              <w:t>2,892</w:t>
            </w:r>
          </w:p>
        </w:tc>
        <w:tc>
          <w:tcPr>
            <w:tcW w:w="260" w:type="dxa"/>
            <w:vAlign w:val="bottom"/>
            <w:shd w:val="clear" w:color="auto" w:fill="CFF0FC"/>
          </w:tcPr>
          <w:p>
            <w:pPr>
              <w:spacing w:after="0"/>
              <w:rPr>
                <w:sz w:val="15"/>
                <w:szCs w:val="15"/>
                <w:color w:val="auto"/>
              </w:rPr>
            </w:pPr>
          </w:p>
        </w:tc>
        <w:tc>
          <w:tcPr>
            <w:tcW w:w="320" w:type="dxa"/>
            <w:vAlign w:val="bottom"/>
            <w:shd w:val="clear" w:color="auto" w:fill="CFF0FC"/>
          </w:tcPr>
          <w:p>
            <w:pPr>
              <w:spacing w:after="0"/>
              <w:rPr>
                <w:sz w:val="15"/>
                <w:szCs w:val="15"/>
                <w:color w:val="auto"/>
              </w:rPr>
            </w:pPr>
          </w:p>
        </w:tc>
        <w:tc>
          <w:tcPr>
            <w:tcW w:w="1140" w:type="dxa"/>
            <w:vAlign w:val="bottom"/>
            <w:gridSpan w:val="2"/>
            <w:shd w:val="clear" w:color="auto" w:fill="CFF0FC"/>
          </w:tcPr>
          <w:p>
            <w:pPr>
              <w:jc w:val="right"/>
              <w:ind w:right="60"/>
              <w:spacing w:after="0"/>
              <w:rPr>
                <w:sz w:val="20"/>
                <w:szCs w:val="20"/>
                <w:color w:val="auto"/>
              </w:rPr>
            </w:pPr>
            <w:r>
              <w:rPr>
                <w:rFonts w:ascii="Arial" w:cs="Arial" w:eastAsia="Arial" w:hAnsi="Arial"/>
                <w:sz w:val="15"/>
                <w:szCs w:val="15"/>
                <w:color w:val="auto"/>
              </w:rPr>
              <w:t>(3,369)</w:t>
            </w:r>
          </w:p>
        </w:tc>
        <w:tc>
          <w:tcPr>
            <w:tcW w:w="0" w:type="dxa"/>
            <w:vAlign w:val="bottom"/>
          </w:tcPr>
          <w:p>
            <w:pPr>
              <w:spacing w:after="0"/>
              <w:rPr>
                <w:sz w:val="1"/>
                <w:szCs w:val="1"/>
                <w:color w:val="auto"/>
              </w:rPr>
            </w:pPr>
          </w:p>
        </w:tc>
      </w:tr>
      <w:tr>
        <w:trPr>
          <w:trHeight w:val="176"/>
        </w:trPr>
        <w:tc>
          <w:tcPr>
            <w:tcW w:w="5760" w:type="dxa"/>
            <w:vAlign w:val="bottom"/>
          </w:tcPr>
          <w:p>
            <w:pPr>
              <w:ind w:left="500"/>
              <w:spacing w:after="0"/>
              <w:rPr>
                <w:sz w:val="20"/>
                <w:szCs w:val="20"/>
                <w:color w:val="auto"/>
              </w:rPr>
            </w:pPr>
            <w:r>
              <w:rPr>
                <w:rFonts w:ascii="Arial" w:cs="Arial" w:eastAsia="Arial" w:hAnsi="Arial"/>
                <w:sz w:val="15"/>
                <w:szCs w:val="15"/>
                <w:color w:val="auto"/>
              </w:rPr>
              <w:t>Prepaid expenses and other assets</w:t>
            </w:r>
          </w:p>
        </w:tc>
        <w:tc>
          <w:tcPr>
            <w:tcW w:w="98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5"/>
                <w:szCs w:val="15"/>
                <w:color w:val="auto"/>
              </w:rPr>
              <w:t>(752)</w:t>
            </w:r>
          </w:p>
        </w:tc>
        <w:tc>
          <w:tcPr>
            <w:tcW w:w="1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40" w:type="dxa"/>
            <w:vAlign w:val="bottom"/>
          </w:tcPr>
          <w:p>
            <w:pPr>
              <w:jc w:val="right"/>
              <w:spacing w:after="0"/>
              <w:rPr>
                <w:sz w:val="20"/>
                <w:szCs w:val="20"/>
                <w:color w:val="auto"/>
              </w:rPr>
            </w:pPr>
            <w:r>
              <w:rPr>
                <w:rFonts w:ascii="Arial" w:cs="Arial" w:eastAsia="Arial" w:hAnsi="Arial"/>
                <w:sz w:val="15"/>
                <w:szCs w:val="15"/>
                <w:color w:val="auto"/>
              </w:rPr>
              <w:t>324</w:t>
            </w:r>
          </w:p>
        </w:tc>
        <w:tc>
          <w:tcPr>
            <w:tcW w:w="26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40" w:type="dxa"/>
            <w:vAlign w:val="bottom"/>
          </w:tcPr>
          <w:p>
            <w:pPr>
              <w:jc w:val="right"/>
              <w:spacing w:after="0"/>
              <w:rPr>
                <w:sz w:val="20"/>
                <w:szCs w:val="20"/>
                <w:color w:val="auto"/>
              </w:rPr>
            </w:pPr>
            <w:r>
              <w:rPr>
                <w:rFonts w:ascii="Arial" w:cs="Arial" w:eastAsia="Arial" w:hAnsi="Arial"/>
                <w:sz w:val="15"/>
                <w:szCs w:val="15"/>
                <w:color w:val="auto"/>
              </w:rPr>
              <w:t>377</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5760" w:type="dxa"/>
            <w:vAlign w:val="bottom"/>
            <w:shd w:val="clear" w:color="auto" w:fill="CFF0FC"/>
          </w:tcPr>
          <w:p>
            <w:pPr>
              <w:ind w:left="500"/>
              <w:spacing w:after="0"/>
              <w:rPr>
                <w:sz w:val="20"/>
                <w:szCs w:val="20"/>
                <w:color w:val="auto"/>
              </w:rPr>
            </w:pPr>
            <w:r>
              <w:rPr>
                <w:rFonts w:ascii="Arial" w:cs="Arial" w:eastAsia="Arial" w:hAnsi="Arial"/>
                <w:sz w:val="15"/>
                <w:szCs w:val="15"/>
                <w:color w:val="auto"/>
              </w:rPr>
              <w:t>Accounts payable</w:t>
            </w:r>
          </w:p>
        </w:tc>
        <w:tc>
          <w:tcPr>
            <w:tcW w:w="980" w:type="dxa"/>
            <w:vAlign w:val="bottom"/>
            <w:shd w:val="clear" w:color="auto" w:fill="CFF0FC"/>
          </w:tcPr>
          <w:p>
            <w:pPr>
              <w:spacing w:after="0"/>
              <w:rPr>
                <w:sz w:val="15"/>
                <w:szCs w:val="15"/>
                <w:color w:val="auto"/>
              </w:rPr>
            </w:pPr>
          </w:p>
        </w:tc>
        <w:tc>
          <w:tcPr>
            <w:tcW w:w="800" w:type="dxa"/>
            <w:vAlign w:val="bottom"/>
            <w:shd w:val="clear" w:color="auto" w:fill="CFF0FC"/>
          </w:tcPr>
          <w:p>
            <w:pPr>
              <w:spacing w:after="0"/>
              <w:rPr>
                <w:sz w:val="15"/>
                <w:szCs w:val="15"/>
                <w:color w:val="auto"/>
              </w:rPr>
            </w:pPr>
          </w:p>
        </w:tc>
        <w:tc>
          <w:tcPr>
            <w:tcW w:w="540" w:type="dxa"/>
            <w:vAlign w:val="bottom"/>
            <w:shd w:val="clear" w:color="auto" w:fill="CFF0FC"/>
          </w:tcPr>
          <w:p>
            <w:pPr>
              <w:jc w:val="right"/>
              <w:spacing w:after="0"/>
              <w:rPr>
                <w:sz w:val="20"/>
                <w:szCs w:val="20"/>
                <w:color w:val="auto"/>
              </w:rPr>
            </w:pPr>
            <w:r>
              <w:rPr>
                <w:rFonts w:ascii="Arial" w:cs="Arial" w:eastAsia="Arial" w:hAnsi="Arial"/>
                <w:sz w:val="15"/>
                <w:szCs w:val="15"/>
                <w:color w:val="auto"/>
              </w:rPr>
              <w:t>246</w:t>
            </w:r>
          </w:p>
        </w:tc>
        <w:tc>
          <w:tcPr>
            <w:tcW w:w="14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320" w:type="dxa"/>
            <w:vAlign w:val="bottom"/>
            <w:shd w:val="clear" w:color="auto" w:fill="CFF0FC"/>
          </w:tcPr>
          <w:p>
            <w:pPr>
              <w:spacing w:after="0"/>
              <w:rPr>
                <w:sz w:val="15"/>
                <w:szCs w:val="15"/>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5"/>
                <w:szCs w:val="15"/>
                <w:color w:val="auto"/>
              </w:rPr>
              <w:t>709</w:t>
            </w:r>
          </w:p>
        </w:tc>
        <w:tc>
          <w:tcPr>
            <w:tcW w:w="260" w:type="dxa"/>
            <w:vAlign w:val="bottom"/>
            <w:shd w:val="clear" w:color="auto" w:fill="CFF0FC"/>
          </w:tcPr>
          <w:p>
            <w:pPr>
              <w:spacing w:after="0"/>
              <w:rPr>
                <w:sz w:val="15"/>
                <w:szCs w:val="15"/>
                <w:color w:val="auto"/>
              </w:rPr>
            </w:pPr>
          </w:p>
        </w:tc>
        <w:tc>
          <w:tcPr>
            <w:tcW w:w="320" w:type="dxa"/>
            <w:vAlign w:val="bottom"/>
            <w:shd w:val="clear" w:color="auto" w:fill="CFF0FC"/>
          </w:tcPr>
          <w:p>
            <w:pPr>
              <w:spacing w:after="0"/>
              <w:rPr>
                <w:sz w:val="15"/>
                <w:szCs w:val="15"/>
                <w:color w:val="auto"/>
              </w:rPr>
            </w:pPr>
          </w:p>
        </w:tc>
        <w:tc>
          <w:tcPr>
            <w:tcW w:w="1140" w:type="dxa"/>
            <w:vAlign w:val="bottom"/>
            <w:gridSpan w:val="2"/>
            <w:shd w:val="clear" w:color="auto" w:fill="CFF0FC"/>
          </w:tcPr>
          <w:p>
            <w:pPr>
              <w:jc w:val="right"/>
              <w:ind w:right="60"/>
              <w:spacing w:after="0"/>
              <w:rPr>
                <w:sz w:val="20"/>
                <w:szCs w:val="20"/>
                <w:color w:val="auto"/>
              </w:rPr>
            </w:pPr>
            <w:r>
              <w:rPr>
                <w:rFonts w:ascii="Arial" w:cs="Arial" w:eastAsia="Arial" w:hAnsi="Arial"/>
                <w:sz w:val="15"/>
                <w:szCs w:val="15"/>
                <w:color w:val="auto"/>
              </w:rPr>
              <w:t>(1,929)</w:t>
            </w:r>
          </w:p>
        </w:tc>
        <w:tc>
          <w:tcPr>
            <w:tcW w:w="0" w:type="dxa"/>
            <w:vAlign w:val="bottom"/>
          </w:tcPr>
          <w:p>
            <w:pPr>
              <w:spacing w:after="0"/>
              <w:rPr>
                <w:sz w:val="1"/>
                <w:szCs w:val="1"/>
                <w:color w:val="auto"/>
              </w:rPr>
            </w:pPr>
          </w:p>
        </w:tc>
      </w:tr>
      <w:tr>
        <w:trPr>
          <w:trHeight w:val="176"/>
        </w:trPr>
        <w:tc>
          <w:tcPr>
            <w:tcW w:w="5760" w:type="dxa"/>
            <w:vAlign w:val="bottom"/>
          </w:tcPr>
          <w:p>
            <w:pPr>
              <w:ind w:left="500"/>
              <w:spacing w:after="0"/>
              <w:rPr>
                <w:sz w:val="20"/>
                <w:szCs w:val="20"/>
                <w:color w:val="auto"/>
              </w:rPr>
            </w:pPr>
            <w:r>
              <w:rPr>
                <w:rFonts w:ascii="Arial" w:cs="Arial" w:eastAsia="Arial" w:hAnsi="Arial"/>
                <w:sz w:val="15"/>
                <w:szCs w:val="15"/>
                <w:color w:val="auto"/>
              </w:rPr>
              <w:t>Accrued and other liabilities</w:t>
            </w:r>
          </w:p>
        </w:tc>
        <w:tc>
          <w:tcPr>
            <w:tcW w:w="98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540" w:type="dxa"/>
            <w:vAlign w:val="bottom"/>
          </w:tcPr>
          <w:p>
            <w:pPr>
              <w:jc w:val="right"/>
              <w:spacing w:after="0"/>
              <w:rPr>
                <w:sz w:val="20"/>
                <w:szCs w:val="20"/>
                <w:color w:val="auto"/>
              </w:rPr>
            </w:pPr>
            <w:r>
              <w:rPr>
                <w:rFonts w:ascii="Arial" w:cs="Arial" w:eastAsia="Arial" w:hAnsi="Arial"/>
                <w:sz w:val="15"/>
                <w:szCs w:val="15"/>
                <w:color w:val="auto"/>
              </w:rPr>
              <w:t>307</w:t>
            </w:r>
          </w:p>
        </w:tc>
        <w:tc>
          <w:tcPr>
            <w:tcW w:w="1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40" w:type="dxa"/>
            <w:vAlign w:val="bottom"/>
          </w:tcPr>
          <w:p>
            <w:pPr>
              <w:jc w:val="right"/>
              <w:spacing w:after="0"/>
              <w:rPr>
                <w:sz w:val="20"/>
                <w:szCs w:val="20"/>
                <w:color w:val="auto"/>
              </w:rPr>
            </w:pPr>
            <w:r>
              <w:rPr>
                <w:rFonts w:ascii="Arial" w:cs="Arial" w:eastAsia="Arial" w:hAnsi="Arial"/>
                <w:sz w:val="15"/>
                <w:szCs w:val="15"/>
                <w:color w:val="auto"/>
              </w:rPr>
              <w:t>495</w:t>
            </w:r>
          </w:p>
        </w:tc>
        <w:tc>
          <w:tcPr>
            <w:tcW w:w="26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140" w:type="dxa"/>
            <w:vAlign w:val="bottom"/>
            <w:gridSpan w:val="2"/>
          </w:tcPr>
          <w:p>
            <w:pPr>
              <w:jc w:val="right"/>
              <w:ind w:right="60"/>
              <w:spacing w:after="0"/>
              <w:rPr>
                <w:sz w:val="20"/>
                <w:szCs w:val="20"/>
                <w:color w:val="auto"/>
              </w:rPr>
            </w:pPr>
            <w:r>
              <w:rPr>
                <w:rFonts w:ascii="Arial" w:cs="Arial" w:eastAsia="Arial" w:hAnsi="Arial"/>
                <w:sz w:val="15"/>
                <w:szCs w:val="15"/>
                <w:color w:val="auto"/>
              </w:rPr>
              <w:t>(1,647)</w:t>
            </w:r>
          </w:p>
        </w:tc>
        <w:tc>
          <w:tcPr>
            <w:tcW w:w="0" w:type="dxa"/>
            <w:vAlign w:val="bottom"/>
          </w:tcPr>
          <w:p>
            <w:pPr>
              <w:spacing w:after="0"/>
              <w:rPr>
                <w:sz w:val="1"/>
                <w:szCs w:val="1"/>
                <w:color w:val="auto"/>
              </w:rPr>
            </w:pPr>
          </w:p>
        </w:tc>
      </w:tr>
      <w:tr>
        <w:trPr>
          <w:trHeight w:val="20"/>
        </w:trPr>
        <w:tc>
          <w:tcPr>
            <w:tcW w:w="5760" w:type="dxa"/>
            <w:vAlign w:val="bottom"/>
            <w:vMerge w:val="restart"/>
            <w:shd w:val="clear" w:color="auto" w:fill="CFF0FC"/>
          </w:tcPr>
          <w:p>
            <w:pPr>
              <w:ind w:left="740"/>
              <w:spacing w:after="0"/>
              <w:rPr>
                <w:sz w:val="20"/>
                <w:szCs w:val="20"/>
                <w:color w:val="auto"/>
              </w:rPr>
            </w:pPr>
            <w:r>
              <w:rPr>
                <w:rFonts w:ascii="Arial" w:cs="Arial" w:eastAsia="Arial" w:hAnsi="Arial"/>
                <w:sz w:val="15"/>
                <w:szCs w:val="15"/>
                <w:color w:val="auto"/>
              </w:rPr>
              <w:t>Net cash used in operating activities</w:t>
            </w:r>
          </w:p>
        </w:tc>
        <w:tc>
          <w:tcPr>
            <w:tcW w:w="980" w:type="dxa"/>
            <w:vAlign w:val="bottom"/>
            <w:shd w:val="clear" w:color="auto" w:fill="CFF0FC"/>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40" w:type="dxa"/>
            <w:vAlign w:val="bottom"/>
            <w:shd w:val="clear" w:color="auto" w:fill="CFF0FC"/>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260" w:type="dxa"/>
            <w:vAlign w:val="bottom"/>
            <w:shd w:val="clear" w:color="auto" w:fill="CFF0FC"/>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9"/>
        </w:trPr>
        <w:tc>
          <w:tcPr>
            <w:tcW w:w="5760" w:type="dxa"/>
            <w:vAlign w:val="bottom"/>
            <w:vMerge w:val="continue"/>
            <w:shd w:val="clear" w:color="auto" w:fill="CFF0FC"/>
          </w:tcPr>
          <w:p>
            <w:pPr>
              <w:spacing w:after="0"/>
              <w:rPr>
                <w:sz w:val="14"/>
                <w:szCs w:val="14"/>
                <w:color w:val="auto"/>
              </w:rPr>
            </w:pPr>
          </w:p>
        </w:tc>
        <w:tc>
          <w:tcPr>
            <w:tcW w:w="980" w:type="dxa"/>
            <w:vAlign w:val="bottom"/>
            <w:shd w:val="clear" w:color="auto" w:fill="CFF0FC"/>
          </w:tcPr>
          <w:p>
            <w:pPr>
              <w:spacing w:after="0"/>
              <w:rPr>
                <w:sz w:val="14"/>
                <w:szCs w:val="14"/>
                <w:color w:val="auto"/>
              </w:rPr>
            </w:pPr>
          </w:p>
        </w:tc>
        <w:tc>
          <w:tcPr>
            <w:tcW w:w="800" w:type="dxa"/>
            <w:vAlign w:val="bottom"/>
            <w:shd w:val="clear" w:color="auto" w:fill="CFF0FC"/>
          </w:tcPr>
          <w:p>
            <w:pPr>
              <w:spacing w:after="0"/>
              <w:rPr>
                <w:sz w:val="14"/>
                <w:szCs w:val="14"/>
                <w:color w:val="auto"/>
              </w:rPr>
            </w:pPr>
          </w:p>
        </w:tc>
        <w:tc>
          <w:tcPr>
            <w:tcW w:w="680" w:type="dxa"/>
            <w:vAlign w:val="bottom"/>
            <w:gridSpan w:val="2"/>
            <w:shd w:val="clear" w:color="auto" w:fill="CFF0FC"/>
          </w:tcPr>
          <w:p>
            <w:pPr>
              <w:jc w:val="right"/>
              <w:ind w:right="100"/>
              <w:spacing w:after="0" w:line="169" w:lineRule="exact"/>
              <w:rPr>
                <w:sz w:val="20"/>
                <w:szCs w:val="20"/>
                <w:color w:val="auto"/>
              </w:rPr>
            </w:pPr>
            <w:r>
              <w:rPr>
                <w:rFonts w:ascii="Arial" w:cs="Arial" w:eastAsia="Arial" w:hAnsi="Arial"/>
                <w:sz w:val="15"/>
                <w:szCs w:val="15"/>
                <w:color w:val="auto"/>
              </w:rPr>
              <w:t>(19,256)</w:t>
            </w:r>
          </w:p>
        </w:tc>
        <w:tc>
          <w:tcPr>
            <w:tcW w:w="120" w:type="dxa"/>
            <w:vAlign w:val="bottom"/>
            <w:shd w:val="clear" w:color="auto" w:fill="CFF0FC"/>
          </w:tcPr>
          <w:p>
            <w:pPr>
              <w:spacing w:after="0"/>
              <w:rPr>
                <w:sz w:val="14"/>
                <w:szCs w:val="14"/>
                <w:color w:val="auto"/>
              </w:rPr>
            </w:pPr>
          </w:p>
        </w:tc>
        <w:tc>
          <w:tcPr>
            <w:tcW w:w="320" w:type="dxa"/>
            <w:vAlign w:val="bottom"/>
            <w:shd w:val="clear" w:color="auto" w:fill="CFF0FC"/>
          </w:tcPr>
          <w:p>
            <w:pPr>
              <w:spacing w:after="0"/>
              <w:rPr>
                <w:sz w:val="14"/>
                <w:szCs w:val="14"/>
                <w:color w:val="auto"/>
              </w:rPr>
            </w:pPr>
          </w:p>
        </w:tc>
        <w:tc>
          <w:tcPr>
            <w:tcW w:w="1300" w:type="dxa"/>
            <w:vAlign w:val="bottom"/>
            <w:gridSpan w:val="2"/>
            <w:shd w:val="clear" w:color="auto" w:fill="CFF0FC"/>
          </w:tcPr>
          <w:p>
            <w:pPr>
              <w:jc w:val="right"/>
              <w:ind w:right="220"/>
              <w:spacing w:after="0" w:line="169" w:lineRule="exact"/>
              <w:rPr>
                <w:sz w:val="20"/>
                <w:szCs w:val="20"/>
                <w:color w:val="auto"/>
              </w:rPr>
            </w:pPr>
            <w:r>
              <w:rPr>
                <w:rFonts w:ascii="Arial" w:cs="Arial" w:eastAsia="Arial" w:hAnsi="Arial"/>
                <w:sz w:val="15"/>
                <w:szCs w:val="15"/>
                <w:color w:val="auto"/>
              </w:rPr>
              <w:t>(16,164)</w:t>
            </w:r>
          </w:p>
        </w:tc>
        <w:tc>
          <w:tcPr>
            <w:tcW w:w="320" w:type="dxa"/>
            <w:vAlign w:val="bottom"/>
            <w:shd w:val="clear" w:color="auto" w:fill="CFF0FC"/>
          </w:tcPr>
          <w:p>
            <w:pPr>
              <w:spacing w:after="0"/>
              <w:rPr>
                <w:sz w:val="14"/>
                <w:szCs w:val="14"/>
                <w:color w:val="auto"/>
              </w:rPr>
            </w:pPr>
          </w:p>
        </w:tc>
        <w:tc>
          <w:tcPr>
            <w:tcW w:w="1140" w:type="dxa"/>
            <w:vAlign w:val="bottom"/>
            <w:gridSpan w:val="2"/>
            <w:shd w:val="clear" w:color="auto" w:fill="CFF0FC"/>
          </w:tcPr>
          <w:p>
            <w:pPr>
              <w:jc w:val="right"/>
              <w:ind w:right="60"/>
              <w:spacing w:after="0" w:line="169" w:lineRule="exact"/>
              <w:rPr>
                <w:sz w:val="20"/>
                <w:szCs w:val="20"/>
                <w:color w:val="auto"/>
              </w:rPr>
            </w:pPr>
            <w:r>
              <w:rPr>
                <w:rFonts w:ascii="Arial" w:cs="Arial" w:eastAsia="Arial" w:hAnsi="Arial"/>
                <w:sz w:val="15"/>
                <w:szCs w:val="15"/>
                <w:color w:val="auto"/>
              </w:rPr>
              <w:t>(24,118)</w:t>
            </w:r>
          </w:p>
        </w:tc>
        <w:tc>
          <w:tcPr>
            <w:tcW w:w="0" w:type="dxa"/>
            <w:vAlign w:val="bottom"/>
          </w:tcPr>
          <w:p>
            <w:pPr>
              <w:spacing w:after="0"/>
              <w:rPr>
                <w:sz w:val="1"/>
                <w:szCs w:val="1"/>
                <w:color w:val="auto"/>
              </w:rPr>
            </w:pPr>
          </w:p>
        </w:tc>
      </w:tr>
      <w:tr>
        <w:trPr>
          <w:trHeight w:val="169"/>
        </w:trPr>
        <w:tc>
          <w:tcPr>
            <w:tcW w:w="5760" w:type="dxa"/>
            <w:vAlign w:val="bottom"/>
          </w:tcPr>
          <w:p>
            <w:pPr>
              <w:spacing w:after="0" w:line="169" w:lineRule="exact"/>
              <w:rPr>
                <w:sz w:val="20"/>
                <w:szCs w:val="20"/>
                <w:color w:val="auto"/>
              </w:rPr>
            </w:pPr>
            <w:r>
              <w:rPr>
                <w:rFonts w:ascii="Arial" w:cs="Arial" w:eastAsia="Arial" w:hAnsi="Arial"/>
                <w:sz w:val="15"/>
                <w:szCs w:val="15"/>
                <w:b w:val="1"/>
                <w:bCs w:val="1"/>
                <w:color w:val="auto"/>
              </w:rPr>
              <w:t>CASH FLOWS FROM INVESTING ACTIVITIES:</w:t>
            </w:r>
          </w:p>
        </w:tc>
        <w:tc>
          <w:tcPr>
            <w:tcW w:w="980" w:type="dxa"/>
            <w:vAlign w:val="bottom"/>
          </w:tcPr>
          <w:p>
            <w:pPr>
              <w:spacing w:after="0"/>
              <w:rPr>
                <w:sz w:val="14"/>
                <w:szCs w:val="14"/>
                <w:color w:val="auto"/>
              </w:rPr>
            </w:pPr>
          </w:p>
        </w:tc>
        <w:tc>
          <w:tcPr>
            <w:tcW w:w="800" w:type="dxa"/>
            <w:vAlign w:val="bottom"/>
            <w:tcBorders>
              <w:top w:val="single" w:sz="8" w:color="auto"/>
            </w:tcBorders>
          </w:tcPr>
          <w:p>
            <w:pPr>
              <w:spacing w:after="0"/>
              <w:rPr>
                <w:sz w:val="14"/>
                <w:szCs w:val="14"/>
                <w:color w:val="auto"/>
              </w:rPr>
            </w:pPr>
          </w:p>
        </w:tc>
        <w:tc>
          <w:tcPr>
            <w:tcW w:w="540" w:type="dxa"/>
            <w:vAlign w:val="bottom"/>
            <w:tcBorders>
              <w:top w:val="single" w:sz="8" w:color="auto"/>
            </w:tcBorders>
          </w:tcPr>
          <w:p>
            <w:pPr>
              <w:spacing w:after="0"/>
              <w:rPr>
                <w:sz w:val="14"/>
                <w:szCs w:val="14"/>
                <w:color w:val="auto"/>
              </w:rPr>
            </w:pPr>
          </w:p>
        </w:tc>
        <w:tc>
          <w:tcPr>
            <w:tcW w:w="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20" w:type="dxa"/>
            <w:vAlign w:val="bottom"/>
            <w:tcBorders>
              <w:top w:val="single" w:sz="8" w:color="auto"/>
            </w:tcBorders>
          </w:tcPr>
          <w:p>
            <w:pPr>
              <w:spacing w:after="0"/>
              <w:rPr>
                <w:sz w:val="14"/>
                <w:szCs w:val="14"/>
                <w:color w:val="auto"/>
              </w:rPr>
            </w:pPr>
          </w:p>
        </w:tc>
        <w:tc>
          <w:tcPr>
            <w:tcW w:w="1040" w:type="dxa"/>
            <w:vAlign w:val="bottom"/>
            <w:tcBorders>
              <w:top w:val="single" w:sz="8" w:color="auto"/>
            </w:tcBorders>
          </w:tcPr>
          <w:p>
            <w:pPr>
              <w:spacing w:after="0"/>
              <w:rPr>
                <w:sz w:val="14"/>
                <w:szCs w:val="14"/>
                <w:color w:val="auto"/>
              </w:rPr>
            </w:pPr>
          </w:p>
        </w:tc>
        <w:tc>
          <w:tcPr>
            <w:tcW w:w="260" w:type="dxa"/>
            <w:vAlign w:val="bottom"/>
          </w:tcPr>
          <w:p>
            <w:pPr>
              <w:spacing w:after="0"/>
              <w:rPr>
                <w:sz w:val="14"/>
                <w:szCs w:val="14"/>
                <w:color w:val="auto"/>
              </w:rPr>
            </w:pPr>
          </w:p>
        </w:tc>
        <w:tc>
          <w:tcPr>
            <w:tcW w:w="320" w:type="dxa"/>
            <w:vAlign w:val="bottom"/>
            <w:tcBorders>
              <w:top w:val="single" w:sz="8" w:color="auto"/>
            </w:tcBorders>
          </w:tcPr>
          <w:p>
            <w:pPr>
              <w:spacing w:after="0"/>
              <w:rPr>
                <w:sz w:val="14"/>
                <w:szCs w:val="14"/>
                <w:color w:val="auto"/>
              </w:rPr>
            </w:pPr>
          </w:p>
        </w:tc>
        <w:tc>
          <w:tcPr>
            <w:tcW w:w="104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6"/>
        </w:trPr>
        <w:tc>
          <w:tcPr>
            <w:tcW w:w="5760" w:type="dxa"/>
            <w:vAlign w:val="bottom"/>
            <w:shd w:val="clear" w:color="auto" w:fill="CFF0FC"/>
          </w:tcPr>
          <w:p>
            <w:pPr>
              <w:ind w:left="260"/>
              <w:spacing w:after="0"/>
              <w:rPr>
                <w:sz w:val="20"/>
                <w:szCs w:val="20"/>
                <w:color w:val="auto"/>
              </w:rPr>
            </w:pPr>
            <w:r>
              <w:rPr>
                <w:rFonts w:ascii="Arial" w:cs="Arial" w:eastAsia="Arial" w:hAnsi="Arial"/>
                <w:sz w:val="15"/>
                <w:szCs w:val="15"/>
                <w:color w:val="auto"/>
              </w:rPr>
              <w:t>Proceeds from sale of property and equipment</w:t>
            </w:r>
          </w:p>
        </w:tc>
        <w:tc>
          <w:tcPr>
            <w:tcW w:w="980" w:type="dxa"/>
            <w:vAlign w:val="bottom"/>
            <w:shd w:val="clear" w:color="auto" w:fill="CFF0FC"/>
          </w:tcPr>
          <w:p>
            <w:pPr>
              <w:spacing w:after="0"/>
              <w:rPr>
                <w:sz w:val="15"/>
                <w:szCs w:val="15"/>
                <w:color w:val="auto"/>
              </w:rPr>
            </w:pPr>
          </w:p>
        </w:tc>
        <w:tc>
          <w:tcPr>
            <w:tcW w:w="800" w:type="dxa"/>
            <w:vAlign w:val="bottom"/>
            <w:shd w:val="clear" w:color="auto" w:fill="CFF0FC"/>
          </w:tcPr>
          <w:p>
            <w:pPr>
              <w:spacing w:after="0"/>
              <w:rPr>
                <w:sz w:val="15"/>
                <w:szCs w:val="15"/>
                <w:color w:val="auto"/>
              </w:rPr>
            </w:pPr>
          </w:p>
        </w:tc>
        <w:tc>
          <w:tcPr>
            <w:tcW w:w="680" w:type="dxa"/>
            <w:vAlign w:val="bottom"/>
            <w:gridSpan w:val="2"/>
            <w:shd w:val="clear" w:color="auto" w:fill="CFF0FC"/>
          </w:tcPr>
          <w:p>
            <w:pPr>
              <w:jc w:val="right"/>
              <w:ind w:right="160"/>
              <w:spacing w:after="0"/>
              <w:rPr>
                <w:sz w:val="20"/>
                <w:szCs w:val="20"/>
                <w:color w:val="auto"/>
              </w:rPr>
            </w:pPr>
            <w:r>
              <w:rPr>
                <w:rFonts w:ascii="Arial" w:cs="Arial" w:eastAsia="Arial" w:hAnsi="Arial"/>
                <w:sz w:val="15"/>
                <w:szCs w:val="15"/>
                <w:color w:val="auto"/>
              </w:rPr>
              <w:t>—</w:t>
            </w:r>
          </w:p>
        </w:tc>
        <w:tc>
          <w:tcPr>
            <w:tcW w:w="120" w:type="dxa"/>
            <w:vAlign w:val="bottom"/>
            <w:shd w:val="clear" w:color="auto" w:fill="CFF0FC"/>
          </w:tcPr>
          <w:p>
            <w:pPr>
              <w:spacing w:after="0"/>
              <w:rPr>
                <w:sz w:val="15"/>
                <w:szCs w:val="15"/>
                <w:color w:val="auto"/>
              </w:rPr>
            </w:pPr>
          </w:p>
        </w:tc>
        <w:tc>
          <w:tcPr>
            <w:tcW w:w="320" w:type="dxa"/>
            <w:vAlign w:val="bottom"/>
            <w:shd w:val="clear" w:color="auto" w:fill="CFF0FC"/>
          </w:tcPr>
          <w:p>
            <w:pPr>
              <w:spacing w:after="0"/>
              <w:rPr>
                <w:sz w:val="15"/>
                <w:szCs w:val="15"/>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5"/>
                <w:szCs w:val="15"/>
                <w:color w:val="auto"/>
              </w:rPr>
              <w:t>2</w:t>
            </w:r>
          </w:p>
        </w:tc>
        <w:tc>
          <w:tcPr>
            <w:tcW w:w="260" w:type="dxa"/>
            <w:vAlign w:val="bottom"/>
            <w:shd w:val="clear" w:color="auto" w:fill="CFF0FC"/>
          </w:tcPr>
          <w:p>
            <w:pPr>
              <w:spacing w:after="0"/>
              <w:rPr>
                <w:sz w:val="15"/>
                <w:szCs w:val="15"/>
                <w:color w:val="auto"/>
              </w:rPr>
            </w:pPr>
          </w:p>
        </w:tc>
        <w:tc>
          <w:tcPr>
            <w:tcW w:w="320" w:type="dxa"/>
            <w:vAlign w:val="bottom"/>
            <w:shd w:val="clear" w:color="auto" w:fill="CFF0FC"/>
          </w:tcPr>
          <w:p>
            <w:pPr>
              <w:spacing w:after="0"/>
              <w:rPr>
                <w:sz w:val="15"/>
                <w:szCs w:val="15"/>
                <w:color w:val="auto"/>
              </w:rPr>
            </w:pPr>
          </w:p>
        </w:tc>
        <w:tc>
          <w:tcPr>
            <w:tcW w:w="1140" w:type="dxa"/>
            <w:vAlign w:val="bottom"/>
            <w:gridSpan w:val="2"/>
            <w:shd w:val="clear" w:color="auto" w:fill="CFF0FC"/>
          </w:tcPr>
          <w:p>
            <w:pPr>
              <w:jc w:val="right"/>
              <w:ind w:right="120"/>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176"/>
        </w:trPr>
        <w:tc>
          <w:tcPr>
            <w:tcW w:w="5760" w:type="dxa"/>
            <w:vAlign w:val="bottom"/>
          </w:tcPr>
          <w:p>
            <w:pPr>
              <w:ind w:left="260"/>
              <w:spacing w:after="0"/>
              <w:rPr>
                <w:sz w:val="20"/>
                <w:szCs w:val="20"/>
                <w:color w:val="auto"/>
              </w:rPr>
            </w:pPr>
            <w:r>
              <w:rPr>
                <w:rFonts w:ascii="Arial" w:cs="Arial" w:eastAsia="Arial" w:hAnsi="Arial"/>
                <w:sz w:val="15"/>
                <w:szCs w:val="15"/>
                <w:color w:val="auto"/>
              </w:rPr>
              <w:t>Proceeds from sale of investment</w:t>
            </w:r>
          </w:p>
        </w:tc>
        <w:tc>
          <w:tcPr>
            <w:tcW w:w="98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540" w:type="dxa"/>
            <w:vAlign w:val="bottom"/>
          </w:tcPr>
          <w:p>
            <w:pPr>
              <w:jc w:val="right"/>
              <w:spacing w:after="0"/>
              <w:rPr>
                <w:sz w:val="20"/>
                <w:szCs w:val="20"/>
                <w:color w:val="auto"/>
              </w:rPr>
            </w:pPr>
            <w:r>
              <w:rPr>
                <w:rFonts w:ascii="Arial" w:cs="Arial" w:eastAsia="Arial" w:hAnsi="Arial"/>
                <w:sz w:val="15"/>
                <w:szCs w:val="15"/>
                <w:color w:val="auto"/>
              </w:rPr>
              <w:t>1,851</w:t>
            </w:r>
          </w:p>
        </w:tc>
        <w:tc>
          <w:tcPr>
            <w:tcW w:w="1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300" w:type="dxa"/>
            <w:vAlign w:val="bottom"/>
            <w:gridSpan w:val="2"/>
          </w:tcPr>
          <w:p>
            <w:pPr>
              <w:jc w:val="right"/>
              <w:ind w:right="280"/>
              <w:spacing w:after="0"/>
              <w:rPr>
                <w:sz w:val="20"/>
                <w:szCs w:val="20"/>
                <w:color w:val="auto"/>
              </w:rPr>
            </w:pPr>
            <w:r>
              <w:rPr>
                <w:rFonts w:ascii="Arial" w:cs="Arial" w:eastAsia="Arial" w:hAnsi="Arial"/>
                <w:sz w:val="15"/>
                <w:szCs w:val="15"/>
                <w:color w:val="auto"/>
              </w:rPr>
              <w:t>—</w:t>
            </w:r>
          </w:p>
        </w:tc>
        <w:tc>
          <w:tcPr>
            <w:tcW w:w="320" w:type="dxa"/>
            <w:vAlign w:val="bottom"/>
          </w:tcPr>
          <w:p>
            <w:pPr>
              <w:spacing w:after="0"/>
              <w:rPr>
                <w:sz w:val="15"/>
                <w:szCs w:val="15"/>
                <w:color w:val="auto"/>
              </w:rPr>
            </w:pPr>
          </w:p>
        </w:tc>
        <w:tc>
          <w:tcPr>
            <w:tcW w:w="1140" w:type="dxa"/>
            <w:vAlign w:val="bottom"/>
            <w:gridSpan w:val="2"/>
          </w:tcPr>
          <w:p>
            <w:pPr>
              <w:jc w:val="right"/>
              <w:ind w:right="120"/>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176"/>
        </w:trPr>
        <w:tc>
          <w:tcPr>
            <w:tcW w:w="5760" w:type="dxa"/>
            <w:vAlign w:val="bottom"/>
            <w:shd w:val="clear" w:color="auto" w:fill="CFF0FC"/>
          </w:tcPr>
          <w:p>
            <w:pPr>
              <w:ind w:left="260"/>
              <w:spacing w:after="0"/>
              <w:rPr>
                <w:sz w:val="20"/>
                <w:szCs w:val="20"/>
                <w:color w:val="auto"/>
              </w:rPr>
            </w:pPr>
            <w:r>
              <w:rPr>
                <w:rFonts w:ascii="Arial" w:cs="Arial" w:eastAsia="Arial" w:hAnsi="Arial"/>
                <w:sz w:val="15"/>
                <w:szCs w:val="15"/>
                <w:color w:val="auto"/>
              </w:rPr>
              <w:t>Purchases of property and equipment</w:t>
            </w:r>
          </w:p>
        </w:tc>
        <w:tc>
          <w:tcPr>
            <w:tcW w:w="980" w:type="dxa"/>
            <w:vAlign w:val="bottom"/>
            <w:shd w:val="clear" w:color="auto" w:fill="CFF0FC"/>
          </w:tcPr>
          <w:p>
            <w:pPr>
              <w:spacing w:after="0"/>
              <w:rPr>
                <w:sz w:val="15"/>
                <w:szCs w:val="15"/>
                <w:color w:val="auto"/>
              </w:rPr>
            </w:pPr>
          </w:p>
        </w:tc>
        <w:tc>
          <w:tcPr>
            <w:tcW w:w="800" w:type="dxa"/>
            <w:vAlign w:val="bottom"/>
            <w:shd w:val="clear" w:color="auto" w:fill="CFF0FC"/>
          </w:tcPr>
          <w:p>
            <w:pPr>
              <w:spacing w:after="0"/>
              <w:rPr>
                <w:sz w:val="15"/>
                <w:szCs w:val="15"/>
                <w:color w:val="auto"/>
              </w:rPr>
            </w:pPr>
          </w:p>
        </w:tc>
        <w:tc>
          <w:tcPr>
            <w:tcW w:w="680" w:type="dxa"/>
            <w:vAlign w:val="bottom"/>
            <w:gridSpan w:val="2"/>
            <w:shd w:val="clear" w:color="auto" w:fill="CFF0FC"/>
          </w:tcPr>
          <w:p>
            <w:pPr>
              <w:jc w:val="right"/>
              <w:ind w:right="100"/>
              <w:spacing w:after="0"/>
              <w:rPr>
                <w:sz w:val="20"/>
                <w:szCs w:val="20"/>
                <w:color w:val="auto"/>
              </w:rPr>
            </w:pPr>
            <w:r>
              <w:rPr>
                <w:rFonts w:ascii="Arial" w:cs="Arial" w:eastAsia="Arial" w:hAnsi="Arial"/>
                <w:sz w:val="15"/>
                <w:szCs w:val="15"/>
                <w:color w:val="auto"/>
              </w:rPr>
              <w:t>(229)</w:t>
            </w:r>
          </w:p>
        </w:tc>
        <w:tc>
          <w:tcPr>
            <w:tcW w:w="120" w:type="dxa"/>
            <w:vAlign w:val="bottom"/>
            <w:shd w:val="clear" w:color="auto" w:fill="CFF0FC"/>
          </w:tcPr>
          <w:p>
            <w:pPr>
              <w:spacing w:after="0"/>
              <w:rPr>
                <w:sz w:val="15"/>
                <w:szCs w:val="15"/>
                <w:color w:val="auto"/>
              </w:rPr>
            </w:pPr>
          </w:p>
        </w:tc>
        <w:tc>
          <w:tcPr>
            <w:tcW w:w="320" w:type="dxa"/>
            <w:vAlign w:val="bottom"/>
            <w:shd w:val="clear" w:color="auto" w:fill="CFF0FC"/>
          </w:tcPr>
          <w:p>
            <w:pPr>
              <w:spacing w:after="0"/>
              <w:rPr>
                <w:sz w:val="15"/>
                <w:szCs w:val="15"/>
                <w:color w:val="auto"/>
              </w:rPr>
            </w:pPr>
          </w:p>
        </w:tc>
        <w:tc>
          <w:tcPr>
            <w:tcW w:w="1300" w:type="dxa"/>
            <w:vAlign w:val="bottom"/>
            <w:gridSpan w:val="2"/>
            <w:shd w:val="clear" w:color="auto" w:fill="CFF0FC"/>
          </w:tcPr>
          <w:p>
            <w:pPr>
              <w:jc w:val="right"/>
              <w:ind w:right="220"/>
              <w:spacing w:after="0"/>
              <w:rPr>
                <w:sz w:val="20"/>
                <w:szCs w:val="20"/>
                <w:color w:val="auto"/>
              </w:rPr>
            </w:pPr>
            <w:r>
              <w:rPr>
                <w:rFonts w:ascii="Arial" w:cs="Arial" w:eastAsia="Arial" w:hAnsi="Arial"/>
                <w:sz w:val="15"/>
                <w:szCs w:val="15"/>
                <w:color w:val="auto"/>
              </w:rPr>
              <w:t>(1,173)</w:t>
            </w:r>
          </w:p>
        </w:tc>
        <w:tc>
          <w:tcPr>
            <w:tcW w:w="320" w:type="dxa"/>
            <w:vAlign w:val="bottom"/>
            <w:shd w:val="clear" w:color="auto" w:fill="CFF0FC"/>
          </w:tcPr>
          <w:p>
            <w:pPr>
              <w:spacing w:after="0"/>
              <w:rPr>
                <w:sz w:val="15"/>
                <w:szCs w:val="15"/>
                <w:color w:val="auto"/>
              </w:rPr>
            </w:pPr>
          </w:p>
        </w:tc>
        <w:tc>
          <w:tcPr>
            <w:tcW w:w="1140" w:type="dxa"/>
            <w:vAlign w:val="bottom"/>
            <w:gridSpan w:val="2"/>
            <w:shd w:val="clear" w:color="auto" w:fill="CFF0FC"/>
          </w:tcPr>
          <w:p>
            <w:pPr>
              <w:jc w:val="right"/>
              <w:ind w:right="60"/>
              <w:spacing w:after="0"/>
              <w:rPr>
                <w:sz w:val="20"/>
                <w:szCs w:val="20"/>
                <w:color w:val="auto"/>
              </w:rPr>
            </w:pPr>
            <w:r>
              <w:rPr>
                <w:rFonts w:ascii="Arial" w:cs="Arial" w:eastAsia="Arial" w:hAnsi="Arial"/>
                <w:sz w:val="15"/>
                <w:szCs w:val="15"/>
                <w:color w:val="auto"/>
              </w:rPr>
              <w:t>(456)</w:t>
            </w:r>
          </w:p>
        </w:tc>
        <w:tc>
          <w:tcPr>
            <w:tcW w:w="0" w:type="dxa"/>
            <w:vAlign w:val="bottom"/>
          </w:tcPr>
          <w:p>
            <w:pPr>
              <w:spacing w:after="0"/>
              <w:rPr>
                <w:sz w:val="1"/>
                <w:szCs w:val="1"/>
                <w:color w:val="auto"/>
              </w:rPr>
            </w:pPr>
          </w:p>
        </w:tc>
      </w:tr>
      <w:tr>
        <w:trPr>
          <w:trHeight w:val="20"/>
        </w:trPr>
        <w:tc>
          <w:tcPr>
            <w:tcW w:w="5760" w:type="dxa"/>
            <w:vAlign w:val="bottom"/>
            <w:vMerge w:val="restart"/>
          </w:tcPr>
          <w:p>
            <w:pPr>
              <w:ind w:left="740"/>
              <w:spacing w:after="0"/>
              <w:rPr>
                <w:sz w:val="20"/>
                <w:szCs w:val="20"/>
                <w:color w:val="auto"/>
              </w:rPr>
            </w:pPr>
            <w:r>
              <w:rPr>
                <w:rFonts w:ascii="Arial" w:cs="Arial" w:eastAsia="Arial" w:hAnsi="Arial"/>
                <w:sz w:val="15"/>
                <w:szCs w:val="15"/>
                <w:color w:val="auto"/>
              </w:rPr>
              <w:t>Net cash provided by (used in) investing activities</w:t>
            </w:r>
          </w:p>
        </w:tc>
        <w:tc>
          <w:tcPr>
            <w:tcW w:w="98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9"/>
        </w:trPr>
        <w:tc>
          <w:tcPr>
            <w:tcW w:w="5760" w:type="dxa"/>
            <w:vAlign w:val="bottom"/>
            <w:vMerge w:val="continue"/>
          </w:tcPr>
          <w:p>
            <w:pPr>
              <w:spacing w:after="0"/>
              <w:rPr>
                <w:sz w:val="14"/>
                <w:szCs w:val="14"/>
                <w:color w:val="auto"/>
              </w:rPr>
            </w:pPr>
          </w:p>
        </w:tc>
        <w:tc>
          <w:tcPr>
            <w:tcW w:w="9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540" w:type="dxa"/>
            <w:vAlign w:val="bottom"/>
          </w:tcPr>
          <w:p>
            <w:pPr>
              <w:jc w:val="right"/>
              <w:spacing w:after="0" w:line="169" w:lineRule="exact"/>
              <w:rPr>
                <w:sz w:val="20"/>
                <w:szCs w:val="20"/>
                <w:color w:val="auto"/>
              </w:rPr>
            </w:pPr>
            <w:r>
              <w:rPr>
                <w:rFonts w:ascii="Arial" w:cs="Arial" w:eastAsia="Arial" w:hAnsi="Arial"/>
                <w:sz w:val="15"/>
                <w:szCs w:val="15"/>
                <w:color w:val="auto"/>
              </w:rPr>
              <w:t>1,622</w:t>
            </w:r>
          </w:p>
        </w:tc>
        <w:tc>
          <w:tcPr>
            <w:tcW w:w="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300" w:type="dxa"/>
            <w:vAlign w:val="bottom"/>
            <w:gridSpan w:val="2"/>
          </w:tcPr>
          <w:p>
            <w:pPr>
              <w:jc w:val="right"/>
              <w:ind w:right="220"/>
              <w:spacing w:after="0" w:line="169" w:lineRule="exact"/>
              <w:rPr>
                <w:sz w:val="20"/>
                <w:szCs w:val="20"/>
                <w:color w:val="auto"/>
              </w:rPr>
            </w:pPr>
            <w:r>
              <w:rPr>
                <w:rFonts w:ascii="Arial" w:cs="Arial" w:eastAsia="Arial" w:hAnsi="Arial"/>
                <w:sz w:val="15"/>
                <w:szCs w:val="15"/>
                <w:color w:val="auto"/>
              </w:rPr>
              <w:t>(1,171)</w:t>
            </w:r>
          </w:p>
        </w:tc>
        <w:tc>
          <w:tcPr>
            <w:tcW w:w="320" w:type="dxa"/>
            <w:vAlign w:val="bottom"/>
          </w:tcPr>
          <w:p>
            <w:pPr>
              <w:spacing w:after="0"/>
              <w:rPr>
                <w:sz w:val="14"/>
                <w:szCs w:val="14"/>
                <w:color w:val="auto"/>
              </w:rPr>
            </w:pPr>
          </w:p>
        </w:tc>
        <w:tc>
          <w:tcPr>
            <w:tcW w:w="1140" w:type="dxa"/>
            <w:vAlign w:val="bottom"/>
            <w:gridSpan w:val="2"/>
          </w:tcPr>
          <w:p>
            <w:pPr>
              <w:jc w:val="right"/>
              <w:ind w:right="60"/>
              <w:spacing w:after="0" w:line="169" w:lineRule="exact"/>
              <w:rPr>
                <w:sz w:val="20"/>
                <w:szCs w:val="20"/>
                <w:color w:val="auto"/>
              </w:rPr>
            </w:pPr>
            <w:r>
              <w:rPr>
                <w:rFonts w:ascii="Arial" w:cs="Arial" w:eastAsia="Arial" w:hAnsi="Arial"/>
                <w:sz w:val="15"/>
                <w:szCs w:val="15"/>
                <w:color w:val="auto"/>
              </w:rPr>
              <w:t>(456)</w:t>
            </w:r>
          </w:p>
        </w:tc>
        <w:tc>
          <w:tcPr>
            <w:tcW w:w="0" w:type="dxa"/>
            <w:vAlign w:val="bottom"/>
          </w:tcPr>
          <w:p>
            <w:pPr>
              <w:spacing w:after="0"/>
              <w:rPr>
                <w:sz w:val="1"/>
                <w:szCs w:val="1"/>
                <w:color w:val="auto"/>
              </w:rPr>
            </w:pPr>
          </w:p>
        </w:tc>
      </w:tr>
      <w:tr>
        <w:trPr>
          <w:trHeight w:val="169"/>
        </w:trPr>
        <w:tc>
          <w:tcPr>
            <w:tcW w:w="5760" w:type="dxa"/>
            <w:vAlign w:val="bottom"/>
            <w:tcBorders>
              <w:top w:val="single" w:sz="8" w:color="CFF0FC"/>
            </w:tcBorders>
            <w:shd w:val="clear" w:color="auto" w:fill="CFF0FC"/>
          </w:tcPr>
          <w:p>
            <w:pPr>
              <w:spacing w:after="0" w:line="169" w:lineRule="exact"/>
              <w:rPr>
                <w:sz w:val="20"/>
                <w:szCs w:val="20"/>
                <w:color w:val="auto"/>
              </w:rPr>
            </w:pPr>
            <w:r>
              <w:rPr>
                <w:rFonts w:ascii="Arial" w:cs="Arial" w:eastAsia="Arial" w:hAnsi="Arial"/>
                <w:sz w:val="15"/>
                <w:szCs w:val="15"/>
                <w:b w:val="1"/>
                <w:bCs w:val="1"/>
                <w:color w:val="auto"/>
              </w:rPr>
              <w:t>CASH FLOWS FROM FINANCING ACTIVITIES:</w:t>
            </w:r>
          </w:p>
        </w:tc>
        <w:tc>
          <w:tcPr>
            <w:tcW w:w="980" w:type="dxa"/>
            <w:vAlign w:val="bottom"/>
            <w:tcBorders>
              <w:top w:val="single" w:sz="8" w:color="CFF0FC"/>
            </w:tcBorders>
            <w:shd w:val="clear" w:color="auto" w:fill="CFF0FC"/>
          </w:tcPr>
          <w:p>
            <w:pPr>
              <w:spacing w:after="0"/>
              <w:rPr>
                <w:sz w:val="14"/>
                <w:szCs w:val="14"/>
                <w:color w:val="auto"/>
              </w:rPr>
            </w:pPr>
          </w:p>
        </w:tc>
        <w:tc>
          <w:tcPr>
            <w:tcW w:w="800" w:type="dxa"/>
            <w:vAlign w:val="bottom"/>
            <w:tcBorders>
              <w:top w:val="single" w:sz="8" w:color="auto"/>
            </w:tcBorders>
            <w:shd w:val="clear" w:color="auto" w:fill="CFF0FC"/>
          </w:tcPr>
          <w:p>
            <w:pPr>
              <w:spacing w:after="0"/>
              <w:rPr>
                <w:sz w:val="14"/>
                <w:szCs w:val="14"/>
                <w:color w:val="auto"/>
              </w:rPr>
            </w:pPr>
          </w:p>
        </w:tc>
        <w:tc>
          <w:tcPr>
            <w:tcW w:w="540" w:type="dxa"/>
            <w:vAlign w:val="bottom"/>
            <w:tcBorders>
              <w:top w:val="single" w:sz="8" w:color="auto"/>
            </w:tcBorders>
            <w:shd w:val="clear" w:color="auto" w:fill="CFF0FC"/>
          </w:tcPr>
          <w:p>
            <w:pPr>
              <w:spacing w:after="0"/>
              <w:rPr>
                <w:sz w:val="14"/>
                <w:szCs w:val="14"/>
                <w:color w:val="auto"/>
              </w:rPr>
            </w:pPr>
          </w:p>
        </w:tc>
        <w:tc>
          <w:tcPr>
            <w:tcW w:w="140" w:type="dxa"/>
            <w:vAlign w:val="bottom"/>
            <w:tcBorders>
              <w:top w:val="single" w:sz="8" w:color="CFF0FC"/>
            </w:tcBorders>
            <w:shd w:val="clear" w:color="auto" w:fill="CFF0FC"/>
          </w:tcPr>
          <w:p>
            <w:pPr>
              <w:spacing w:after="0"/>
              <w:rPr>
                <w:sz w:val="14"/>
                <w:szCs w:val="14"/>
                <w:color w:val="auto"/>
              </w:rPr>
            </w:pPr>
          </w:p>
        </w:tc>
        <w:tc>
          <w:tcPr>
            <w:tcW w:w="120" w:type="dxa"/>
            <w:vAlign w:val="bottom"/>
            <w:tcBorders>
              <w:top w:val="single" w:sz="8" w:color="CFF0FC"/>
            </w:tcBorders>
            <w:shd w:val="clear" w:color="auto" w:fill="CFF0FC"/>
          </w:tcPr>
          <w:p>
            <w:pPr>
              <w:spacing w:after="0"/>
              <w:rPr>
                <w:sz w:val="14"/>
                <w:szCs w:val="14"/>
                <w:color w:val="auto"/>
              </w:rPr>
            </w:pPr>
          </w:p>
        </w:tc>
        <w:tc>
          <w:tcPr>
            <w:tcW w:w="320" w:type="dxa"/>
            <w:vAlign w:val="bottom"/>
            <w:tcBorders>
              <w:top w:val="single" w:sz="8" w:color="auto"/>
            </w:tcBorders>
            <w:shd w:val="clear" w:color="auto" w:fill="CFF0FC"/>
          </w:tcPr>
          <w:p>
            <w:pPr>
              <w:spacing w:after="0"/>
              <w:rPr>
                <w:sz w:val="14"/>
                <w:szCs w:val="14"/>
                <w:color w:val="auto"/>
              </w:rPr>
            </w:pPr>
          </w:p>
        </w:tc>
        <w:tc>
          <w:tcPr>
            <w:tcW w:w="1040" w:type="dxa"/>
            <w:vAlign w:val="bottom"/>
            <w:tcBorders>
              <w:top w:val="single" w:sz="8" w:color="auto"/>
            </w:tcBorders>
            <w:shd w:val="clear" w:color="auto" w:fill="CFF0FC"/>
          </w:tcPr>
          <w:p>
            <w:pPr>
              <w:spacing w:after="0"/>
              <w:rPr>
                <w:sz w:val="14"/>
                <w:szCs w:val="14"/>
                <w:color w:val="auto"/>
              </w:rPr>
            </w:pPr>
          </w:p>
        </w:tc>
        <w:tc>
          <w:tcPr>
            <w:tcW w:w="260" w:type="dxa"/>
            <w:vAlign w:val="bottom"/>
            <w:tcBorders>
              <w:top w:val="single" w:sz="8" w:color="CFF0FC"/>
            </w:tcBorders>
            <w:shd w:val="clear" w:color="auto" w:fill="CFF0FC"/>
          </w:tcPr>
          <w:p>
            <w:pPr>
              <w:spacing w:after="0"/>
              <w:rPr>
                <w:sz w:val="14"/>
                <w:szCs w:val="14"/>
                <w:color w:val="auto"/>
              </w:rPr>
            </w:pPr>
          </w:p>
        </w:tc>
        <w:tc>
          <w:tcPr>
            <w:tcW w:w="320" w:type="dxa"/>
            <w:vAlign w:val="bottom"/>
            <w:tcBorders>
              <w:top w:val="single" w:sz="8" w:color="auto"/>
            </w:tcBorders>
            <w:shd w:val="clear" w:color="auto" w:fill="CFF0FC"/>
          </w:tcPr>
          <w:p>
            <w:pPr>
              <w:spacing w:after="0"/>
              <w:rPr>
                <w:sz w:val="14"/>
                <w:szCs w:val="14"/>
                <w:color w:val="auto"/>
              </w:rPr>
            </w:pPr>
          </w:p>
        </w:tc>
        <w:tc>
          <w:tcPr>
            <w:tcW w:w="1040" w:type="dxa"/>
            <w:vAlign w:val="bottom"/>
            <w:tcBorders>
              <w:top w:val="single" w:sz="8" w:color="auto"/>
            </w:tcBorders>
            <w:shd w:val="clear" w:color="auto" w:fill="CFF0FC"/>
          </w:tcPr>
          <w:p>
            <w:pPr>
              <w:spacing w:after="0"/>
              <w:rPr>
                <w:sz w:val="14"/>
                <w:szCs w:val="14"/>
                <w:color w:val="auto"/>
              </w:rPr>
            </w:pPr>
          </w:p>
        </w:tc>
        <w:tc>
          <w:tcPr>
            <w:tcW w:w="100" w:type="dxa"/>
            <w:vAlign w:val="bottom"/>
            <w:tcBorders>
              <w:top w:val="single" w:sz="8" w:color="CFF0FC"/>
            </w:tcBorders>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76"/>
        </w:trPr>
        <w:tc>
          <w:tcPr>
            <w:tcW w:w="5760" w:type="dxa"/>
            <w:vAlign w:val="bottom"/>
          </w:tcPr>
          <w:p>
            <w:pPr>
              <w:ind w:left="260"/>
              <w:spacing w:after="0"/>
              <w:rPr>
                <w:sz w:val="20"/>
                <w:szCs w:val="20"/>
                <w:color w:val="auto"/>
              </w:rPr>
            </w:pPr>
            <w:r>
              <w:rPr>
                <w:rFonts w:ascii="Arial" w:cs="Arial" w:eastAsia="Arial" w:hAnsi="Arial"/>
                <w:sz w:val="15"/>
                <w:szCs w:val="15"/>
                <w:color w:val="auto"/>
              </w:rPr>
              <w:t>Proceeds from issuance of common stock upon initial public offering, net</w:t>
            </w:r>
          </w:p>
        </w:tc>
        <w:tc>
          <w:tcPr>
            <w:tcW w:w="98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540" w:type="dxa"/>
            <w:vAlign w:val="bottom"/>
          </w:tcPr>
          <w:p>
            <w:pPr>
              <w:jc w:val="right"/>
              <w:spacing w:after="0"/>
              <w:rPr>
                <w:sz w:val="20"/>
                <w:szCs w:val="20"/>
                <w:color w:val="auto"/>
              </w:rPr>
            </w:pPr>
            <w:r>
              <w:rPr>
                <w:rFonts w:ascii="Arial" w:cs="Arial" w:eastAsia="Arial" w:hAnsi="Arial"/>
                <w:sz w:val="15"/>
                <w:szCs w:val="15"/>
                <w:color w:val="auto"/>
              </w:rPr>
              <w:t>22,114</w:t>
            </w:r>
          </w:p>
        </w:tc>
        <w:tc>
          <w:tcPr>
            <w:tcW w:w="1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300" w:type="dxa"/>
            <w:vAlign w:val="bottom"/>
            <w:gridSpan w:val="2"/>
          </w:tcPr>
          <w:p>
            <w:pPr>
              <w:jc w:val="right"/>
              <w:ind w:right="280"/>
              <w:spacing w:after="0"/>
              <w:rPr>
                <w:sz w:val="20"/>
                <w:szCs w:val="20"/>
                <w:color w:val="auto"/>
              </w:rPr>
            </w:pPr>
            <w:r>
              <w:rPr>
                <w:rFonts w:ascii="Arial" w:cs="Arial" w:eastAsia="Arial" w:hAnsi="Arial"/>
                <w:sz w:val="15"/>
                <w:szCs w:val="15"/>
                <w:color w:val="auto"/>
              </w:rPr>
              <w:t>—</w:t>
            </w:r>
          </w:p>
        </w:tc>
        <w:tc>
          <w:tcPr>
            <w:tcW w:w="320" w:type="dxa"/>
            <w:vAlign w:val="bottom"/>
          </w:tcPr>
          <w:p>
            <w:pPr>
              <w:spacing w:after="0"/>
              <w:rPr>
                <w:sz w:val="15"/>
                <w:szCs w:val="15"/>
                <w:color w:val="auto"/>
              </w:rPr>
            </w:pPr>
          </w:p>
        </w:tc>
        <w:tc>
          <w:tcPr>
            <w:tcW w:w="1140" w:type="dxa"/>
            <w:vAlign w:val="bottom"/>
            <w:gridSpan w:val="2"/>
          </w:tcPr>
          <w:p>
            <w:pPr>
              <w:jc w:val="right"/>
              <w:ind w:right="120"/>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176"/>
        </w:trPr>
        <w:tc>
          <w:tcPr>
            <w:tcW w:w="5760" w:type="dxa"/>
            <w:vAlign w:val="bottom"/>
            <w:shd w:val="clear" w:color="auto" w:fill="CFF0FC"/>
          </w:tcPr>
          <w:p>
            <w:pPr>
              <w:ind w:left="260"/>
              <w:spacing w:after="0"/>
              <w:rPr>
                <w:sz w:val="20"/>
                <w:szCs w:val="20"/>
                <w:color w:val="auto"/>
              </w:rPr>
            </w:pPr>
            <w:r>
              <w:rPr>
                <w:rFonts w:ascii="Arial" w:cs="Arial" w:eastAsia="Arial" w:hAnsi="Arial"/>
                <w:sz w:val="15"/>
                <w:szCs w:val="15"/>
                <w:color w:val="auto"/>
              </w:rPr>
              <w:t>Proceeds from convertible notes</w:t>
            </w:r>
          </w:p>
        </w:tc>
        <w:tc>
          <w:tcPr>
            <w:tcW w:w="980" w:type="dxa"/>
            <w:vAlign w:val="bottom"/>
            <w:shd w:val="clear" w:color="auto" w:fill="CFF0FC"/>
          </w:tcPr>
          <w:p>
            <w:pPr>
              <w:spacing w:after="0"/>
              <w:rPr>
                <w:sz w:val="15"/>
                <w:szCs w:val="15"/>
                <w:color w:val="auto"/>
              </w:rPr>
            </w:pPr>
          </w:p>
        </w:tc>
        <w:tc>
          <w:tcPr>
            <w:tcW w:w="800" w:type="dxa"/>
            <w:vAlign w:val="bottom"/>
            <w:shd w:val="clear" w:color="auto" w:fill="CFF0FC"/>
          </w:tcPr>
          <w:p>
            <w:pPr>
              <w:spacing w:after="0"/>
              <w:rPr>
                <w:sz w:val="15"/>
                <w:szCs w:val="15"/>
                <w:color w:val="auto"/>
              </w:rPr>
            </w:pPr>
          </w:p>
        </w:tc>
        <w:tc>
          <w:tcPr>
            <w:tcW w:w="540" w:type="dxa"/>
            <w:vAlign w:val="bottom"/>
            <w:shd w:val="clear" w:color="auto" w:fill="CFF0FC"/>
          </w:tcPr>
          <w:p>
            <w:pPr>
              <w:jc w:val="right"/>
              <w:spacing w:after="0"/>
              <w:rPr>
                <w:sz w:val="20"/>
                <w:szCs w:val="20"/>
                <w:color w:val="auto"/>
              </w:rPr>
            </w:pPr>
            <w:r>
              <w:rPr>
                <w:rFonts w:ascii="Arial" w:cs="Arial" w:eastAsia="Arial" w:hAnsi="Arial"/>
                <w:sz w:val="15"/>
                <w:szCs w:val="15"/>
                <w:color w:val="auto"/>
              </w:rPr>
              <w:t>5,000</w:t>
            </w:r>
          </w:p>
        </w:tc>
        <w:tc>
          <w:tcPr>
            <w:tcW w:w="14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320" w:type="dxa"/>
            <w:vAlign w:val="bottom"/>
            <w:shd w:val="clear" w:color="auto" w:fill="CFF0FC"/>
          </w:tcPr>
          <w:p>
            <w:pPr>
              <w:spacing w:after="0"/>
              <w:rPr>
                <w:sz w:val="15"/>
                <w:szCs w:val="15"/>
                <w:color w:val="auto"/>
              </w:rPr>
            </w:pPr>
          </w:p>
        </w:tc>
        <w:tc>
          <w:tcPr>
            <w:tcW w:w="1300" w:type="dxa"/>
            <w:vAlign w:val="bottom"/>
            <w:gridSpan w:val="2"/>
            <w:shd w:val="clear" w:color="auto" w:fill="CFF0FC"/>
          </w:tcPr>
          <w:p>
            <w:pPr>
              <w:jc w:val="right"/>
              <w:ind w:right="280"/>
              <w:spacing w:after="0"/>
              <w:rPr>
                <w:sz w:val="20"/>
                <w:szCs w:val="20"/>
                <w:color w:val="auto"/>
              </w:rPr>
            </w:pPr>
            <w:r>
              <w:rPr>
                <w:rFonts w:ascii="Arial" w:cs="Arial" w:eastAsia="Arial" w:hAnsi="Arial"/>
                <w:sz w:val="15"/>
                <w:szCs w:val="15"/>
                <w:color w:val="auto"/>
              </w:rPr>
              <w:t>—</w:t>
            </w:r>
          </w:p>
        </w:tc>
        <w:tc>
          <w:tcPr>
            <w:tcW w:w="320" w:type="dxa"/>
            <w:vAlign w:val="bottom"/>
            <w:shd w:val="clear" w:color="auto" w:fill="CFF0FC"/>
          </w:tcPr>
          <w:p>
            <w:pPr>
              <w:spacing w:after="0"/>
              <w:rPr>
                <w:sz w:val="15"/>
                <w:szCs w:val="15"/>
                <w:color w:val="auto"/>
              </w:rPr>
            </w:pPr>
          </w:p>
        </w:tc>
        <w:tc>
          <w:tcPr>
            <w:tcW w:w="1140" w:type="dxa"/>
            <w:vAlign w:val="bottom"/>
            <w:gridSpan w:val="2"/>
            <w:shd w:val="clear" w:color="auto" w:fill="CFF0FC"/>
          </w:tcPr>
          <w:p>
            <w:pPr>
              <w:jc w:val="right"/>
              <w:ind w:right="120"/>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176"/>
        </w:trPr>
        <w:tc>
          <w:tcPr>
            <w:tcW w:w="5760" w:type="dxa"/>
            <w:vAlign w:val="bottom"/>
          </w:tcPr>
          <w:p>
            <w:pPr>
              <w:ind w:left="260"/>
              <w:spacing w:after="0"/>
              <w:rPr>
                <w:sz w:val="20"/>
                <w:szCs w:val="20"/>
                <w:color w:val="auto"/>
              </w:rPr>
            </w:pPr>
            <w:r>
              <w:rPr>
                <w:rFonts w:ascii="Arial" w:cs="Arial" w:eastAsia="Arial" w:hAnsi="Arial"/>
                <w:sz w:val="15"/>
                <w:szCs w:val="15"/>
                <w:color w:val="auto"/>
              </w:rPr>
              <w:t>Proceeds from issuance of Series C convertible preferred stock, net</w:t>
            </w:r>
          </w:p>
        </w:tc>
        <w:tc>
          <w:tcPr>
            <w:tcW w:w="98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540" w:type="dxa"/>
            <w:vAlign w:val="bottom"/>
          </w:tcPr>
          <w:p>
            <w:pPr>
              <w:jc w:val="right"/>
              <w:spacing w:after="0"/>
              <w:rPr>
                <w:sz w:val="20"/>
                <w:szCs w:val="20"/>
                <w:color w:val="auto"/>
              </w:rPr>
            </w:pPr>
            <w:r>
              <w:rPr>
                <w:rFonts w:ascii="Arial" w:cs="Arial" w:eastAsia="Arial" w:hAnsi="Arial"/>
                <w:sz w:val="15"/>
                <w:szCs w:val="15"/>
                <w:color w:val="auto"/>
              </w:rPr>
              <w:t>10,209</w:t>
            </w:r>
          </w:p>
        </w:tc>
        <w:tc>
          <w:tcPr>
            <w:tcW w:w="1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40" w:type="dxa"/>
            <w:vAlign w:val="bottom"/>
          </w:tcPr>
          <w:p>
            <w:pPr>
              <w:jc w:val="right"/>
              <w:spacing w:after="0"/>
              <w:rPr>
                <w:sz w:val="20"/>
                <w:szCs w:val="20"/>
                <w:color w:val="auto"/>
              </w:rPr>
            </w:pPr>
            <w:r>
              <w:rPr>
                <w:rFonts w:ascii="Arial" w:cs="Arial" w:eastAsia="Arial" w:hAnsi="Arial"/>
                <w:sz w:val="15"/>
                <w:szCs w:val="15"/>
                <w:color w:val="auto"/>
              </w:rPr>
              <w:t>12,073</w:t>
            </w:r>
          </w:p>
        </w:tc>
        <w:tc>
          <w:tcPr>
            <w:tcW w:w="26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40" w:type="dxa"/>
            <w:vAlign w:val="bottom"/>
          </w:tcPr>
          <w:p>
            <w:pPr>
              <w:jc w:val="right"/>
              <w:spacing w:after="0"/>
              <w:rPr>
                <w:sz w:val="20"/>
                <w:szCs w:val="20"/>
                <w:color w:val="auto"/>
              </w:rPr>
            </w:pPr>
            <w:r>
              <w:rPr>
                <w:rFonts w:ascii="Arial" w:cs="Arial" w:eastAsia="Arial" w:hAnsi="Arial"/>
                <w:sz w:val="15"/>
                <w:szCs w:val="15"/>
                <w:color w:val="auto"/>
              </w:rPr>
              <w:t>4,175</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5760" w:type="dxa"/>
            <w:vAlign w:val="bottom"/>
            <w:shd w:val="clear" w:color="auto" w:fill="CFF0FC"/>
          </w:tcPr>
          <w:p>
            <w:pPr>
              <w:ind w:left="260"/>
              <w:spacing w:after="0"/>
              <w:rPr>
                <w:sz w:val="20"/>
                <w:szCs w:val="20"/>
                <w:color w:val="auto"/>
              </w:rPr>
            </w:pPr>
            <w:r>
              <w:rPr>
                <w:rFonts w:ascii="Arial" w:cs="Arial" w:eastAsia="Arial" w:hAnsi="Arial"/>
                <w:sz w:val="15"/>
                <w:szCs w:val="15"/>
                <w:color w:val="auto"/>
              </w:rPr>
              <w:t>Proceeds from exercised stock options</w:t>
            </w:r>
          </w:p>
        </w:tc>
        <w:tc>
          <w:tcPr>
            <w:tcW w:w="980" w:type="dxa"/>
            <w:vAlign w:val="bottom"/>
            <w:shd w:val="clear" w:color="auto" w:fill="CFF0FC"/>
          </w:tcPr>
          <w:p>
            <w:pPr>
              <w:spacing w:after="0"/>
              <w:rPr>
                <w:sz w:val="15"/>
                <w:szCs w:val="15"/>
                <w:color w:val="auto"/>
              </w:rPr>
            </w:pPr>
          </w:p>
        </w:tc>
        <w:tc>
          <w:tcPr>
            <w:tcW w:w="800" w:type="dxa"/>
            <w:vAlign w:val="bottom"/>
            <w:shd w:val="clear" w:color="auto" w:fill="CFF0FC"/>
          </w:tcPr>
          <w:p>
            <w:pPr>
              <w:spacing w:after="0"/>
              <w:rPr>
                <w:sz w:val="15"/>
                <w:szCs w:val="15"/>
                <w:color w:val="auto"/>
              </w:rPr>
            </w:pPr>
          </w:p>
        </w:tc>
        <w:tc>
          <w:tcPr>
            <w:tcW w:w="540" w:type="dxa"/>
            <w:vAlign w:val="bottom"/>
            <w:shd w:val="clear" w:color="auto" w:fill="CFF0FC"/>
          </w:tcPr>
          <w:p>
            <w:pPr>
              <w:jc w:val="right"/>
              <w:spacing w:after="0"/>
              <w:rPr>
                <w:sz w:val="20"/>
                <w:szCs w:val="20"/>
                <w:color w:val="auto"/>
              </w:rPr>
            </w:pPr>
            <w:r>
              <w:rPr>
                <w:rFonts w:ascii="Arial" w:cs="Arial" w:eastAsia="Arial" w:hAnsi="Arial"/>
                <w:sz w:val="15"/>
                <w:szCs w:val="15"/>
                <w:color w:val="auto"/>
              </w:rPr>
              <w:t>43</w:t>
            </w:r>
          </w:p>
        </w:tc>
        <w:tc>
          <w:tcPr>
            <w:tcW w:w="14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320" w:type="dxa"/>
            <w:vAlign w:val="bottom"/>
            <w:shd w:val="clear" w:color="auto" w:fill="CFF0FC"/>
          </w:tcPr>
          <w:p>
            <w:pPr>
              <w:spacing w:after="0"/>
              <w:rPr>
                <w:sz w:val="15"/>
                <w:szCs w:val="15"/>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5"/>
                <w:szCs w:val="15"/>
                <w:color w:val="auto"/>
              </w:rPr>
              <w:t>41</w:t>
            </w:r>
          </w:p>
        </w:tc>
        <w:tc>
          <w:tcPr>
            <w:tcW w:w="260" w:type="dxa"/>
            <w:vAlign w:val="bottom"/>
            <w:shd w:val="clear" w:color="auto" w:fill="CFF0FC"/>
          </w:tcPr>
          <w:p>
            <w:pPr>
              <w:spacing w:after="0"/>
              <w:rPr>
                <w:sz w:val="15"/>
                <w:szCs w:val="15"/>
                <w:color w:val="auto"/>
              </w:rPr>
            </w:pPr>
          </w:p>
        </w:tc>
        <w:tc>
          <w:tcPr>
            <w:tcW w:w="320" w:type="dxa"/>
            <w:vAlign w:val="bottom"/>
            <w:shd w:val="clear" w:color="auto" w:fill="CFF0FC"/>
          </w:tcPr>
          <w:p>
            <w:pPr>
              <w:spacing w:after="0"/>
              <w:rPr>
                <w:sz w:val="15"/>
                <w:szCs w:val="15"/>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5"/>
                <w:szCs w:val="15"/>
                <w:color w:val="auto"/>
              </w:rPr>
              <w:t>111</w:t>
            </w:r>
          </w:p>
        </w:tc>
        <w:tc>
          <w:tcPr>
            <w:tcW w:w="10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5760" w:type="dxa"/>
            <w:vAlign w:val="bottom"/>
          </w:tcPr>
          <w:p>
            <w:pPr>
              <w:ind w:left="260"/>
              <w:spacing w:after="0"/>
              <w:rPr>
                <w:sz w:val="20"/>
                <w:szCs w:val="20"/>
                <w:color w:val="auto"/>
              </w:rPr>
            </w:pPr>
            <w:r>
              <w:rPr>
                <w:rFonts w:ascii="Arial" w:cs="Arial" w:eastAsia="Arial" w:hAnsi="Arial"/>
                <w:sz w:val="15"/>
                <w:szCs w:val="15"/>
                <w:color w:val="auto"/>
              </w:rPr>
              <w:t>Proceeds from long-term debt, net</w:t>
            </w:r>
          </w:p>
        </w:tc>
        <w:tc>
          <w:tcPr>
            <w:tcW w:w="98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680" w:type="dxa"/>
            <w:vAlign w:val="bottom"/>
            <w:gridSpan w:val="2"/>
          </w:tcPr>
          <w:p>
            <w:pPr>
              <w:jc w:val="right"/>
              <w:ind w:right="160"/>
              <w:spacing w:after="0"/>
              <w:rPr>
                <w:sz w:val="20"/>
                <w:szCs w:val="20"/>
                <w:color w:val="auto"/>
              </w:rPr>
            </w:pPr>
            <w:r>
              <w:rPr>
                <w:rFonts w:ascii="Arial" w:cs="Arial" w:eastAsia="Arial" w:hAnsi="Arial"/>
                <w:sz w:val="15"/>
                <w:szCs w:val="15"/>
                <w:color w:val="auto"/>
              </w:rPr>
              <w:t>—</w:t>
            </w:r>
          </w:p>
        </w:tc>
        <w:tc>
          <w:tcPr>
            <w:tcW w:w="1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300" w:type="dxa"/>
            <w:vAlign w:val="bottom"/>
            <w:gridSpan w:val="2"/>
          </w:tcPr>
          <w:p>
            <w:pPr>
              <w:jc w:val="right"/>
              <w:ind w:right="280"/>
              <w:spacing w:after="0"/>
              <w:rPr>
                <w:sz w:val="20"/>
                <w:szCs w:val="20"/>
                <w:color w:val="auto"/>
              </w:rPr>
            </w:pPr>
            <w:r>
              <w:rPr>
                <w:rFonts w:ascii="Arial" w:cs="Arial" w:eastAsia="Arial" w:hAnsi="Arial"/>
                <w:sz w:val="15"/>
                <w:szCs w:val="15"/>
                <w:color w:val="auto"/>
              </w:rPr>
              <w:t>—</w:t>
            </w:r>
          </w:p>
        </w:tc>
        <w:tc>
          <w:tcPr>
            <w:tcW w:w="320" w:type="dxa"/>
            <w:vAlign w:val="bottom"/>
          </w:tcPr>
          <w:p>
            <w:pPr>
              <w:spacing w:after="0"/>
              <w:rPr>
                <w:sz w:val="15"/>
                <w:szCs w:val="15"/>
                <w:color w:val="auto"/>
              </w:rPr>
            </w:pPr>
          </w:p>
        </w:tc>
        <w:tc>
          <w:tcPr>
            <w:tcW w:w="1040" w:type="dxa"/>
            <w:vAlign w:val="bottom"/>
          </w:tcPr>
          <w:p>
            <w:pPr>
              <w:jc w:val="right"/>
              <w:spacing w:after="0"/>
              <w:rPr>
                <w:sz w:val="20"/>
                <w:szCs w:val="20"/>
                <w:color w:val="auto"/>
              </w:rPr>
            </w:pPr>
            <w:r>
              <w:rPr>
                <w:rFonts w:ascii="Arial" w:cs="Arial" w:eastAsia="Arial" w:hAnsi="Arial"/>
                <w:sz w:val="15"/>
                <w:szCs w:val="15"/>
                <w:color w:val="auto"/>
              </w:rPr>
              <w:t>19,601</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5760" w:type="dxa"/>
            <w:vAlign w:val="bottom"/>
            <w:shd w:val="clear" w:color="auto" w:fill="CFF0FC"/>
          </w:tcPr>
          <w:p>
            <w:pPr>
              <w:ind w:left="260"/>
              <w:spacing w:after="0"/>
              <w:rPr>
                <w:sz w:val="20"/>
                <w:szCs w:val="20"/>
                <w:color w:val="auto"/>
              </w:rPr>
            </w:pPr>
            <w:r>
              <w:rPr>
                <w:rFonts w:ascii="Arial" w:cs="Arial" w:eastAsia="Arial" w:hAnsi="Arial"/>
                <w:sz w:val="15"/>
                <w:szCs w:val="15"/>
                <w:color w:val="auto"/>
              </w:rPr>
              <w:t>Principal payments on long-term debt</w:t>
            </w:r>
          </w:p>
        </w:tc>
        <w:tc>
          <w:tcPr>
            <w:tcW w:w="980" w:type="dxa"/>
            <w:vAlign w:val="bottom"/>
            <w:shd w:val="clear" w:color="auto" w:fill="CFF0FC"/>
          </w:tcPr>
          <w:p>
            <w:pPr>
              <w:spacing w:after="0"/>
              <w:rPr>
                <w:sz w:val="15"/>
                <w:szCs w:val="15"/>
                <w:color w:val="auto"/>
              </w:rPr>
            </w:pPr>
          </w:p>
        </w:tc>
        <w:tc>
          <w:tcPr>
            <w:tcW w:w="800" w:type="dxa"/>
            <w:vAlign w:val="bottom"/>
            <w:shd w:val="clear" w:color="auto" w:fill="CFF0FC"/>
          </w:tcPr>
          <w:p>
            <w:pPr>
              <w:spacing w:after="0"/>
              <w:rPr>
                <w:sz w:val="15"/>
                <w:szCs w:val="15"/>
                <w:color w:val="auto"/>
              </w:rPr>
            </w:pPr>
          </w:p>
        </w:tc>
        <w:tc>
          <w:tcPr>
            <w:tcW w:w="680" w:type="dxa"/>
            <w:vAlign w:val="bottom"/>
            <w:gridSpan w:val="2"/>
            <w:shd w:val="clear" w:color="auto" w:fill="CFF0FC"/>
          </w:tcPr>
          <w:p>
            <w:pPr>
              <w:jc w:val="right"/>
              <w:ind w:right="100"/>
              <w:spacing w:after="0"/>
              <w:rPr>
                <w:sz w:val="20"/>
                <w:szCs w:val="20"/>
                <w:color w:val="auto"/>
              </w:rPr>
            </w:pPr>
            <w:r>
              <w:rPr>
                <w:rFonts w:ascii="Arial" w:cs="Arial" w:eastAsia="Arial" w:hAnsi="Arial"/>
                <w:sz w:val="15"/>
                <w:szCs w:val="15"/>
                <w:color w:val="auto"/>
              </w:rPr>
              <w:t>(8,000)</w:t>
            </w:r>
          </w:p>
        </w:tc>
        <w:tc>
          <w:tcPr>
            <w:tcW w:w="120" w:type="dxa"/>
            <w:vAlign w:val="bottom"/>
            <w:shd w:val="clear" w:color="auto" w:fill="CFF0FC"/>
          </w:tcPr>
          <w:p>
            <w:pPr>
              <w:spacing w:after="0"/>
              <w:rPr>
                <w:sz w:val="15"/>
                <w:szCs w:val="15"/>
                <w:color w:val="auto"/>
              </w:rPr>
            </w:pPr>
          </w:p>
        </w:tc>
        <w:tc>
          <w:tcPr>
            <w:tcW w:w="320" w:type="dxa"/>
            <w:vAlign w:val="bottom"/>
            <w:shd w:val="clear" w:color="auto" w:fill="CFF0FC"/>
          </w:tcPr>
          <w:p>
            <w:pPr>
              <w:spacing w:after="0"/>
              <w:rPr>
                <w:sz w:val="15"/>
                <w:szCs w:val="15"/>
                <w:color w:val="auto"/>
              </w:rPr>
            </w:pPr>
          </w:p>
        </w:tc>
        <w:tc>
          <w:tcPr>
            <w:tcW w:w="1300" w:type="dxa"/>
            <w:vAlign w:val="bottom"/>
            <w:gridSpan w:val="2"/>
            <w:shd w:val="clear" w:color="auto" w:fill="CFF0FC"/>
          </w:tcPr>
          <w:p>
            <w:pPr>
              <w:jc w:val="right"/>
              <w:ind w:right="280"/>
              <w:spacing w:after="0"/>
              <w:rPr>
                <w:sz w:val="20"/>
                <w:szCs w:val="20"/>
                <w:color w:val="auto"/>
              </w:rPr>
            </w:pPr>
            <w:r>
              <w:rPr>
                <w:rFonts w:ascii="Arial" w:cs="Arial" w:eastAsia="Arial" w:hAnsi="Arial"/>
                <w:sz w:val="15"/>
                <w:szCs w:val="15"/>
                <w:color w:val="auto"/>
              </w:rPr>
              <w:t>—</w:t>
            </w:r>
          </w:p>
        </w:tc>
        <w:tc>
          <w:tcPr>
            <w:tcW w:w="320" w:type="dxa"/>
            <w:vAlign w:val="bottom"/>
            <w:shd w:val="clear" w:color="auto" w:fill="CFF0FC"/>
          </w:tcPr>
          <w:p>
            <w:pPr>
              <w:spacing w:after="0"/>
              <w:rPr>
                <w:sz w:val="15"/>
                <w:szCs w:val="15"/>
                <w:color w:val="auto"/>
              </w:rPr>
            </w:pPr>
          </w:p>
        </w:tc>
        <w:tc>
          <w:tcPr>
            <w:tcW w:w="1140" w:type="dxa"/>
            <w:vAlign w:val="bottom"/>
            <w:gridSpan w:val="2"/>
            <w:shd w:val="clear" w:color="auto" w:fill="CFF0FC"/>
          </w:tcPr>
          <w:p>
            <w:pPr>
              <w:jc w:val="right"/>
              <w:ind w:right="60"/>
              <w:spacing w:after="0"/>
              <w:rPr>
                <w:sz w:val="20"/>
                <w:szCs w:val="20"/>
                <w:color w:val="auto"/>
              </w:rPr>
            </w:pPr>
            <w:r>
              <w:rPr>
                <w:rFonts w:ascii="Arial" w:cs="Arial" w:eastAsia="Arial" w:hAnsi="Arial"/>
                <w:sz w:val="15"/>
                <w:szCs w:val="15"/>
                <w:color w:val="auto"/>
              </w:rPr>
              <w:t>(15,000)</w:t>
            </w:r>
          </w:p>
        </w:tc>
        <w:tc>
          <w:tcPr>
            <w:tcW w:w="0" w:type="dxa"/>
            <w:vAlign w:val="bottom"/>
          </w:tcPr>
          <w:p>
            <w:pPr>
              <w:spacing w:after="0"/>
              <w:rPr>
                <w:sz w:val="1"/>
                <w:szCs w:val="1"/>
                <w:color w:val="auto"/>
              </w:rPr>
            </w:pPr>
          </w:p>
        </w:tc>
      </w:tr>
      <w:tr>
        <w:trPr>
          <w:trHeight w:val="169"/>
        </w:trPr>
        <w:tc>
          <w:tcPr>
            <w:tcW w:w="5760" w:type="dxa"/>
            <w:vAlign w:val="bottom"/>
            <w:tcBorders>
              <w:bottom w:val="single" w:sz="8" w:color="CFF0FC"/>
            </w:tcBorders>
          </w:tcPr>
          <w:p>
            <w:pPr>
              <w:ind w:left="740"/>
              <w:spacing w:after="0" w:line="169" w:lineRule="exact"/>
              <w:rPr>
                <w:sz w:val="20"/>
                <w:szCs w:val="20"/>
                <w:color w:val="auto"/>
              </w:rPr>
            </w:pPr>
            <w:r>
              <w:rPr>
                <w:rFonts w:ascii="Arial" w:cs="Arial" w:eastAsia="Arial" w:hAnsi="Arial"/>
                <w:sz w:val="15"/>
                <w:szCs w:val="15"/>
                <w:color w:val="auto"/>
              </w:rPr>
              <w:t>Net cash provided by financing activities</w:t>
            </w:r>
          </w:p>
        </w:tc>
        <w:tc>
          <w:tcPr>
            <w:tcW w:w="980" w:type="dxa"/>
            <w:vAlign w:val="bottom"/>
            <w:tcBorders>
              <w:bottom w:val="single" w:sz="8" w:color="CFF0FC"/>
            </w:tcBorders>
          </w:tcPr>
          <w:p>
            <w:pPr>
              <w:spacing w:after="0"/>
              <w:rPr>
                <w:sz w:val="14"/>
                <w:szCs w:val="14"/>
                <w:color w:val="auto"/>
              </w:rPr>
            </w:pPr>
          </w:p>
        </w:tc>
        <w:tc>
          <w:tcPr>
            <w:tcW w:w="800" w:type="dxa"/>
            <w:vAlign w:val="bottom"/>
            <w:tcBorders>
              <w:top w:val="single" w:sz="8" w:color="auto"/>
              <w:bottom w:val="single" w:sz="8" w:color="auto"/>
            </w:tcBorders>
          </w:tcPr>
          <w:p>
            <w:pPr>
              <w:spacing w:after="0"/>
              <w:rPr>
                <w:sz w:val="14"/>
                <w:szCs w:val="14"/>
                <w:color w:val="auto"/>
              </w:rPr>
            </w:pPr>
          </w:p>
        </w:tc>
        <w:tc>
          <w:tcPr>
            <w:tcW w:w="540" w:type="dxa"/>
            <w:vAlign w:val="bottom"/>
            <w:tcBorders>
              <w:top w:val="single" w:sz="8" w:color="auto"/>
              <w:bottom w:val="single" w:sz="8" w:color="auto"/>
            </w:tcBorders>
          </w:tcPr>
          <w:p>
            <w:pPr>
              <w:jc w:val="right"/>
              <w:spacing w:after="0" w:line="169" w:lineRule="exact"/>
              <w:rPr>
                <w:sz w:val="20"/>
                <w:szCs w:val="20"/>
                <w:color w:val="auto"/>
              </w:rPr>
            </w:pPr>
            <w:r>
              <w:rPr>
                <w:rFonts w:ascii="Arial" w:cs="Arial" w:eastAsia="Arial" w:hAnsi="Arial"/>
                <w:sz w:val="15"/>
                <w:szCs w:val="15"/>
                <w:color w:val="auto"/>
              </w:rPr>
              <w:t>29,366</w:t>
            </w:r>
          </w:p>
        </w:tc>
        <w:tc>
          <w:tcPr>
            <w:tcW w:w="140" w:type="dxa"/>
            <w:vAlign w:val="bottom"/>
            <w:tcBorders>
              <w:bottom w:val="single" w:sz="8" w:color="CFF0FC"/>
            </w:tcBorders>
          </w:tcPr>
          <w:p>
            <w:pPr>
              <w:spacing w:after="0"/>
              <w:rPr>
                <w:sz w:val="14"/>
                <w:szCs w:val="14"/>
                <w:color w:val="auto"/>
              </w:rPr>
            </w:pPr>
          </w:p>
        </w:tc>
        <w:tc>
          <w:tcPr>
            <w:tcW w:w="120" w:type="dxa"/>
            <w:vAlign w:val="bottom"/>
            <w:tcBorders>
              <w:bottom w:val="single" w:sz="8" w:color="CFF0FC"/>
            </w:tcBorders>
          </w:tcPr>
          <w:p>
            <w:pPr>
              <w:spacing w:after="0"/>
              <w:rPr>
                <w:sz w:val="14"/>
                <w:szCs w:val="14"/>
                <w:color w:val="auto"/>
              </w:rPr>
            </w:pPr>
          </w:p>
        </w:tc>
        <w:tc>
          <w:tcPr>
            <w:tcW w:w="320" w:type="dxa"/>
            <w:vAlign w:val="bottom"/>
            <w:tcBorders>
              <w:top w:val="single" w:sz="8" w:color="auto"/>
              <w:bottom w:val="single" w:sz="8" w:color="auto"/>
            </w:tcBorders>
          </w:tcPr>
          <w:p>
            <w:pPr>
              <w:spacing w:after="0"/>
              <w:rPr>
                <w:sz w:val="14"/>
                <w:szCs w:val="14"/>
                <w:color w:val="auto"/>
              </w:rPr>
            </w:pPr>
          </w:p>
        </w:tc>
        <w:tc>
          <w:tcPr>
            <w:tcW w:w="1040" w:type="dxa"/>
            <w:vAlign w:val="bottom"/>
            <w:tcBorders>
              <w:top w:val="single" w:sz="8" w:color="auto"/>
              <w:bottom w:val="single" w:sz="8" w:color="auto"/>
            </w:tcBorders>
          </w:tcPr>
          <w:p>
            <w:pPr>
              <w:jc w:val="right"/>
              <w:spacing w:after="0" w:line="169" w:lineRule="exact"/>
              <w:rPr>
                <w:sz w:val="20"/>
                <w:szCs w:val="20"/>
                <w:color w:val="auto"/>
              </w:rPr>
            </w:pPr>
            <w:r>
              <w:rPr>
                <w:rFonts w:ascii="Arial" w:cs="Arial" w:eastAsia="Arial" w:hAnsi="Arial"/>
                <w:sz w:val="15"/>
                <w:szCs w:val="15"/>
                <w:color w:val="auto"/>
              </w:rPr>
              <w:t>12,114</w:t>
            </w:r>
          </w:p>
        </w:tc>
        <w:tc>
          <w:tcPr>
            <w:tcW w:w="260" w:type="dxa"/>
            <w:vAlign w:val="bottom"/>
            <w:tcBorders>
              <w:bottom w:val="single" w:sz="8" w:color="CFF0FC"/>
            </w:tcBorders>
          </w:tcPr>
          <w:p>
            <w:pPr>
              <w:spacing w:after="0"/>
              <w:rPr>
                <w:sz w:val="14"/>
                <w:szCs w:val="14"/>
                <w:color w:val="auto"/>
              </w:rPr>
            </w:pPr>
          </w:p>
        </w:tc>
        <w:tc>
          <w:tcPr>
            <w:tcW w:w="320" w:type="dxa"/>
            <w:vAlign w:val="bottom"/>
            <w:tcBorders>
              <w:top w:val="single" w:sz="8" w:color="auto"/>
              <w:bottom w:val="single" w:sz="8" w:color="auto"/>
            </w:tcBorders>
          </w:tcPr>
          <w:p>
            <w:pPr>
              <w:spacing w:after="0"/>
              <w:rPr>
                <w:sz w:val="14"/>
                <w:szCs w:val="14"/>
                <w:color w:val="auto"/>
              </w:rPr>
            </w:pPr>
          </w:p>
        </w:tc>
        <w:tc>
          <w:tcPr>
            <w:tcW w:w="1040" w:type="dxa"/>
            <w:vAlign w:val="bottom"/>
            <w:tcBorders>
              <w:top w:val="single" w:sz="8" w:color="auto"/>
              <w:bottom w:val="single" w:sz="8" w:color="auto"/>
            </w:tcBorders>
          </w:tcPr>
          <w:p>
            <w:pPr>
              <w:jc w:val="right"/>
              <w:spacing w:after="0" w:line="169" w:lineRule="exact"/>
              <w:rPr>
                <w:sz w:val="20"/>
                <w:szCs w:val="20"/>
                <w:color w:val="auto"/>
              </w:rPr>
            </w:pPr>
            <w:r>
              <w:rPr>
                <w:rFonts w:ascii="Arial" w:cs="Arial" w:eastAsia="Arial" w:hAnsi="Arial"/>
                <w:sz w:val="15"/>
                <w:szCs w:val="15"/>
                <w:color w:val="auto"/>
              </w:rPr>
              <w:t>8,887</w:t>
            </w:r>
          </w:p>
        </w:tc>
        <w:tc>
          <w:tcPr>
            <w:tcW w:w="100" w:type="dxa"/>
            <w:vAlign w:val="bottom"/>
            <w:tcBorders>
              <w:bottom w:val="single" w:sz="8" w:color="CFF0FC"/>
            </w:tcBorders>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5760" w:type="dxa"/>
            <w:vAlign w:val="bottom"/>
            <w:shd w:val="clear" w:color="auto" w:fill="CFF0FC"/>
          </w:tcPr>
          <w:p>
            <w:pPr>
              <w:spacing w:after="0" w:line="156" w:lineRule="exact"/>
              <w:rPr>
                <w:sz w:val="20"/>
                <w:szCs w:val="20"/>
                <w:color w:val="auto"/>
              </w:rPr>
            </w:pPr>
            <w:r>
              <w:rPr>
                <w:rFonts w:ascii="Arial" w:cs="Arial" w:eastAsia="Arial" w:hAnsi="Arial"/>
                <w:sz w:val="15"/>
                <w:szCs w:val="15"/>
                <w:color w:val="auto"/>
              </w:rPr>
              <w:t>NET INCREASE (DECREASE) IN CASH, CASH EQUIVALENTS AND</w:t>
            </w:r>
          </w:p>
        </w:tc>
        <w:tc>
          <w:tcPr>
            <w:tcW w:w="980" w:type="dxa"/>
            <w:vAlign w:val="bottom"/>
            <w:shd w:val="clear" w:color="auto" w:fill="CFF0FC"/>
          </w:tcPr>
          <w:p>
            <w:pPr>
              <w:spacing w:after="0"/>
              <w:rPr>
                <w:sz w:val="13"/>
                <w:szCs w:val="13"/>
                <w:color w:val="auto"/>
              </w:rPr>
            </w:pPr>
          </w:p>
        </w:tc>
        <w:tc>
          <w:tcPr>
            <w:tcW w:w="800" w:type="dxa"/>
            <w:vAlign w:val="bottom"/>
            <w:shd w:val="clear" w:color="auto" w:fill="CFF0FC"/>
          </w:tcPr>
          <w:p>
            <w:pPr>
              <w:spacing w:after="0"/>
              <w:rPr>
                <w:sz w:val="13"/>
                <w:szCs w:val="13"/>
                <w:color w:val="auto"/>
              </w:rPr>
            </w:pPr>
          </w:p>
        </w:tc>
        <w:tc>
          <w:tcPr>
            <w:tcW w:w="540" w:type="dxa"/>
            <w:vAlign w:val="bottom"/>
            <w:shd w:val="clear" w:color="auto" w:fill="CFF0FC"/>
          </w:tcPr>
          <w:p>
            <w:pPr>
              <w:spacing w:after="0"/>
              <w:rPr>
                <w:sz w:val="13"/>
                <w:szCs w:val="13"/>
                <w:color w:val="auto"/>
              </w:rPr>
            </w:pPr>
          </w:p>
        </w:tc>
        <w:tc>
          <w:tcPr>
            <w:tcW w:w="14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320" w:type="dxa"/>
            <w:vAlign w:val="bottom"/>
            <w:shd w:val="clear" w:color="auto" w:fill="CFF0FC"/>
          </w:tcPr>
          <w:p>
            <w:pPr>
              <w:spacing w:after="0"/>
              <w:rPr>
                <w:sz w:val="13"/>
                <w:szCs w:val="13"/>
                <w:color w:val="auto"/>
              </w:rPr>
            </w:pPr>
          </w:p>
        </w:tc>
        <w:tc>
          <w:tcPr>
            <w:tcW w:w="1040" w:type="dxa"/>
            <w:vAlign w:val="bottom"/>
            <w:shd w:val="clear" w:color="auto" w:fill="CFF0FC"/>
          </w:tcPr>
          <w:p>
            <w:pPr>
              <w:spacing w:after="0"/>
              <w:rPr>
                <w:sz w:val="13"/>
                <w:szCs w:val="13"/>
                <w:color w:val="auto"/>
              </w:rPr>
            </w:pPr>
          </w:p>
        </w:tc>
        <w:tc>
          <w:tcPr>
            <w:tcW w:w="260" w:type="dxa"/>
            <w:vAlign w:val="bottom"/>
            <w:shd w:val="clear" w:color="auto" w:fill="CFF0FC"/>
          </w:tcPr>
          <w:p>
            <w:pPr>
              <w:spacing w:after="0"/>
              <w:rPr>
                <w:sz w:val="13"/>
                <w:szCs w:val="13"/>
                <w:color w:val="auto"/>
              </w:rPr>
            </w:pPr>
          </w:p>
        </w:tc>
        <w:tc>
          <w:tcPr>
            <w:tcW w:w="320" w:type="dxa"/>
            <w:vAlign w:val="bottom"/>
            <w:shd w:val="clear" w:color="auto" w:fill="CFF0FC"/>
          </w:tcPr>
          <w:p>
            <w:pPr>
              <w:spacing w:after="0"/>
              <w:rPr>
                <w:sz w:val="13"/>
                <w:szCs w:val="13"/>
                <w:color w:val="auto"/>
              </w:rPr>
            </w:pPr>
          </w:p>
        </w:tc>
        <w:tc>
          <w:tcPr>
            <w:tcW w:w="104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75"/>
        </w:trPr>
        <w:tc>
          <w:tcPr>
            <w:tcW w:w="5760" w:type="dxa"/>
            <w:vAlign w:val="bottom"/>
            <w:shd w:val="clear" w:color="auto" w:fill="CFF0FC"/>
          </w:tcPr>
          <w:p>
            <w:pPr>
              <w:ind w:left="120"/>
              <w:spacing w:after="0"/>
              <w:rPr>
                <w:sz w:val="20"/>
                <w:szCs w:val="20"/>
                <w:color w:val="auto"/>
              </w:rPr>
            </w:pPr>
            <w:r>
              <w:rPr>
                <w:rFonts w:ascii="Arial" w:cs="Arial" w:eastAsia="Arial" w:hAnsi="Arial"/>
                <w:sz w:val="15"/>
                <w:szCs w:val="15"/>
                <w:color w:val="auto"/>
              </w:rPr>
              <w:t>RESTRICTED CASH</w:t>
            </w:r>
          </w:p>
        </w:tc>
        <w:tc>
          <w:tcPr>
            <w:tcW w:w="980" w:type="dxa"/>
            <w:vAlign w:val="bottom"/>
            <w:shd w:val="clear" w:color="auto" w:fill="CFF0FC"/>
          </w:tcPr>
          <w:p>
            <w:pPr>
              <w:spacing w:after="0"/>
              <w:rPr>
                <w:sz w:val="15"/>
                <w:szCs w:val="15"/>
                <w:color w:val="auto"/>
              </w:rPr>
            </w:pPr>
          </w:p>
        </w:tc>
        <w:tc>
          <w:tcPr>
            <w:tcW w:w="800" w:type="dxa"/>
            <w:vAlign w:val="bottom"/>
            <w:shd w:val="clear" w:color="auto" w:fill="CFF0FC"/>
          </w:tcPr>
          <w:p>
            <w:pPr>
              <w:spacing w:after="0"/>
              <w:rPr>
                <w:sz w:val="15"/>
                <w:szCs w:val="15"/>
                <w:color w:val="auto"/>
              </w:rPr>
            </w:pPr>
          </w:p>
        </w:tc>
        <w:tc>
          <w:tcPr>
            <w:tcW w:w="540" w:type="dxa"/>
            <w:vAlign w:val="bottom"/>
            <w:shd w:val="clear" w:color="auto" w:fill="CFF0FC"/>
          </w:tcPr>
          <w:p>
            <w:pPr>
              <w:jc w:val="right"/>
              <w:spacing w:after="0"/>
              <w:rPr>
                <w:sz w:val="20"/>
                <w:szCs w:val="20"/>
                <w:color w:val="auto"/>
              </w:rPr>
            </w:pPr>
            <w:r>
              <w:rPr>
                <w:rFonts w:ascii="Arial" w:cs="Arial" w:eastAsia="Arial" w:hAnsi="Arial"/>
                <w:sz w:val="15"/>
                <w:szCs w:val="15"/>
                <w:color w:val="auto"/>
              </w:rPr>
              <w:t>11,732</w:t>
            </w:r>
          </w:p>
        </w:tc>
        <w:tc>
          <w:tcPr>
            <w:tcW w:w="14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320" w:type="dxa"/>
            <w:vAlign w:val="bottom"/>
            <w:shd w:val="clear" w:color="auto" w:fill="CFF0FC"/>
          </w:tcPr>
          <w:p>
            <w:pPr>
              <w:spacing w:after="0"/>
              <w:rPr>
                <w:sz w:val="15"/>
                <w:szCs w:val="15"/>
                <w:color w:val="auto"/>
              </w:rPr>
            </w:pPr>
          </w:p>
        </w:tc>
        <w:tc>
          <w:tcPr>
            <w:tcW w:w="1300" w:type="dxa"/>
            <w:vAlign w:val="bottom"/>
            <w:gridSpan w:val="2"/>
            <w:shd w:val="clear" w:color="auto" w:fill="CFF0FC"/>
          </w:tcPr>
          <w:p>
            <w:pPr>
              <w:jc w:val="right"/>
              <w:ind w:right="220"/>
              <w:spacing w:after="0"/>
              <w:rPr>
                <w:sz w:val="20"/>
                <w:szCs w:val="20"/>
                <w:color w:val="auto"/>
              </w:rPr>
            </w:pPr>
            <w:r>
              <w:rPr>
                <w:rFonts w:ascii="Arial" w:cs="Arial" w:eastAsia="Arial" w:hAnsi="Arial"/>
                <w:sz w:val="15"/>
                <w:szCs w:val="15"/>
                <w:color w:val="auto"/>
              </w:rPr>
              <w:t>(5,221)</w:t>
            </w:r>
          </w:p>
        </w:tc>
        <w:tc>
          <w:tcPr>
            <w:tcW w:w="320" w:type="dxa"/>
            <w:vAlign w:val="bottom"/>
            <w:shd w:val="clear" w:color="auto" w:fill="CFF0FC"/>
          </w:tcPr>
          <w:p>
            <w:pPr>
              <w:spacing w:after="0"/>
              <w:rPr>
                <w:sz w:val="15"/>
                <w:szCs w:val="15"/>
                <w:color w:val="auto"/>
              </w:rPr>
            </w:pPr>
          </w:p>
        </w:tc>
        <w:tc>
          <w:tcPr>
            <w:tcW w:w="1140" w:type="dxa"/>
            <w:vAlign w:val="bottom"/>
            <w:gridSpan w:val="2"/>
            <w:shd w:val="clear" w:color="auto" w:fill="CFF0FC"/>
          </w:tcPr>
          <w:p>
            <w:pPr>
              <w:jc w:val="right"/>
              <w:ind w:right="60"/>
              <w:spacing w:after="0"/>
              <w:rPr>
                <w:sz w:val="20"/>
                <w:szCs w:val="20"/>
                <w:color w:val="auto"/>
              </w:rPr>
            </w:pPr>
            <w:r>
              <w:rPr>
                <w:rFonts w:ascii="Arial" w:cs="Arial" w:eastAsia="Arial" w:hAnsi="Arial"/>
                <w:sz w:val="15"/>
                <w:szCs w:val="15"/>
                <w:color w:val="auto"/>
              </w:rPr>
              <w:t>(15,687)</w:t>
            </w:r>
          </w:p>
        </w:tc>
        <w:tc>
          <w:tcPr>
            <w:tcW w:w="0" w:type="dxa"/>
            <w:vAlign w:val="bottom"/>
          </w:tcPr>
          <w:p>
            <w:pPr>
              <w:spacing w:after="0"/>
              <w:rPr>
                <w:sz w:val="1"/>
                <w:szCs w:val="1"/>
                <w:color w:val="auto"/>
              </w:rPr>
            </w:pPr>
          </w:p>
        </w:tc>
      </w:tr>
      <w:tr>
        <w:trPr>
          <w:trHeight w:val="176"/>
        </w:trPr>
        <w:tc>
          <w:tcPr>
            <w:tcW w:w="5760" w:type="dxa"/>
            <w:vAlign w:val="bottom"/>
          </w:tcPr>
          <w:p>
            <w:pPr>
              <w:spacing w:after="0"/>
              <w:rPr>
                <w:sz w:val="20"/>
                <w:szCs w:val="20"/>
                <w:color w:val="auto"/>
              </w:rPr>
            </w:pPr>
            <w:r>
              <w:rPr>
                <w:rFonts w:ascii="Arial" w:cs="Arial" w:eastAsia="Arial" w:hAnsi="Arial"/>
                <w:sz w:val="15"/>
                <w:szCs w:val="15"/>
                <w:color w:val="auto"/>
              </w:rPr>
              <w:t>Effect of exchange rate changes on cash, cash equivalents and restricted cash</w:t>
            </w:r>
          </w:p>
        </w:tc>
        <w:tc>
          <w:tcPr>
            <w:tcW w:w="98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5"/>
                <w:szCs w:val="15"/>
                <w:color w:val="auto"/>
              </w:rPr>
              <w:t>(93)</w:t>
            </w:r>
          </w:p>
        </w:tc>
        <w:tc>
          <w:tcPr>
            <w:tcW w:w="1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300" w:type="dxa"/>
            <w:vAlign w:val="bottom"/>
            <w:gridSpan w:val="2"/>
          </w:tcPr>
          <w:p>
            <w:pPr>
              <w:jc w:val="right"/>
              <w:ind w:right="280"/>
              <w:spacing w:after="0"/>
              <w:rPr>
                <w:sz w:val="20"/>
                <w:szCs w:val="20"/>
                <w:color w:val="auto"/>
              </w:rPr>
            </w:pPr>
            <w:r>
              <w:rPr>
                <w:rFonts w:ascii="Arial" w:cs="Arial" w:eastAsia="Arial" w:hAnsi="Arial"/>
                <w:sz w:val="15"/>
                <w:szCs w:val="15"/>
                <w:color w:val="auto"/>
              </w:rPr>
              <w:t>—</w:t>
            </w:r>
          </w:p>
        </w:tc>
        <w:tc>
          <w:tcPr>
            <w:tcW w:w="320" w:type="dxa"/>
            <w:vAlign w:val="bottom"/>
          </w:tcPr>
          <w:p>
            <w:pPr>
              <w:spacing w:after="0"/>
              <w:rPr>
                <w:sz w:val="15"/>
                <w:szCs w:val="15"/>
                <w:color w:val="auto"/>
              </w:rPr>
            </w:pPr>
          </w:p>
        </w:tc>
        <w:tc>
          <w:tcPr>
            <w:tcW w:w="1040" w:type="dxa"/>
            <w:vAlign w:val="bottom"/>
          </w:tcPr>
          <w:p>
            <w:pPr>
              <w:jc w:val="right"/>
              <w:spacing w:after="0"/>
              <w:rPr>
                <w:sz w:val="20"/>
                <w:szCs w:val="20"/>
                <w:color w:val="auto"/>
              </w:rPr>
            </w:pPr>
            <w:r>
              <w:rPr>
                <w:rFonts w:ascii="Arial" w:cs="Arial" w:eastAsia="Arial" w:hAnsi="Arial"/>
                <w:sz w:val="15"/>
                <w:szCs w:val="15"/>
                <w:color w:val="auto"/>
              </w:rPr>
              <w:t>14</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56"/>
        </w:trPr>
        <w:tc>
          <w:tcPr>
            <w:tcW w:w="5760" w:type="dxa"/>
            <w:vAlign w:val="bottom"/>
            <w:tcBorders>
              <w:top w:val="single" w:sz="8" w:color="CFF0FC"/>
            </w:tcBorders>
            <w:shd w:val="clear" w:color="auto" w:fill="CFF0FC"/>
          </w:tcPr>
          <w:p>
            <w:pPr>
              <w:spacing w:after="0" w:line="156" w:lineRule="exact"/>
              <w:rPr>
                <w:sz w:val="20"/>
                <w:szCs w:val="20"/>
                <w:color w:val="auto"/>
              </w:rPr>
            </w:pPr>
            <w:r>
              <w:rPr>
                <w:rFonts w:ascii="Arial" w:cs="Arial" w:eastAsia="Arial" w:hAnsi="Arial"/>
                <w:sz w:val="15"/>
                <w:szCs w:val="15"/>
                <w:color w:val="auto"/>
              </w:rPr>
              <w:t>CASH, CASH EQUIVALENTS AND RESTRICTED CASH — Beginning of</w:t>
            </w:r>
          </w:p>
        </w:tc>
        <w:tc>
          <w:tcPr>
            <w:tcW w:w="980" w:type="dxa"/>
            <w:vAlign w:val="bottom"/>
            <w:tcBorders>
              <w:top w:val="single" w:sz="8" w:color="CFF0FC"/>
            </w:tcBorders>
            <w:shd w:val="clear" w:color="auto" w:fill="CFF0FC"/>
          </w:tcPr>
          <w:p>
            <w:pPr>
              <w:spacing w:after="0"/>
              <w:rPr>
                <w:sz w:val="13"/>
                <w:szCs w:val="13"/>
                <w:color w:val="auto"/>
              </w:rPr>
            </w:pPr>
          </w:p>
        </w:tc>
        <w:tc>
          <w:tcPr>
            <w:tcW w:w="800" w:type="dxa"/>
            <w:vAlign w:val="bottom"/>
            <w:tcBorders>
              <w:top w:val="single" w:sz="8" w:color="auto"/>
            </w:tcBorders>
            <w:shd w:val="clear" w:color="auto" w:fill="CFF0FC"/>
          </w:tcPr>
          <w:p>
            <w:pPr>
              <w:spacing w:after="0"/>
              <w:rPr>
                <w:sz w:val="13"/>
                <w:szCs w:val="13"/>
                <w:color w:val="auto"/>
              </w:rPr>
            </w:pPr>
          </w:p>
        </w:tc>
        <w:tc>
          <w:tcPr>
            <w:tcW w:w="540" w:type="dxa"/>
            <w:vAlign w:val="bottom"/>
            <w:tcBorders>
              <w:top w:val="single" w:sz="8" w:color="auto"/>
            </w:tcBorders>
            <w:shd w:val="clear" w:color="auto" w:fill="CFF0FC"/>
          </w:tcPr>
          <w:p>
            <w:pPr>
              <w:spacing w:after="0"/>
              <w:rPr>
                <w:sz w:val="13"/>
                <w:szCs w:val="13"/>
                <w:color w:val="auto"/>
              </w:rPr>
            </w:pPr>
          </w:p>
        </w:tc>
        <w:tc>
          <w:tcPr>
            <w:tcW w:w="140" w:type="dxa"/>
            <w:vAlign w:val="bottom"/>
            <w:tcBorders>
              <w:top w:val="single" w:sz="8" w:color="CFF0FC"/>
            </w:tcBorders>
            <w:shd w:val="clear" w:color="auto" w:fill="CFF0FC"/>
          </w:tcPr>
          <w:p>
            <w:pPr>
              <w:spacing w:after="0"/>
              <w:rPr>
                <w:sz w:val="13"/>
                <w:szCs w:val="13"/>
                <w:color w:val="auto"/>
              </w:rPr>
            </w:pPr>
          </w:p>
        </w:tc>
        <w:tc>
          <w:tcPr>
            <w:tcW w:w="120" w:type="dxa"/>
            <w:vAlign w:val="bottom"/>
            <w:tcBorders>
              <w:top w:val="single" w:sz="8" w:color="CFF0FC"/>
            </w:tcBorders>
            <w:shd w:val="clear" w:color="auto" w:fill="CFF0FC"/>
          </w:tcPr>
          <w:p>
            <w:pPr>
              <w:spacing w:after="0"/>
              <w:rPr>
                <w:sz w:val="13"/>
                <w:szCs w:val="13"/>
                <w:color w:val="auto"/>
              </w:rPr>
            </w:pPr>
          </w:p>
        </w:tc>
        <w:tc>
          <w:tcPr>
            <w:tcW w:w="320" w:type="dxa"/>
            <w:vAlign w:val="bottom"/>
            <w:tcBorders>
              <w:top w:val="single" w:sz="8" w:color="auto"/>
            </w:tcBorders>
            <w:shd w:val="clear" w:color="auto" w:fill="CFF0FC"/>
          </w:tcPr>
          <w:p>
            <w:pPr>
              <w:spacing w:after="0"/>
              <w:rPr>
                <w:sz w:val="13"/>
                <w:szCs w:val="13"/>
                <w:color w:val="auto"/>
              </w:rPr>
            </w:pPr>
          </w:p>
        </w:tc>
        <w:tc>
          <w:tcPr>
            <w:tcW w:w="1040" w:type="dxa"/>
            <w:vAlign w:val="bottom"/>
            <w:tcBorders>
              <w:top w:val="single" w:sz="8" w:color="auto"/>
            </w:tcBorders>
            <w:shd w:val="clear" w:color="auto" w:fill="CFF0FC"/>
          </w:tcPr>
          <w:p>
            <w:pPr>
              <w:spacing w:after="0"/>
              <w:rPr>
                <w:sz w:val="13"/>
                <w:szCs w:val="13"/>
                <w:color w:val="auto"/>
              </w:rPr>
            </w:pPr>
          </w:p>
        </w:tc>
        <w:tc>
          <w:tcPr>
            <w:tcW w:w="260" w:type="dxa"/>
            <w:vAlign w:val="bottom"/>
            <w:tcBorders>
              <w:top w:val="single" w:sz="8" w:color="CFF0FC"/>
            </w:tcBorders>
            <w:shd w:val="clear" w:color="auto" w:fill="CFF0FC"/>
          </w:tcPr>
          <w:p>
            <w:pPr>
              <w:spacing w:after="0"/>
              <w:rPr>
                <w:sz w:val="13"/>
                <w:szCs w:val="13"/>
                <w:color w:val="auto"/>
              </w:rPr>
            </w:pPr>
          </w:p>
        </w:tc>
        <w:tc>
          <w:tcPr>
            <w:tcW w:w="320" w:type="dxa"/>
            <w:vAlign w:val="bottom"/>
            <w:tcBorders>
              <w:top w:val="single" w:sz="8" w:color="auto"/>
            </w:tcBorders>
            <w:shd w:val="clear" w:color="auto" w:fill="CFF0FC"/>
          </w:tcPr>
          <w:p>
            <w:pPr>
              <w:spacing w:after="0"/>
              <w:rPr>
                <w:sz w:val="13"/>
                <w:szCs w:val="13"/>
                <w:color w:val="auto"/>
              </w:rPr>
            </w:pPr>
          </w:p>
        </w:tc>
        <w:tc>
          <w:tcPr>
            <w:tcW w:w="1040" w:type="dxa"/>
            <w:vAlign w:val="bottom"/>
            <w:tcBorders>
              <w:top w:val="single" w:sz="8" w:color="auto"/>
            </w:tcBorders>
            <w:shd w:val="clear" w:color="auto" w:fill="CFF0FC"/>
          </w:tcPr>
          <w:p>
            <w:pPr>
              <w:spacing w:after="0"/>
              <w:rPr>
                <w:sz w:val="13"/>
                <w:szCs w:val="13"/>
                <w:color w:val="auto"/>
              </w:rPr>
            </w:pPr>
          </w:p>
        </w:tc>
        <w:tc>
          <w:tcPr>
            <w:tcW w:w="100" w:type="dxa"/>
            <w:vAlign w:val="bottom"/>
            <w:tcBorders>
              <w:top w:val="single" w:sz="8" w:color="CFF0FC"/>
            </w:tcBorders>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75"/>
        </w:trPr>
        <w:tc>
          <w:tcPr>
            <w:tcW w:w="5760" w:type="dxa"/>
            <w:vAlign w:val="bottom"/>
            <w:shd w:val="clear" w:color="auto" w:fill="CFF0FC"/>
          </w:tcPr>
          <w:p>
            <w:pPr>
              <w:ind w:left="120"/>
              <w:spacing w:after="0"/>
              <w:rPr>
                <w:sz w:val="20"/>
                <w:szCs w:val="20"/>
                <w:color w:val="auto"/>
              </w:rPr>
            </w:pPr>
            <w:r>
              <w:rPr>
                <w:rFonts w:ascii="Arial" w:cs="Arial" w:eastAsia="Arial" w:hAnsi="Arial"/>
                <w:sz w:val="15"/>
                <w:szCs w:val="15"/>
                <w:color w:val="auto"/>
              </w:rPr>
              <w:t>period</w:t>
            </w:r>
          </w:p>
        </w:tc>
        <w:tc>
          <w:tcPr>
            <w:tcW w:w="980" w:type="dxa"/>
            <w:vAlign w:val="bottom"/>
            <w:shd w:val="clear" w:color="auto" w:fill="CFF0FC"/>
          </w:tcPr>
          <w:p>
            <w:pPr>
              <w:spacing w:after="0"/>
              <w:rPr>
                <w:sz w:val="15"/>
                <w:szCs w:val="15"/>
                <w:color w:val="auto"/>
              </w:rPr>
            </w:pPr>
          </w:p>
        </w:tc>
        <w:tc>
          <w:tcPr>
            <w:tcW w:w="800" w:type="dxa"/>
            <w:vAlign w:val="bottom"/>
            <w:tcBorders>
              <w:bottom w:val="single" w:sz="8" w:color="auto"/>
            </w:tcBorders>
            <w:shd w:val="clear" w:color="auto" w:fill="CFF0FC"/>
          </w:tcPr>
          <w:p>
            <w:pPr>
              <w:spacing w:after="0"/>
              <w:rPr>
                <w:sz w:val="15"/>
                <w:szCs w:val="15"/>
                <w:color w:val="auto"/>
              </w:rPr>
            </w:pPr>
          </w:p>
        </w:tc>
        <w:tc>
          <w:tcPr>
            <w:tcW w:w="5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rPr>
              <w:t>12,006</w:t>
            </w:r>
          </w:p>
        </w:tc>
        <w:tc>
          <w:tcPr>
            <w:tcW w:w="14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320" w:type="dxa"/>
            <w:vAlign w:val="bottom"/>
            <w:tcBorders>
              <w:bottom w:val="single" w:sz="8" w:color="auto"/>
            </w:tcBorders>
            <w:shd w:val="clear" w:color="auto" w:fill="CFF0FC"/>
          </w:tcPr>
          <w:p>
            <w:pPr>
              <w:spacing w:after="0"/>
              <w:rPr>
                <w:sz w:val="15"/>
                <w:szCs w:val="15"/>
                <w:color w:val="auto"/>
              </w:rPr>
            </w:pPr>
          </w:p>
        </w:tc>
        <w:tc>
          <w:tcPr>
            <w:tcW w:w="10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rPr>
              <w:t>17,227</w:t>
            </w:r>
          </w:p>
        </w:tc>
        <w:tc>
          <w:tcPr>
            <w:tcW w:w="260" w:type="dxa"/>
            <w:vAlign w:val="bottom"/>
            <w:shd w:val="clear" w:color="auto" w:fill="CFF0FC"/>
          </w:tcPr>
          <w:p>
            <w:pPr>
              <w:spacing w:after="0"/>
              <w:rPr>
                <w:sz w:val="15"/>
                <w:szCs w:val="15"/>
                <w:color w:val="auto"/>
              </w:rPr>
            </w:pPr>
          </w:p>
        </w:tc>
        <w:tc>
          <w:tcPr>
            <w:tcW w:w="320" w:type="dxa"/>
            <w:vAlign w:val="bottom"/>
            <w:tcBorders>
              <w:bottom w:val="single" w:sz="8" w:color="auto"/>
            </w:tcBorders>
            <w:shd w:val="clear" w:color="auto" w:fill="CFF0FC"/>
          </w:tcPr>
          <w:p>
            <w:pPr>
              <w:spacing w:after="0"/>
              <w:rPr>
                <w:sz w:val="15"/>
                <w:szCs w:val="15"/>
                <w:color w:val="auto"/>
              </w:rPr>
            </w:pPr>
          </w:p>
        </w:tc>
        <w:tc>
          <w:tcPr>
            <w:tcW w:w="10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rPr>
              <w:t>32,900</w:t>
            </w:r>
          </w:p>
        </w:tc>
        <w:tc>
          <w:tcPr>
            <w:tcW w:w="10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56"/>
        </w:trPr>
        <w:tc>
          <w:tcPr>
            <w:tcW w:w="5760" w:type="dxa"/>
            <w:vAlign w:val="bottom"/>
          </w:tcPr>
          <w:p>
            <w:pPr>
              <w:spacing w:after="0" w:line="156" w:lineRule="exact"/>
              <w:rPr>
                <w:sz w:val="20"/>
                <w:szCs w:val="20"/>
                <w:color w:val="auto"/>
              </w:rPr>
            </w:pPr>
            <w:r>
              <w:rPr>
                <w:rFonts w:ascii="Arial" w:cs="Arial" w:eastAsia="Arial" w:hAnsi="Arial"/>
                <w:sz w:val="15"/>
                <w:szCs w:val="15"/>
                <w:color w:val="auto"/>
              </w:rPr>
              <w:t>CASH, CASH EQUIVALENTS AND RESTRICTED CASH — End of</w:t>
            </w:r>
          </w:p>
        </w:tc>
        <w:tc>
          <w:tcPr>
            <w:tcW w:w="98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5"/>
        </w:trPr>
        <w:tc>
          <w:tcPr>
            <w:tcW w:w="5760" w:type="dxa"/>
            <w:vAlign w:val="bottom"/>
          </w:tcPr>
          <w:p>
            <w:pPr>
              <w:ind w:left="120"/>
              <w:spacing w:after="0"/>
              <w:rPr>
                <w:sz w:val="20"/>
                <w:szCs w:val="20"/>
                <w:color w:val="auto"/>
              </w:rPr>
            </w:pPr>
            <w:r>
              <w:rPr>
                <w:rFonts w:ascii="Arial" w:cs="Arial" w:eastAsia="Arial" w:hAnsi="Arial"/>
                <w:sz w:val="15"/>
                <w:szCs w:val="15"/>
                <w:color w:val="auto"/>
              </w:rPr>
              <w:t>period</w:t>
            </w:r>
          </w:p>
        </w:tc>
        <w:tc>
          <w:tcPr>
            <w:tcW w:w="1780" w:type="dxa"/>
            <w:vAlign w:val="bottom"/>
            <w:gridSpan w:val="2"/>
          </w:tcPr>
          <w:p>
            <w:pPr>
              <w:jc w:val="right"/>
              <w:ind w:right="657"/>
              <w:spacing w:after="0"/>
              <w:rPr>
                <w:sz w:val="20"/>
                <w:szCs w:val="20"/>
                <w:color w:val="auto"/>
              </w:rPr>
            </w:pPr>
            <w:r>
              <w:rPr>
                <w:rFonts w:ascii="Arial" w:cs="Arial" w:eastAsia="Arial" w:hAnsi="Arial"/>
                <w:sz w:val="15"/>
                <w:szCs w:val="15"/>
                <w:color w:val="auto"/>
              </w:rPr>
              <w:t>$</w:t>
            </w:r>
          </w:p>
        </w:tc>
        <w:tc>
          <w:tcPr>
            <w:tcW w:w="540" w:type="dxa"/>
            <w:vAlign w:val="bottom"/>
          </w:tcPr>
          <w:p>
            <w:pPr>
              <w:jc w:val="right"/>
              <w:spacing w:after="0"/>
              <w:rPr>
                <w:sz w:val="20"/>
                <w:szCs w:val="20"/>
                <w:color w:val="auto"/>
              </w:rPr>
            </w:pPr>
            <w:r>
              <w:rPr>
                <w:rFonts w:ascii="Arial" w:cs="Arial" w:eastAsia="Arial" w:hAnsi="Arial"/>
                <w:sz w:val="15"/>
                <w:szCs w:val="15"/>
                <w:color w:val="auto"/>
              </w:rPr>
              <w:t>23,645</w:t>
            </w:r>
          </w:p>
        </w:tc>
        <w:tc>
          <w:tcPr>
            <w:tcW w:w="140" w:type="dxa"/>
            <w:vAlign w:val="bottom"/>
          </w:tcPr>
          <w:p>
            <w:pPr>
              <w:spacing w:after="0"/>
              <w:rPr>
                <w:sz w:val="18"/>
                <w:szCs w:val="18"/>
                <w:color w:val="auto"/>
              </w:rPr>
            </w:pPr>
          </w:p>
        </w:tc>
        <w:tc>
          <w:tcPr>
            <w:tcW w:w="440" w:type="dxa"/>
            <w:vAlign w:val="bottom"/>
            <w:gridSpan w:val="2"/>
          </w:tcPr>
          <w:p>
            <w:pPr>
              <w:ind w:left="120"/>
              <w:spacing w:after="0"/>
              <w:rPr>
                <w:sz w:val="20"/>
                <w:szCs w:val="20"/>
                <w:color w:val="auto"/>
              </w:rPr>
            </w:pPr>
            <w:r>
              <w:rPr>
                <w:rFonts w:ascii="Arial" w:cs="Arial" w:eastAsia="Arial" w:hAnsi="Arial"/>
                <w:sz w:val="15"/>
                <w:szCs w:val="15"/>
                <w:color w:val="auto"/>
              </w:rPr>
              <w:t>$</w:t>
            </w:r>
          </w:p>
        </w:tc>
        <w:tc>
          <w:tcPr>
            <w:tcW w:w="1040" w:type="dxa"/>
            <w:vAlign w:val="bottom"/>
          </w:tcPr>
          <w:p>
            <w:pPr>
              <w:jc w:val="right"/>
              <w:spacing w:after="0"/>
              <w:rPr>
                <w:sz w:val="20"/>
                <w:szCs w:val="20"/>
                <w:color w:val="auto"/>
              </w:rPr>
            </w:pPr>
            <w:r>
              <w:rPr>
                <w:rFonts w:ascii="Arial" w:cs="Arial" w:eastAsia="Arial" w:hAnsi="Arial"/>
                <w:sz w:val="15"/>
                <w:szCs w:val="15"/>
                <w:color w:val="auto"/>
              </w:rPr>
              <w:t>12,006</w:t>
            </w:r>
          </w:p>
        </w:tc>
        <w:tc>
          <w:tcPr>
            <w:tcW w:w="260" w:type="dxa"/>
            <w:vAlign w:val="bottom"/>
          </w:tcPr>
          <w:p>
            <w:pPr>
              <w:spacing w:after="0"/>
              <w:rPr>
                <w:sz w:val="18"/>
                <w:szCs w:val="18"/>
                <w:color w:val="auto"/>
              </w:rPr>
            </w:pPr>
          </w:p>
        </w:tc>
        <w:tc>
          <w:tcPr>
            <w:tcW w:w="320" w:type="dxa"/>
            <w:vAlign w:val="bottom"/>
          </w:tcPr>
          <w:p>
            <w:pPr>
              <w:jc w:val="right"/>
              <w:ind w:right="163"/>
              <w:spacing w:after="0"/>
              <w:rPr>
                <w:sz w:val="20"/>
                <w:szCs w:val="20"/>
                <w:color w:val="auto"/>
              </w:rPr>
            </w:pPr>
            <w:r>
              <w:rPr>
                <w:rFonts w:ascii="Arial" w:cs="Arial" w:eastAsia="Arial" w:hAnsi="Arial"/>
                <w:sz w:val="15"/>
                <w:szCs w:val="15"/>
                <w:color w:val="auto"/>
                <w:w w:val="71"/>
              </w:rPr>
              <w:t>$</w:t>
            </w:r>
          </w:p>
        </w:tc>
        <w:tc>
          <w:tcPr>
            <w:tcW w:w="1040" w:type="dxa"/>
            <w:vAlign w:val="bottom"/>
          </w:tcPr>
          <w:p>
            <w:pPr>
              <w:jc w:val="right"/>
              <w:spacing w:after="0"/>
              <w:rPr>
                <w:sz w:val="20"/>
                <w:szCs w:val="20"/>
                <w:color w:val="auto"/>
              </w:rPr>
            </w:pPr>
            <w:r>
              <w:rPr>
                <w:rFonts w:ascii="Arial" w:cs="Arial" w:eastAsia="Arial" w:hAnsi="Arial"/>
                <w:sz w:val="15"/>
                <w:szCs w:val="15"/>
                <w:color w:val="auto"/>
              </w:rPr>
              <w:t>17,227</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56"/>
        </w:trPr>
        <w:tc>
          <w:tcPr>
            <w:tcW w:w="5760" w:type="dxa"/>
            <w:vAlign w:val="bottom"/>
            <w:tcBorders>
              <w:top w:val="single" w:sz="8" w:color="CFF0FC"/>
            </w:tcBorders>
            <w:shd w:val="clear" w:color="auto" w:fill="CFF0FC"/>
          </w:tcPr>
          <w:p>
            <w:pPr>
              <w:spacing w:after="0" w:line="156" w:lineRule="exact"/>
              <w:rPr>
                <w:sz w:val="20"/>
                <w:szCs w:val="20"/>
                <w:color w:val="auto"/>
              </w:rPr>
            </w:pPr>
            <w:r>
              <w:rPr>
                <w:rFonts w:ascii="Arial" w:cs="Arial" w:eastAsia="Arial" w:hAnsi="Arial"/>
                <w:sz w:val="15"/>
                <w:szCs w:val="15"/>
                <w:b w:val="1"/>
                <w:bCs w:val="1"/>
                <w:color w:val="auto"/>
              </w:rPr>
              <w:t>SUPPLEMENTAL DISCLOSURES OF CASH FLOW INFORMATION:</w:t>
            </w:r>
          </w:p>
        </w:tc>
        <w:tc>
          <w:tcPr>
            <w:tcW w:w="980" w:type="dxa"/>
            <w:vAlign w:val="bottom"/>
            <w:tcBorders>
              <w:top w:val="single" w:sz="8" w:color="CFF0FC"/>
            </w:tcBorders>
            <w:shd w:val="clear" w:color="auto" w:fill="CFF0FC"/>
          </w:tcPr>
          <w:p>
            <w:pPr>
              <w:spacing w:after="0"/>
              <w:rPr>
                <w:sz w:val="13"/>
                <w:szCs w:val="13"/>
                <w:color w:val="auto"/>
              </w:rPr>
            </w:pPr>
          </w:p>
        </w:tc>
        <w:tc>
          <w:tcPr>
            <w:tcW w:w="800" w:type="dxa"/>
            <w:vAlign w:val="bottom"/>
            <w:tcBorders>
              <w:top w:val="single" w:sz="8" w:color="auto"/>
            </w:tcBorders>
            <w:shd w:val="clear" w:color="auto" w:fill="CFF0FC"/>
          </w:tcPr>
          <w:p>
            <w:pPr>
              <w:spacing w:after="0"/>
              <w:rPr>
                <w:sz w:val="13"/>
                <w:szCs w:val="13"/>
                <w:color w:val="auto"/>
              </w:rPr>
            </w:pPr>
          </w:p>
        </w:tc>
        <w:tc>
          <w:tcPr>
            <w:tcW w:w="540" w:type="dxa"/>
            <w:vAlign w:val="bottom"/>
            <w:tcBorders>
              <w:top w:val="single" w:sz="8" w:color="auto"/>
            </w:tcBorders>
            <w:shd w:val="clear" w:color="auto" w:fill="CFF0FC"/>
          </w:tcPr>
          <w:p>
            <w:pPr>
              <w:spacing w:after="0"/>
              <w:rPr>
                <w:sz w:val="13"/>
                <w:szCs w:val="13"/>
                <w:color w:val="auto"/>
              </w:rPr>
            </w:pPr>
          </w:p>
        </w:tc>
        <w:tc>
          <w:tcPr>
            <w:tcW w:w="140" w:type="dxa"/>
            <w:vAlign w:val="bottom"/>
            <w:tcBorders>
              <w:top w:val="single" w:sz="8" w:color="CFF0FC"/>
            </w:tcBorders>
            <w:shd w:val="clear" w:color="auto" w:fill="CFF0FC"/>
          </w:tcPr>
          <w:p>
            <w:pPr>
              <w:spacing w:after="0"/>
              <w:rPr>
                <w:sz w:val="13"/>
                <w:szCs w:val="13"/>
                <w:color w:val="auto"/>
              </w:rPr>
            </w:pPr>
          </w:p>
        </w:tc>
        <w:tc>
          <w:tcPr>
            <w:tcW w:w="120" w:type="dxa"/>
            <w:vAlign w:val="bottom"/>
            <w:tcBorders>
              <w:top w:val="single" w:sz="8" w:color="CFF0FC"/>
            </w:tcBorders>
            <w:shd w:val="clear" w:color="auto" w:fill="CFF0FC"/>
          </w:tcPr>
          <w:p>
            <w:pPr>
              <w:spacing w:after="0"/>
              <w:rPr>
                <w:sz w:val="13"/>
                <w:szCs w:val="13"/>
                <w:color w:val="auto"/>
              </w:rPr>
            </w:pPr>
          </w:p>
        </w:tc>
        <w:tc>
          <w:tcPr>
            <w:tcW w:w="320" w:type="dxa"/>
            <w:vAlign w:val="bottom"/>
            <w:tcBorders>
              <w:top w:val="single" w:sz="8" w:color="auto"/>
            </w:tcBorders>
            <w:shd w:val="clear" w:color="auto" w:fill="CFF0FC"/>
          </w:tcPr>
          <w:p>
            <w:pPr>
              <w:spacing w:after="0"/>
              <w:rPr>
                <w:sz w:val="13"/>
                <w:szCs w:val="13"/>
                <w:color w:val="auto"/>
              </w:rPr>
            </w:pPr>
          </w:p>
        </w:tc>
        <w:tc>
          <w:tcPr>
            <w:tcW w:w="1040" w:type="dxa"/>
            <w:vAlign w:val="bottom"/>
            <w:tcBorders>
              <w:top w:val="single" w:sz="8" w:color="auto"/>
            </w:tcBorders>
            <w:shd w:val="clear" w:color="auto" w:fill="CFF0FC"/>
          </w:tcPr>
          <w:p>
            <w:pPr>
              <w:spacing w:after="0"/>
              <w:rPr>
                <w:sz w:val="13"/>
                <w:szCs w:val="13"/>
                <w:color w:val="auto"/>
              </w:rPr>
            </w:pPr>
          </w:p>
        </w:tc>
        <w:tc>
          <w:tcPr>
            <w:tcW w:w="260" w:type="dxa"/>
            <w:vAlign w:val="bottom"/>
            <w:tcBorders>
              <w:top w:val="single" w:sz="8" w:color="CFF0FC"/>
            </w:tcBorders>
            <w:shd w:val="clear" w:color="auto" w:fill="CFF0FC"/>
          </w:tcPr>
          <w:p>
            <w:pPr>
              <w:spacing w:after="0"/>
              <w:rPr>
                <w:sz w:val="13"/>
                <w:szCs w:val="13"/>
                <w:color w:val="auto"/>
              </w:rPr>
            </w:pPr>
          </w:p>
        </w:tc>
        <w:tc>
          <w:tcPr>
            <w:tcW w:w="320" w:type="dxa"/>
            <w:vAlign w:val="bottom"/>
            <w:tcBorders>
              <w:top w:val="single" w:sz="8" w:color="auto"/>
            </w:tcBorders>
            <w:shd w:val="clear" w:color="auto" w:fill="CFF0FC"/>
          </w:tcPr>
          <w:p>
            <w:pPr>
              <w:spacing w:after="0"/>
              <w:rPr>
                <w:sz w:val="13"/>
                <w:szCs w:val="13"/>
                <w:color w:val="auto"/>
              </w:rPr>
            </w:pPr>
          </w:p>
        </w:tc>
        <w:tc>
          <w:tcPr>
            <w:tcW w:w="1040" w:type="dxa"/>
            <w:vAlign w:val="bottom"/>
            <w:tcBorders>
              <w:top w:val="single" w:sz="8" w:color="auto"/>
            </w:tcBorders>
            <w:shd w:val="clear" w:color="auto" w:fill="CFF0FC"/>
          </w:tcPr>
          <w:p>
            <w:pPr>
              <w:spacing w:after="0"/>
              <w:rPr>
                <w:sz w:val="13"/>
                <w:szCs w:val="13"/>
                <w:color w:val="auto"/>
              </w:rPr>
            </w:pPr>
          </w:p>
        </w:tc>
        <w:tc>
          <w:tcPr>
            <w:tcW w:w="100" w:type="dxa"/>
            <w:vAlign w:val="bottom"/>
            <w:tcBorders>
              <w:top w:val="single" w:sz="8" w:color="CFF0FC"/>
            </w:tcBorders>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76"/>
        </w:trPr>
        <w:tc>
          <w:tcPr>
            <w:tcW w:w="5760" w:type="dxa"/>
            <w:vAlign w:val="bottom"/>
          </w:tcPr>
          <w:p>
            <w:pPr>
              <w:ind w:left="260"/>
              <w:spacing w:after="0"/>
              <w:rPr>
                <w:sz w:val="20"/>
                <w:szCs w:val="20"/>
                <w:color w:val="auto"/>
              </w:rPr>
            </w:pPr>
            <w:r>
              <w:rPr>
                <w:rFonts w:ascii="Arial" w:cs="Arial" w:eastAsia="Arial" w:hAnsi="Arial"/>
                <w:sz w:val="15"/>
                <w:szCs w:val="15"/>
                <w:color w:val="auto"/>
              </w:rPr>
              <w:t>Cash paid for income taxes</w:t>
            </w:r>
          </w:p>
        </w:tc>
        <w:tc>
          <w:tcPr>
            <w:tcW w:w="1780" w:type="dxa"/>
            <w:vAlign w:val="bottom"/>
            <w:gridSpan w:val="2"/>
          </w:tcPr>
          <w:p>
            <w:pPr>
              <w:jc w:val="right"/>
              <w:ind w:right="657"/>
              <w:spacing w:after="0"/>
              <w:rPr>
                <w:sz w:val="20"/>
                <w:szCs w:val="20"/>
                <w:color w:val="auto"/>
              </w:rPr>
            </w:pPr>
            <w:r>
              <w:rPr>
                <w:rFonts w:ascii="Arial" w:cs="Arial" w:eastAsia="Arial" w:hAnsi="Arial"/>
                <w:sz w:val="15"/>
                <w:szCs w:val="15"/>
                <w:color w:val="auto"/>
              </w:rPr>
              <w:t>$</w:t>
            </w:r>
          </w:p>
        </w:tc>
        <w:tc>
          <w:tcPr>
            <w:tcW w:w="540" w:type="dxa"/>
            <w:vAlign w:val="bottom"/>
          </w:tcPr>
          <w:p>
            <w:pPr>
              <w:jc w:val="right"/>
              <w:spacing w:after="0"/>
              <w:rPr>
                <w:sz w:val="20"/>
                <w:szCs w:val="20"/>
                <w:color w:val="auto"/>
              </w:rPr>
            </w:pPr>
            <w:r>
              <w:rPr>
                <w:rFonts w:ascii="Arial" w:cs="Arial" w:eastAsia="Arial" w:hAnsi="Arial"/>
                <w:sz w:val="15"/>
                <w:szCs w:val="15"/>
                <w:color w:val="auto"/>
              </w:rPr>
              <w:t>28</w:t>
            </w:r>
          </w:p>
        </w:tc>
        <w:tc>
          <w:tcPr>
            <w:tcW w:w="140" w:type="dxa"/>
            <w:vAlign w:val="bottom"/>
          </w:tcPr>
          <w:p>
            <w:pPr>
              <w:spacing w:after="0"/>
              <w:rPr>
                <w:sz w:val="15"/>
                <w:szCs w:val="15"/>
                <w:color w:val="auto"/>
              </w:rPr>
            </w:pPr>
          </w:p>
        </w:tc>
        <w:tc>
          <w:tcPr>
            <w:tcW w:w="440" w:type="dxa"/>
            <w:vAlign w:val="bottom"/>
            <w:gridSpan w:val="2"/>
          </w:tcPr>
          <w:p>
            <w:pPr>
              <w:ind w:left="120"/>
              <w:spacing w:after="0"/>
              <w:rPr>
                <w:sz w:val="20"/>
                <w:szCs w:val="20"/>
                <w:color w:val="auto"/>
              </w:rPr>
            </w:pPr>
            <w:r>
              <w:rPr>
                <w:rFonts w:ascii="Arial" w:cs="Arial" w:eastAsia="Arial" w:hAnsi="Arial"/>
                <w:sz w:val="15"/>
                <w:szCs w:val="15"/>
                <w:color w:val="auto"/>
              </w:rPr>
              <w:t>$</w:t>
            </w:r>
          </w:p>
        </w:tc>
        <w:tc>
          <w:tcPr>
            <w:tcW w:w="1040" w:type="dxa"/>
            <w:vAlign w:val="bottom"/>
          </w:tcPr>
          <w:p>
            <w:pPr>
              <w:jc w:val="right"/>
              <w:spacing w:after="0"/>
              <w:rPr>
                <w:sz w:val="20"/>
                <w:szCs w:val="20"/>
                <w:color w:val="auto"/>
              </w:rPr>
            </w:pPr>
            <w:r>
              <w:rPr>
                <w:rFonts w:ascii="Arial" w:cs="Arial" w:eastAsia="Arial" w:hAnsi="Arial"/>
                <w:sz w:val="15"/>
                <w:szCs w:val="15"/>
                <w:color w:val="auto"/>
              </w:rPr>
              <w:t>56</w:t>
            </w:r>
          </w:p>
        </w:tc>
        <w:tc>
          <w:tcPr>
            <w:tcW w:w="260" w:type="dxa"/>
            <w:vAlign w:val="bottom"/>
          </w:tcPr>
          <w:p>
            <w:pPr>
              <w:spacing w:after="0"/>
              <w:rPr>
                <w:sz w:val="15"/>
                <w:szCs w:val="15"/>
                <w:color w:val="auto"/>
              </w:rPr>
            </w:pPr>
          </w:p>
        </w:tc>
        <w:tc>
          <w:tcPr>
            <w:tcW w:w="320" w:type="dxa"/>
            <w:vAlign w:val="bottom"/>
          </w:tcPr>
          <w:p>
            <w:pPr>
              <w:jc w:val="right"/>
              <w:ind w:right="163"/>
              <w:spacing w:after="0"/>
              <w:rPr>
                <w:sz w:val="20"/>
                <w:szCs w:val="20"/>
                <w:color w:val="auto"/>
              </w:rPr>
            </w:pPr>
            <w:r>
              <w:rPr>
                <w:rFonts w:ascii="Arial" w:cs="Arial" w:eastAsia="Arial" w:hAnsi="Arial"/>
                <w:sz w:val="15"/>
                <w:szCs w:val="15"/>
                <w:color w:val="auto"/>
                <w:w w:val="71"/>
              </w:rPr>
              <w:t>$</w:t>
            </w:r>
          </w:p>
        </w:tc>
        <w:tc>
          <w:tcPr>
            <w:tcW w:w="1040" w:type="dxa"/>
            <w:vAlign w:val="bottom"/>
          </w:tcPr>
          <w:p>
            <w:pPr>
              <w:jc w:val="right"/>
              <w:spacing w:after="0"/>
              <w:rPr>
                <w:sz w:val="20"/>
                <w:szCs w:val="20"/>
                <w:color w:val="auto"/>
              </w:rPr>
            </w:pPr>
            <w:r>
              <w:rPr>
                <w:rFonts w:ascii="Arial" w:cs="Arial" w:eastAsia="Arial" w:hAnsi="Arial"/>
                <w:sz w:val="15"/>
                <w:szCs w:val="15"/>
                <w:color w:val="auto"/>
              </w:rPr>
              <w:t>61</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5760" w:type="dxa"/>
            <w:vAlign w:val="bottom"/>
            <w:vMerge w:val="restart"/>
            <w:shd w:val="clear" w:color="auto" w:fill="CFF0FC"/>
          </w:tcPr>
          <w:p>
            <w:pPr>
              <w:ind w:left="260"/>
              <w:spacing w:after="0"/>
              <w:rPr>
                <w:sz w:val="20"/>
                <w:szCs w:val="20"/>
                <w:color w:val="auto"/>
              </w:rPr>
            </w:pPr>
            <w:r>
              <w:rPr>
                <w:rFonts w:ascii="Arial" w:cs="Arial" w:eastAsia="Arial" w:hAnsi="Arial"/>
                <w:sz w:val="15"/>
                <w:szCs w:val="15"/>
                <w:color w:val="auto"/>
              </w:rPr>
              <w:t>Cash paid for interest</w:t>
            </w:r>
          </w:p>
        </w:tc>
        <w:tc>
          <w:tcPr>
            <w:tcW w:w="980" w:type="dxa"/>
            <w:vAlign w:val="bottom"/>
            <w:shd w:val="clear" w:color="auto" w:fill="CFF0FC"/>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40" w:type="dxa"/>
            <w:vAlign w:val="bottom"/>
            <w:shd w:val="clear" w:color="auto" w:fill="CFF0FC"/>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260" w:type="dxa"/>
            <w:vAlign w:val="bottom"/>
            <w:shd w:val="clear" w:color="auto" w:fill="CFF0FC"/>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9"/>
        </w:trPr>
        <w:tc>
          <w:tcPr>
            <w:tcW w:w="5760" w:type="dxa"/>
            <w:vAlign w:val="bottom"/>
            <w:vMerge w:val="continue"/>
            <w:shd w:val="clear" w:color="auto" w:fill="CFF0FC"/>
          </w:tcPr>
          <w:p>
            <w:pPr>
              <w:spacing w:after="0"/>
              <w:rPr>
                <w:sz w:val="14"/>
                <w:szCs w:val="14"/>
                <w:color w:val="auto"/>
              </w:rPr>
            </w:pPr>
          </w:p>
        </w:tc>
        <w:tc>
          <w:tcPr>
            <w:tcW w:w="1780" w:type="dxa"/>
            <w:vAlign w:val="bottom"/>
            <w:gridSpan w:val="2"/>
            <w:shd w:val="clear" w:color="auto" w:fill="CFF0FC"/>
          </w:tcPr>
          <w:p>
            <w:pPr>
              <w:jc w:val="right"/>
              <w:ind w:right="657"/>
              <w:spacing w:after="0" w:line="169" w:lineRule="exact"/>
              <w:rPr>
                <w:sz w:val="20"/>
                <w:szCs w:val="20"/>
                <w:color w:val="auto"/>
              </w:rPr>
            </w:pPr>
            <w:r>
              <w:rPr>
                <w:rFonts w:ascii="Arial" w:cs="Arial" w:eastAsia="Arial" w:hAnsi="Arial"/>
                <w:sz w:val="15"/>
                <w:szCs w:val="15"/>
                <w:color w:val="auto"/>
              </w:rPr>
              <w:t>$</w:t>
            </w:r>
          </w:p>
        </w:tc>
        <w:tc>
          <w:tcPr>
            <w:tcW w:w="540" w:type="dxa"/>
            <w:vAlign w:val="bottom"/>
            <w:shd w:val="clear" w:color="auto" w:fill="CFF0FC"/>
          </w:tcPr>
          <w:p>
            <w:pPr>
              <w:jc w:val="right"/>
              <w:spacing w:after="0" w:line="169" w:lineRule="exact"/>
              <w:rPr>
                <w:sz w:val="20"/>
                <w:szCs w:val="20"/>
                <w:color w:val="auto"/>
              </w:rPr>
            </w:pPr>
            <w:r>
              <w:rPr>
                <w:rFonts w:ascii="Arial" w:cs="Arial" w:eastAsia="Arial" w:hAnsi="Arial"/>
                <w:sz w:val="15"/>
                <w:szCs w:val="15"/>
                <w:color w:val="auto"/>
              </w:rPr>
              <w:t>1,497</w:t>
            </w:r>
          </w:p>
        </w:tc>
        <w:tc>
          <w:tcPr>
            <w:tcW w:w="140" w:type="dxa"/>
            <w:vAlign w:val="bottom"/>
            <w:shd w:val="clear" w:color="auto" w:fill="CFF0FC"/>
          </w:tcPr>
          <w:p>
            <w:pPr>
              <w:spacing w:after="0"/>
              <w:rPr>
                <w:sz w:val="14"/>
                <w:szCs w:val="14"/>
                <w:color w:val="auto"/>
              </w:rPr>
            </w:pPr>
          </w:p>
        </w:tc>
        <w:tc>
          <w:tcPr>
            <w:tcW w:w="440" w:type="dxa"/>
            <w:vAlign w:val="bottom"/>
            <w:gridSpan w:val="2"/>
            <w:shd w:val="clear" w:color="auto" w:fill="CFF0FC"/>
          </w:tcPr>
          <w:p>
            <w:pPr>
              <w:ind w:left="120"/>
              <w:spacing w:after="0" w:line="169" w:lineRule="exact"/>
              <w:rPr>
                <w:sz w:val="20"/>
                <w:szCs w:val="20"/>
                <w:color w:val="auto"/>
              </w:rPr>
            </w:pPr>
            <w:r>
              <w:rPr>
                <w:rFonts w:ascii="Arial" w:cs="Arial" w:eastAsia="Arial" w:hAnsi="Arial"/>
                <w:sz w:val="15"/>
                <w:szCs w:val="15"/>
                <w:color w:val="auto"/>
              </w:rPr>
              <w:t>$</w:t>
            </w:r>
          </w:p>
        </w:tc>
        <w:tc>
          <w:tcPr>
            <w:tcW w:w="1040" w:type="dxa"/>
            <w:vAlign w:val="bottom"/>
            <w:shd w:val="clear" w:color="auto" w:fill="CFF0FC"/>
          </w:tcPr>
          <w:p>
            <w:pPr>
              <w:jc w:val="right"/>
              <w:spacing w:after="0" w:line="169" w:lineRule="exact"/>
              <w:rPr>
                <w:sz w:val="20"/>
                <w:szCs w:val="20"/>
                <w:color w:val="auto"/>
              </w:rPr>
            </w:pPr>
            <w:r>
              <w:rPr>
                <w:rFonts w:ascii="Arial" w:cs="Arial" w:eastAsia="Arial" w:hAnsi="Arial"/>
                <w:sz w:val="15"/>
                <w:szCs w:val="15"/>
                <w:color w:val="auto"/>
              </w:rPr>
              <w:t>1,738</w:t>
            </w:r>
          </w:p>
        </w:tc>
        <w:tc>
          <w:tcPr>
            <w:tcW w:w="260" w:type="dxa"/>
            <w:vAlign w:val="bottom"/>
            <w:shd w:val="clear" w:color="auto" w:fill="CFF0FC"/>
          </w:tcPr>
          <w:p>
            <w:pPr>
              <w:spacing w:after="0"/>
              <w:rPr>
                <w:sz w:val="14"/>
                <w:szCs w:val="14"/>
                <w:color w:val="auto"/>
              </w:rPr>
            </w:pPr>
          </w:p>
        </w:tc>
        <w:tc>
          <w:tcPr>
            <w:tcW w:w="320" w:type="dxa"/>
            <w:vAlign w:val="bottom"/>
            <w:shd w:val="clear" w:color="auto" w:fill="CFF0FC"/>
          </w:tcPr>
          <w:p>
            <w:pPr>
              <w:jc w:val="right"/>
              <w:ind w:right="163"/>
              <w:spacing w:after="0" w:line="169" w:lineRule="exact"/>
              <w:rPr>
                <w:sz w:val="20"/>
                <w:szCs w:val="20"/>
                <w:color w:val="auto"/>
              </w:rPr>
            </w:pPr>
            <w:r>
              <w:rPr>
                <w:rFonts w:ascii="Arial" w:cs="Arial" w:eastAsia="Arial" w:hAnsi="Arial"/>
                <w:sz w:val="15"/>
                <w:szCs w:val="15"/>
                <w:color w:val="auto"/>
                <w:w w:val="71"/>
              </w:rPr>
              <w:t>$</w:t>
            </w:r>
          </w:p>
        </w:tc>
        <w:tc>
          <w:tcPr>
            <w:tcW w:w="1040" w:type="dxa"/>
            <w:vAlign w:val="bottom"/>
            <w:shd w:val="clear" w:color="auto" w:fill="CFF0FC"/>
          </w:tcPr>
          <w:p>
            <w:pPr>
              <w:jc w:val="right"/>
              <w:spacing w:after="0" w:line="169" w:lineRule="exact"/>
              <w:rPr>
                <w:sz w:val="20"/>
                <w:szCs w:val="20"/>
                <w:color w:val="auto"/>
              </w:rPr>
            </w:pPr>
            <w:r>
              <w:rPr>
                <w:rFonts w:ascii="Arial" w:cs="Arial" w:eastAsia="Arial" w:hAnsi="Arial"/>
                <w:sz w:val="15"/>
                <w:szCs w:val="15"/>
                <w:color w:val="auto"/>
              </w:rPr>
              <w:t>1,452</w:t>
            </w:r>
          </w:p>
        </w:tc>
        <w:tc>
          <w:tcPr>
            <w:tcW w:w="10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52"/>
        </w:trPr>
        <w:tc>
          <w:tcPr>
            <w:tcW w:w="5760" w:type="dxa"/>
            <w:vAlign w:val="bottom"/>
          </w:tcPr>
          <w:p>
            <w:pPr>
              <w:spacing w:after="0" w:line="152" w:lineRule="exact"/>
              <w:rPr>
                <w:sz w:val="20"/>
                <w:szCs w:val="20"/>
                <w:color w:val="auto"/>
              </w:rPr>
            </w:pPr>
            <w:r>
              <w:rPr>
                <w:rFonts w:ascii="Arial" w:cs="Arial" w:eastAsia="Arial" w:hAnsi="Arial"/>
                <w:sz w:val="15"/>
                <w:szCs w:val="15"/>
                <w:b w:val="1"/>
                <w:bCs w:val="1"/>
                <w:color w:val="auto"/>
              </w:rPr>
              <w:t>SUPPLEMENTAL DISCLOSURES OF NON-CASH INVESTING AND</w:t>
            </w:r>
          </w:p>
        </w:tc>
        <w:tc>
          <w:tcPr>
            <w:tcW w:w="980" w:type="dxa"/>
            <w:vAlign w:val="bottom"/>
          </w:tcPr>
          <w:p>
            <w:pPr>
              <w:spacing w:after="0"/>
              <w:rPr>
                <w:sz w:val="13"/>
                <w:szCs w:val="13"/>
                <w:color w:val="auto"/>
              </w:rPr>
            </w:pPr>
          </w:p>
        </w:tc>
        <w:tc>
          <w:tcPr>
            <w:tcW w:w="800" w:type="dxa"/>
            <w:vAlign w:val="bottom"/>
            <w:tcBorders>
              <w:top w:val="single" w:sz="8" w:color="auto"/>
            </w:tcBorders>
          </w:tcPr>
          <w:p>
            <w:pPr>
              <w:spacing w:after="0"/>
              <w:rPr>
                <w:sz w:val="13"/>
                <w:szCs w:val="13"/>
                <w:color w:val="auto"/>
              </w:rPr>
            </w:pPr>
          </w:p>
        </w:tc>
        <w:tc>
          <w:tcPr>
            <w:tcW w:w="540" w:type="dxa"/>
            <w:vAlign w:val="bottom"/>
            <w:tcBorders>
              <w:top w:val="single" w:sz="8" w:color="auto"/>
            </w:tcBorders>
          </w:tcPr>
          <w:p>
            <w:pPr>
              <w:spacing w:after="0"/>
              <w:rPr>
                <w:sz w:val="13"/>
                <w:szCs w:val="13"/>
                <w:color w:val="auto"/>
              </w:rPr>
            </w:pPr>
          </w:p>
        </w:tc>
        <w:tc>
          <w:tcPr>
            <w:tcW w:w="1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20" w:type="dxa"/>
            <w:vAlign w:val="bottom"/>
            <w:tcBorders>
              <w:top w:val="single" w:sz="8" w:color="auto"/>
            </w:tcBorders>
          </w:tcPr>
          <w:p>
            <w:pPr>
              <w:spacing w:after="0"/>
              <w:rPr>
                <w:sz w:val="13"/>
                <w:szCs w:val="13"/>
                <w:color w:val="auto"/>
              </w:rPr>
            </w:pPr>
          </w:p>
        </w:tc>
        <w:tc>
          <w:tcPr>
            <w:tcW w:w="1040" w:type="dxa"/>
            <w:vAlign w:val="bottom"/>
            <w:tcBorders>
              <w:top w:val="single" w:sz="8" w:color="auto"/>
            </w:tcBorders>
          </w:tcPr>
          <w:p>
            <w:pPr>
              <w:spacing w:after="0"/>
              <w:rPr>
                <w:sz w:val="13"/>
                <w:szCs w:val="13"/>
                <w:color w:val="auto"/>
              </w:rPr>
            </w:pPr>
          </w:p>
        </w:tc>
        <w:tc>
          <w:tcPr>
            <w:tcW w:w="260" w:type="dxa"/>
            <w:vAlign w:val="bottom"/>
          </w:tcPr>
          <w:p>
            <w:pPr>
              <w:spacing w:after="0"/>
              <w:rPr>
                <w:sz w:val="13"/>
                <w:szCs w:val="13"/>
                <w:color w:val="auto"/>
              </w:rPr>
            </w:pPr>
          </w:p>
        </w:tc>
        <w:tc>
          <w:tcPr>
            <w:tcW w:w="320" w:type="dxa"/>
            <w:vAlign w:val="bottom"/>
            <w:tcBorders>
              <w:top w:val="single" w:sz="8" w:color="auto"/>
            </w:tcBorders>
          </w:tcPr>
          <w:p>
            <w:pPr>
              <w:spacing w:after="0"/>
              <w:rPr>
                <w:sz w:val="13"/>
                <w:szCs w:val="13"/>
                <w:color w:val="auto"/>
              </w:rPr>
            </w:pPr>
          </w:p>
        </w:tc>
        <w:tc>
          <w:tcPr>
            <w:tcW w:w="104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9"/>
        </w:trPr>
        <w:tc>
          <w:tcPr>
            <w:tcW w:w="5760" w:type="dxa"/>
            <w:vAlign w:val="bottom"/>
          </w:tcPr>
          <w:p>
            <w:pPr>
              <w:ind w:left="120"/>
              <w:spacing w:after="0"/>
              <w:rPr>
                <w:sz w:val="20"/>
                <w:szCs w:val="20"/>
                <w:color w:val="auto"/>
              </w:rPr>
            </w:pPr>
            <w:r>
              <w:rPr>
                <w:rFonts w:ascii="Arial" w:cs="Arial" w:eastAsia="Arial" w:hAnsi="Arial"/>
                <w:sz w:val="15"/>
                <w:szCs w:val="15"/>
                <w:b w:val="1"/>
                <w:bCs w:val="1"/>
                <w:color w:val="auto"/>
              </w:rPr>
              <w:t>FINANCING INFORMATION:</w:t>
            </w:r>
          </w:p>
        </w:tc>
        <w:tc>
          <w:tcPr>
            <w:tcW w:w="98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5760" w:type="dxa"/>
            <w:vAlign w:val="bottom"/>
            <w:shd w:val="clear" w:color="auto" w:fill="CFF0FC"/>
          </w:tcPr>
          <w:p>
            <w:pPr>
              <w:ind w:left="260"/>
              <w:spacing w:after="0"/>
              <w:rPr>
                <w:sz w:val="20"/>
                <w:szCs w:val="20"/>
                <w:color w:val="auto"/>
              </w:rPr>
            </w:pPr>
            <w:r>
              <w:rPr>
                <w:rFonts w:ascii="Arial" w:cs="Arial" w:eastAsia="Arial" w:hAnsi="Arial"/>
                <w:sz w:val="15"/>
                <w:szCs w:val="15"/>
                <w:color w:val="auto"/>
              </w:rPr>
              <w:t>Vesting of shares purchased under an early exercise of stock options</w:t>
            </w:r>
          </w:p>
        </w:tc>
        <w:tc>
          <w:tcPr>
            <w:tcW w:w="1780" w:type="dxa"/>
            <w:vAlign w:val="bottom"/>
            <w:gridSpan w:val="2"/>
            <w:shd w:val="clear" w:color="auto" w:fill="CFF0FC"/>
          </w:tcPr>
          <w:p>
            <w:pPr>
              <w:jc w:val="right"/>
              <w:ind w:right="657"/>
              <w:spacing w:after="0"/>
              <w:rPr>
                <w:sz w:val="20"/>
                <w:szCs w:val="20"/>
                <w:color w:val="auto"/>
              </w:rPr>
            </w:pPr>
            <w:r>
              <w:rPr>
                <w:rFonts w:ascii="Arial" w:cs="Arial" w:eastAsia="Arial" w:hAnsi="Arial"/>
                <w:sz w:val="15"/>
                <w:szCs w:val="15"/>
                <w:color w:val="auto"/>
              </w:rPr>
              <w:t>$</w:t>
            </w:r>
          </w:p>
        </w:tc>
        <w:tc>
          <w:tcPr>
            <w:tcW w:w="680" w:type="dxa"/>
            <w:vAlign w:val="bottom"/>
            <w:gridSpan w:val="2"/>
            <w:shd w:val="clear" w:color="auto" w:fill="CFF0FC"/>
          </w:tcPr>
          <w:p>
            <w:pPr>
              <w:jc w:val="right"/>
              <w:ind w:right="160"/>
              <w:spacing w:after="0"/>
              <w:rPr>
                <w:sz w:val="20"/>
                <w:szCs w:val="20"/>
                <w:color w:val="auto"/>
              </w:rPr>
            </w:pPr>
            <w:r>
              <w:rPr>
                <w:rFonts w:ascii="Arial" w:cs="Arial" w:eastAsia="Arial" w:hAnsi="Arial"/>
                <w:sz w:val="15"/>
                <w:szCs w:val="15"/>
                <w:color w:val="auto"/>
              </w:rPr>
              <w:t>—</w:t>
            </w:r>
          </w:p>
        </w:tc>
        <w:tc>
          <w:tcPr>
            <w:tcW w:w="440" w:type="dxa"/>
            <w:vAlign w:val="bottom"/>
            <w:gridSpan w:val="2"/>
            <w:shd w:val="clear" w:color="auto" w:fill="CFF0FC"/>
          </w:tcPr>
          <w:p>
            <w:pPr>
              <w:ind w:left="120"/>
              <w:spacing w:after="0"/>
              <w:rPr>
                <w:sz w:val="20"/>
                <w:szCs w:val="20"/>
                <w:color w:val="auto"/>
              </w:rPr>
            </w:pPr>
            <w:r>
              <w:rPr>
                <w:rFonts w:ascii="Arial" w:cs="Arial" w:eastAsia="Arial" w:hAnsi="Arial"/>
                <w:sz w:val="15"/>
                <w:szCs w:val="15"/>
                <w:color w:val="auto"/>
              </w:rPr>
              <w:t>$</w:t>
            </w:r>
          </w:p>
        </w:tc>
        <w:tc>
          <w:tcPr>
            <w:tcW w:w="1300" w:type="dxa"/>
            <w:vAlign w:val="bottom"/>
            <w:gridSpan w:val="2"/>
            <w:shd w:val="clear" w:color="auto" w:fill="CFF0FC"/>
          </w:tcPr>
          <w:p>
            <w:pPr>
              <w:jc w:val="right"/>
              <w:ind w:right="280"/>
              <w:spacing w:after="0"/>
              <w:rPr>
                <w:sz w:val="20"/>
                <w:szCs w:val="20"/>
                <w:color w:val="auto"/>
              </w:rPr>
            </w:pPr>
            <w:r>
              <w:rPr>
                <w:rFonts w:ascii="Arial" w:cs="Arial" w:eastAsia="Arial" w:hAnsi="Arial"/>
                <w:sz w:val="15"/>
                <w:szCs w:val="15"/>
                <w:color w:val="auto"/>
              </w:rPr>
              <w:t>—</w:t>
            </w:r>
          </w:p>
        </w:tc>
        <w:tc>
          <w:tcPr>
            <w:tcW w:w="320" w:type="dxa"/>
            <w:vAlign w:val="bottom"/>
            <w:shd w:val="clear" w:color="auto" w:fill="CFF0FC"/>
          </w:tcPr>
          <w:p>
            <w:pPr>
              <w:jc w:val="right"/>
              <w:ind w:right="163"/>
              <w:spacing w:after="0"/>
              <w:rPr>
                <w:sz w:val="20"/>
                <w:szCs w:val="20"/>
                <w:color w:val="auto"/>
              </w:rPr>
            </w:pPr>
            <w:r>
              <w:rPr>
                <w:rFonts w:ascii="Arial" w:cs="Arial" w:eastAsia="Arial" w:hAnsi="Arial"/>
                <w:sz w:val="15"/>
                <w:szCs w:val="15"/>
                <w:color w:val="auto"/>
                <w:w w:val="71"/>
              </w:rPr>
              <w:t>$</w:t>
            </w:r>
          </w:p>
        </w:tc>
        <w:tc>
          <w:tcPr>
            <w:tcW w:w="1040" w:type="dxa"/>
            <w:vAlign w:val="bottom"/>
            <w:shd w:val="clear" w:color="auto" w:fill="CFF0FC"/>
          </w:tcPr>
          <w:p>
            <w:pPr>
              <w:jc w:val="right"/>
              <w:spacing w:after="0"/>
              <w:rPr>
                <w:sz w:val="20"/>
                <w:szCs w:val="20"/>
                <w:color w:val="auto"/>
              </w:rPr>
            </w:pPr>
            <w:r>
              <w:rPr>
                <w:rFonts w:ascii="Arial" w:cs="Arial" w:eastAsia="Arial" w:hAnsi="Arial"/>
                <w:sz w:val="15"/>
                <w:szCs w:val="15"/>
                <w:color w:val="auto"/>
              </w:rPr>
              <w:t>19</w:t>
            </w:r>
          </w:p>
        </w:tc>
        <w:tc>
          <w:tcPr>
            <w:tcW w:w="10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5760" w:type="dxa"/>
            <w:vAlign w:val="bottom"/>
            <w:tcBorders>
              <w:top w:val="single" w:sz="8" w:color="CFF0FC"/>
              <w:bottom w:val="single" w:sz="8" w:color="CFF0FC"/>
            </w:tcBorders>
            <w:vMerge w:val="restart"/>
          </w:tcPr>
          <w:p>
            <w:pPr>
              <w:ind w:left="260"/>
              <w:spacing w:after="0"/>
              <w:rPr>
                <w:sz w:val="20"/>
                <w:szCs w:val="20"/>
                <w:color w:val="auto"/>
              </w:rPr>
            </w:pPr>
            <w:r>
              <w:rPr>
                <w:rFonts w:ascii="Arial" w:cs="Arial" w:eastAsia="Arial" w:hAnsi="Arial"/>
                <w:sz w:val="15"/>
                <w:szCs w:val="15"/>
                <w:color w:val="auto"/>
              </w:rPr>
              <w:t>Issuance of preferred stock warrants in connection with long-term debt</w:t>
            </w:r>
          </w:p>
        </w:tc>
        <w:tc>
          <w:tcPr>
            <w:tcW w:w="980" w:type="dxa"/>
            <w:vAlign w:val="bottom"/>
            <w:tcBorders>
              <w:top w:val="single" w:sz="8" w:color="CFF0FC"/>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FF0FC"/>
            </w:tcBorders>
          </w:tcPr>
          <w:p>
            <w:pPr>
              <w:spacing w:after="0" w:line="20" w:lineRule="exact"/>
              <w:rPr>
                <w:sz w:val="1"/>
                <w:szCs w:val="1"/>
                <w:color w:val="auto"/>
              </w:rPr>
            </w:pPr>
          </w:p>
        </w:tc>
        <w:tc>
          <w:tcPr>
            <w:tcW w:w="120" w:type="dxa"/>
            <w:vAlign w:val="bottom"/>
            <w:tcBorders>
              <w:top w:val="single" w:sz="8" w:color="CFF0FC"/>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CFF0FC"/>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5760" w:type="dxa"/>
            <w:vAlign w:val="bottom"/>
            <w:vMerge w:val="continue"/>
          </w:tcPr>
          <w:p>
            <w:pPr>
              <w:spacing w:after="0"/>
              <w:rPr>
                <w:sz w:val="15"/>
                <w:szCs w:val="15"/>
                <w:color w:val="auto"/>
              </w:rPr>
            </w:pPr>
          </w:p>
        </w:tc>
        <w:tc>
          <w:tcPr>
            <w:tcW w:w="1780" w:type="dxa"/>
            <w:vAlign w:val="bottom"/>
            <w:gridSpan w:val="2"/>
          </w:tcPr>
          <w:p>
            <w:pPr>
              <w:jc w:val="right"/>
              <w:ind w:right="657"/>
              <w:spacing w:after="0" w:line="156" w:lineRule="exact"/>
              <w:rPr>
                <w:sz w:val="20"/>
                <w:szCs w:val="20"/>
                <w:color w:val="auto"/>
              </w:rPr>
            </w:pPr>
            <w:r>
              <w:rPr>
                <w:rFonts w:ascii="Arial" w:cs="Arial" w:eastAsia="Arial" w:hAnsi="Arial"/>
                <w:sz w:val="15"/>
                <w:szCs w:val="15"/>
                <w:color w:val="auto"/>
              </w:rPr>
              <w:t>$</w:t>
            </w:r>
          </w:p>
        </w:tc>
        <w:tc>
          <w:tcPr>
            <w:tcW w:w="680" w:type="dxa"/>
            <w:vAlign w:val="bottom"/>
            <w:gridSpan w:val="2"/>
          </w:tcPr>
          <w:p>
            <w:pPr>
              <w:jc w:val="right"/>
              <w:ind w:right="160"/>
              <w:spacing w:after="0" w:line="156" w:lineRule="exact"/>
              <w:rPr>
                <w:sz w:val="20"/>
                <w:szCs w:val="20"/>
                <w:color w:val="auto"/>
              </w:rPr>
            </w:pPr>
            <w:r>
              <w:rPr>
                <w:rFonts w:ascii="Arial" w:cs="Arial" w:eastAsia="Arial" w:hAnsi="Arial"/>
                <w:sz w:val="15"/>
                <w:szCs w:val="15"/>
                <w:color w:val="auto"/>
              </w:rPr>
              <w:t>—</w:t>
            </w:r>
          </w:p>
        </w:tc>
        <w:tc>
          <w:tcPr>
            <w:tcW w:w="440" w:type="dxa"/>
            <w:vAlign w:val="bottom"/>
            <w:gridSpan w:val="2"/>
          </w:tcPr>
          <w:p>
            <w:pPr>
              <w:ind w:left="120"/>
              <w:spacing w:after="0" w:line="156" w:lineRule="exact"/>
              <w:rPr>
                <w:sz w:val="20"/>
                <w:szCs w:val="20"/>
                <w:color w:val="auto"/>
              </w:rPr>
            </w:pPr>
            <w:r>
              <w:rPr>
                <w:rFonts w:ascii="Arial" w:cs="Arial" w:eastAsia="Arial" w:hAnsi="Arial"/>
                <w:sz w:val="15"/>
                <w:szCs w:val="15"/>
                <w:color w:val="auto"/>
              </w:rPr>
              <w:t>$</w:t>
            </w:r>
          </w:p>
        </w:tc>
        <w:tc>
          <w:tcPr>
            <w:tcW w:w="1300" w:type="dxa"/>
            <w:vAlign w:val="bottom"/>
            <w:gridSpan w:val="2"/>
          </w:tcPr>
          <w:p>
            <w:pPr>
              <w:jc w:val="right"/>
              <w:ind w:right="280"/>
              <w:spacing w:after="0" w:line="156" w:lineRule="exact"/>
              <w:rPr>
                <w:sz w:val="20"/>
                <w:szCs w:val="20"/>
                <w:color w:val="auto"/>
              </w:rPr>
            </w:pPr>
            <w:r>
              <w:rPr>
                <w:rFonts w:ascii="Arial" w:cs="Arial" w:eastAsia="Arial" w:hAnsi="Arial"/>
                <w:sz w:val="15"/>
                <w:szCs w:val="15"/>
                <w:color w:val="auto"/>
              </w:rPr>
              <w:t>—</w:t>
            </w:r>
          </w:p>
        </w:tc>
        <w:tc>
          <w:tcPr>
            <w:tcW w:w="320" w:type="dxa"/>
            <w:vAlign w:val="bottom"/>
          </w:tcPr>
          <w:p>
            <w:pPr>
              <w:jc w:val="right"/>
              <w:ind w:right="163"/>
              <w:spacing w:after="0" w:line="156" w:lineRule="exact"/>
              <w:rPr>
                <w:sz w:val="20"/>
                <w:szCs w:val="20"/>
                <w:color w:val="auto"/>
              </w:rPr>
            </w:pPr>
            <w:r>
              <w:rPr>
                <w:rFonts w:ascii="Arial" w:cs="Arial" w:eastAsia="Arial" w:hAnsi="Arial"/>
                <w:sz w:val="15"/>
                <w:szCs w:val="15"/>
                <w:color w:val="auto"/>
                <w:w w:val="71"/>
              </w:rPr>
              <w:t>$</w:t>
            </w:r>
          </w:p>
        </w:tc>
        <w:tc>
          <w:tcPr>
            <w:tcW w:w="1040" w:type="dxa"/>
            <w:vAlign w:val="bottom"/>
          </w:tcPr>
          <w:p>
            <w:pPr>
              <w:jc w:val="right"/>
              <w:spacing w:after="0" w:line="156" w:lineRule="exact"/>
              <w:rPr>
                <w:sz w:val="20"/>
                <w:szCs w:val="20"/>
                <w:color w:val="auto"/>
              </w:rPr>
            </w:pPr>
            <w:r>
              <w:rPr>
                <w:rFonts w:ascii="Arial" w:cs="Arial" w:eastAsia="Arial" w:hAnsi="Arial"/>
                <w:sz w:val="15"/>
                <w:szCs w:val="15"/>
                <w:color w:val="auto"/>
              </w:rPr>
              <w:t>256</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5760" w:type="dxa"/>
            <w:vAlign w:val="bottom"/>
            <w:tcBorders>
              <w:top w:val="single" w:sz="8" w:color="CFF0FC"/>
            </w:tcBorders>
            <w:vMerge w:val="restart"/>
            <w:shd w:val="clear" w:color="auto" w:fill="CFF0FC"/>
          </w:tcPr>
          <w:p>
            <w:pPr>
              <w:ind w:left="260"/>
              <w:spacing w:after="0"/>
              <w:rPr>
                <w:sz w:val="20"/>
                <w:szCs w:val="20"/>
                <w:color w:val="auto"/>
              </w:rPr>
            </w:pPr>
            <w:r>
              <w:rPr>
                <w:rFonts w:ascii="Arial" w:cs="Arial" w:eastAsia="Arial" w:hAnsi="Arial"/>
                <w:sz w:val="15"/>
                <w:szCs w:val="15"/>
                <w:color w:val="auto"/>
              </w:rPr>
              <w:t>Conversion of preferred stock into common stock</w:t>
            </w:r>
          </w:p>
        </w:tc>
        <w:tc>
          <w:tcPr>
            <w:tcW w:w="980" w:type="dxa"/>
            <w:vAlign w:val="bottom"/>
            <w:tcBorders>
              <w:top w:val="single" w:sz="8" w:color="CFF0FC"/>
            </w:tcBorders>
            <w:shd w:val="clear" w:color="auto" w:fill="CFF0FC"/>
          </w:tcPr>
          <w:p>
            <w:pPr>
              <w:spacing w:after="0" w:line="20" w:lineRule="exact"/>
              <w:rPr>
                <w:sz w:val="1"/>
                <w:szCs w:val="1"/>
                <w:color w:val="auto"/>
              </w:rPr>
            </w:pPr>
          </w:p>
        </w:tc>
        <w:tc>
          <w:tcPr>
            <w:tcW w:w="800" w:type="dxa"/>
            <w:vAlign w:val="bottom"/>
            <w:tcBorders>
              <w:top w:val="single" w:sz="8" w:color="auto"/>
            </w:tcBorders>
            <w:shd w:val="clear" w:color="auto" w:fill="000000"/>
          </w:tcPr>
          <w:p>
            <w:pPr>
              <w:spacing w:after="0" w:line="20" w:lineRule="exact"/>
              <w:rPr>
                <w:sz w:val="1"/>
                <w:szCs w:val="1"/>
                <w:color w:val="auto"/>
              </w:rPr>
            </w:pPr>
          </w:p>
        </w:tc>
        <w:tc>
          <w:tcPr>
            <w:tcW w:w="54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FF0FC"/>
            </w:tcBorders>
            <w:shd w:val="clear" w:color="auto" w:fill="CFF0FC"/>
          </w:tcPr>
          <w:p>
            <w:pPr>
              <w:spacing w:after="0" w:line="20" w:lineRule="exact"/>
              <w:rPr>
                <w:sz w:val="1"/>
                <w:szCs w:val="1"/>
                <w:color w:val="auto"/>
              </w:rPr>
            </w:pPr>
          </w:p>
        </w:tc>
        <w:tc>
          <w:tcPr>
            <w:tcW w:w="120" w:type="dxa"/>
            <w:vAlign w:val="bottom"/>
            <w:tcBorders>
              <w:top w:val="single" w:sz="8" w:color="CFF0FC"/>
            </w:tcBorders>
            <w:shd w:val="clear" w:color="auto" w:fill="CFF0FC"/>
          </w:tcPr>
          <w:p>
            <w:pPr>
              <w:spacing w:after="0" w:line="20" w:lineRule="exact"/>
              <w:rPr>
                <w:sz w:val="1"/>
                <w:szCs w:val="1"/>
                <w:color w:val="auto"/>
              </w:rPr>
            </w:pPr>
          </w:p>
        </w:tc>
        <w:tc>
          <w:tcPr>
            <w:tcW w:w="320" w:type="dxa"/>
            <w:vAlign w:val="bottom"/>
            <w:tcBorders>
              <w:top w:val="single" w:sz="8" w:color="auto"/>
            </w:tcBorders>
            <w:shd w:val="clear" w:color="auto" w:fill="000000"/>
          </w:tcPr>
          <w:p>
            <w:pPr>
              <w:spacing w:after="0" w:line="20" w:lineRule="exact"/>
              <w:rPr>
                <w:sz w:val="1"/>
                <w:szCs w:val="1"/>
                <w:color w:val="auto"/>
              </w:rPr>
            </w:pPr>
          </w:p>
        </w:tc>
        <w:tc>
          <w:tcPr>
            <w:tcW w:w="1040" w:type="dxa"/>
            <w:vAlign w:val="bottom"/>
            <w:tcBorders>
              <w:top w:val="single" w:sz="8" w:color="auto"/>
            </w:tcBorders>
            <w:shd w:val="clear" w:color="auto" w:fill="000000"/>
          </w:tcPr>
          <w:p>
            <w:pPr>
              <w:spacing w:after="0" w:line="20" w:lineRule="exact"/>
              <w:rPr>
                <w:sz w:val="1"/>
                <w:szCs w:val="1"/>
                <w:color w:val="auto"/>
              </w:rPr>
            </w:pPr>
          </w:p>
        </w:tc>
        <w:tc>
          <w:tcPr>
            <w:tcW w:w="260" w:type="dxa"/>
            <w:vAlign w:val="bottom"/>
            <w:tcBorders>
              <w:top w:val="single" w:sz="8" w:color="CFF0FC"/>
            </w:tcBorders>
            <w:shd w:val="clear" w:color="auto" w:fill="CFF0FC"/>
          </w:tcPr>
          <w:p>
            <w:pPr>
              <w:spacing w:after="0" w:line="20" w:lineRule="exact"/>
              <w:rPr>
                <w:sz w:val="1"/>
                <w:szCs w:val="1"/>
                <w:color w:val="auto"/>
              </w:rPr>
            </w:pPr>
          </w:p>
        </w:tc>
        <w:tc>
          <w:tcPr>
            <w:tcW w:w="320" w:type="dxa"/>
            <w:vAlign w:val="bottom"/>
            <w:tcBorders>
              <w:top w:val="single" w:sz="8" w:color="auto"/>
            </w:tcBorders>
            <w:shd w:val="clear" w:color="auto" w:fill="000000"/>
          </w:tcPr>
          <w:p>
            <w:pPr>
              <w:spacing w:after="0" w:line="20" w:lineRule="exact"/>
              <w:rPr>
                <w:sz w:val="1"/>
                <w:szCs w:val="1"/>
                <w:color w:val="auto"/>
              </w:rPr>
            </w:pPr>
          </w:p>
        </w:tc>
        <w:tc>
          <w:tcPr>
            <w:tcW w:w="104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5760" w:type="dxa"/>
            <w:vAlign w:val="bottom"/>
            <w:vMerge w:val="continue"/>
            <w:shd w:val="clear" w:color="auto" w:fill="CFF0FC"/>
          </w:tcPr>
          <w:p>
            <w:pPr>
              <w:spacing w:after="0"/>
              <w:rPr>
                <w:sz w:val="13"/>
                <w:szCs w:val="13"/>
                <w:color w:val="auto"/>
              </w:rPr>
            </w:pPr>
          </w:p>
        </w:tc>
        <w:tc>
          <w:tcPr>
            <w:tcW w:w="1780" w:type="dxa"/>
            <w:vAlign w:val="bottom"/>
            <w:gridSpan w:val="2"/>
            <w:shd w:val="clear" w:color="auto" w:fill="CFF0FC"/>
          </w:tcPr>
          <w:p>
            <w:pPr>
              <w:jc w:val="right"/>
              <w:ind w:right="657"/>
              <w:spacing w:after="0" w:line="156" w:lineRule="exact"/>
              <w:rPr>
                <w:sz w:val="20"/>
                <w:szCs w:val="20"/>
                <w:color w:val="auto"/>
              </w:rPr>
            </w:pPr>
            <w:r>
              <w:rPr>
                <w:rFonts w:ascii="Arial" w:cs="Arial" w:eastAsia="Arial" w:hAnsi="Arial"/>
                <w:sz w:val="15"/>
                <w:szCs w:val="15"/>
                <w:color w:val="auto"/>
              </w:rPr>
              <w:t>$</w:t>
            </w:r>
          </w:p>
        </w:tc>
        <w:tc>
          <w:tcPr>
            <w:tcW w:w="540" w:type="dxa"/>
            <w:vAlign w:val="bottom"/>
            <w:shd w:val="clear" w:color="auto" w:fill="CFF0FC"/>
          </w:tcPr>
          <w:p>
            <w:pPr>
              <w:jc w:val="right"/>
              <w:spacing w:after="0" w:line="156" w:lineRule="exact"/>
              <w:rPr>
                <w:sz w:val="20"/>
                <w:szCs w:val="20"/>
                <w:color w:val="auto"/>
              </w:rPr>
            </w:pPr>
            <w:r>
              <w:rPr>
                <w:rFonts w:ascii="Arial" w:cs="Arial" w:eastAsia="Arial" w:hAnsi="Arial"/>
                <w:sz w:val="15"/>
                <w:szCs w:val="15"/>
                <w:color w:val="auto"/>
                <w:w w:val="92"/>
              </w:rPr>
              <w:t>145,944</w:t>
            </w:r>
          </w:p>
        </w:tc>
        <w:tc>
          <w:tcPr>
            <w:tcW w:w="140" w:type="dxa"/>
            <w:vAlign w:val="bottom"/>
            <w:shd w:val="clear" w:color="auto" w:fill="CFF0FC"/>
          </w:tcPr>
          <w:p>
            <w:pPr>
              <w:spacing w:after="0"/>
              <w:rPr>
                <w:sz w:val="13"/>
                <w:szCs w:val="13"/>
                <w:color w:val="auto"/>
              </w:rPr>
            </w:pPr>
          </w:p>
        </w:tc>
        <w:tc>
          <w:tcPr>
            <w:tcW w:w="440" w:type="dxa"/>
            <w:vAlign w:val="bottom"/>
            <w:gridSpan w:val="2"/>
            <w:shd w:val="clear" w:color="auto" w:fill="CFF0FC"/>
          </w:tcPr>
          <w:p>
            <w:pPr>
              <w:ind w:left="120"/>
              <w:spacing w:after="0" w:line="156" w:lineRule="exact"/>
              <w:rPr>
                <w:sz w:val="20"/>
                <w:szCs w:val="20"/>
                <w:color w:val="auto"/>
              </w:rPr>
            </w:pPr>
            <w:r>
              <w:rPr>
                <w:rFonts w:ascii="Arial" w:cs="Arial" w:eastAsia="Arial" w:hAnsi="Arial"/>
                <w:sz w:val="15"/>
                <w:szCs w:val="15"/>
                <w:color w:val="auto"/>
              </w:rPr>
              <w:t>$</w:t>
            </w:r>
          </w:p>
        </w:tc>
        <w:tc>
          <w:tcPr>
            <w:tcW w:w="1300" w:type="dxa"/>
            <w:vAlign w:val="bottom"/>
            <w:gridSpan w:val="2"/>
            <w:shd w:val="clear" w:color="auto" w:fill="CFF0FC"/>
          </w:tcPr>
          <w:p>
            <w:pPr>
              <w:jc w:val="right"/>
              <w:ind w:right="280"/>
              <w:spacing w:after="0" w:line="156" w:lineRule="exact"/>
              <w:rPr>
                <w:sz w:val="20"/>
                <w:szCs w:val="20"/>
                <w:color w:val="auto"/>
              </w:rPr>
            </w:pPr>
            <w:r>
              <w:rPr>
                <w:rFonts w:ascii="Arial" w:cs="Arial" w:eastAsia="Arial" w:hAnsi="Arial"/>
                <w:sz w:val="15"/>
                <w:szCs w:val="15"/>
                <w:color w:val="auto"/>
              </w:rPr>
              <w:t>—</w:t>
            </w:r>
          </w:p>
        </w:tc>
        <w:tc>
          <w:tcPr>
            <w:tcW w:w="320" w:type="dxa"/>
            <w:vAlign w:val="bottom"/>
            <w:shd w:val="clear" w:color="auto" w:fill="CFF0FC"/>
          </w:tcPr>
          <w:p>
            <w:pPr>
              <w:jc w:val="right"/>
              <w:ind w:right="163"/>
              <w:spacing w:after="0" w:line="156" w:lineRule="exact"/>
              <w:rPr>
                <w:sz w:val="20"/>
                <w:szCs w:val="20"/>
                <w:color w:val="auto"/>
              </w:rPr>
            </w:pPr>
            <w:r>
              <w:rPr>
                <w:rFonts w:ascii="Arial" w:cs="Arial" w:eastAsia="Arial" w:hAnsi="Arial"/>
                <w:sz w:val="15"/>
                <w:szCs w:val="15"/>
                <w:color w:val="auto"/>
                <w:w w:val="71"/>
              </w:rPr>
              <w:t>$</w:t>
            </w:r>
          </w:p>
        </w:tc>
        <w:tc>
          <w:tcPr>
            <w:tcW w:w="1140" w:type="dxa"/>
            <w:vAlign w:val="bottom"/>
            <w:gridSpan w:val="2"/>
            <w:shd w:val="clear" w:color="auto" w:fill="CFF0FC"/>
          </w:tcPr>
          <w:p>
            <w:pPr>
              <w:jc w:val="right"/>
              <w:ind w:right="120"/>
              <w:spacing w:after="0" w:line="156" w:lineRule="exact"/>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20"/>
        </w:trPr>
        <w:tc>
          <w:tcPr>
            <w:tcW w:w="5760" w:type="dxa"/>
            <w:vAlign w:val="bottom"/>
            <w:tcBorders>
              <w:top w:val="single" w:sz="8" w:color="CFF0FC"/>
              <w:bottom w:val="single" w:sz="8" w:color="CFF0FC"/>
            </w:tcBorders>
            <w:vMerge w:val="restart"/>
          </w:tcPr>
          <w:p>
            <w:pPr>
              <w:ind w:left="260"/>
              <w:spacing w:after="0"/>
              <w:rPr>
                <w:sz w:val="20"/>
                <w:szCs w:val="20"/>
                <w:color w:val="auto"/>
              </w:rPr>
            </w:pPr>
            <w:r>
              <w:rPr>
                <w:rFonts w:ascii="Arial" w:cs="Arial" w:eastAsia="Arial" w:hAnsi="Arial"/>
                <w:sz w:val="15"/>
                <w:szCs w:val="15"/>
                <w:color w:val="auto"/>
              </w:rPr>
              <w:t>Reclassification of preferred stock warrant liabilities to equity</w:t>
            </w:r>
          </w:p>
        </w:tc>
        <w:tc>
          <w:tcPr>
            <w:tcW w:w="980" w:type="dxa"/>
            <w:vAlign w:val="bottom"/>
            <w:tcBorders>
              <w:top w:val="single" w:sz="8" w:color="CFF0FC"/>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FF0FC"/>
            </w:tcBorders>
          </w:tcPr>
          <w:p>
            <w:pPr>
              <w:spacing w:after="0" w:line="20" w:lineRule="exact"/>
              <w:rPr>
                <w:sz w:val="1"/>
                <w:szCs w:val="1"/>
                <w:color w:val="auto"/>
              </w:rPr>
            </w:pPr>
          </w:p>
        </w:tc>
        <w:tc>
          <w:tcPr>
            <w:tcW w:w="120" w:type="dxa"/>
            <w:vAlign w:val="bottom"/>
            <w:tcBorders>
              <w:top w:val="single" w:sz="8" w:color="CFF0FC"/>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CFF0FC"/>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5760" w:type="dxa"/>
            <w:vAlign w:val="bottom"/>
            <w:vMerge w:val="continue"/>
          </w:tcPr>
          <w:p>
            <w:pPr>
              <w:spacing w:after="0"/>
              <w:rPr>
                <w:sz w:val="15"/>
                <w:szCs w:val="15"/>
                <w:color w:val="auto"/>
              </w:rPr>
            </w:pPr>
          </w:p>
        </w:tc>
        <w:tc>
          <w:tcPr>
            <w:tcW w:w="1780" w:type="dxa"/>
            <w:vAlign w:val="bottom"/>
            <w:gridSpan w:val="2"/>
          </w:tcPr>
          <w:p>
            <w:pPr>
              <w:jc w:val="right"/>
              <w:ind w:right="657"/>
              <w:spacing w:after="0" w:line="156" w:lineRule="exact"/>
              <w:rPr>
                <w:sz w:val="20"/>
                <w:szCs w:val="20"/>
                <w:color w:val="auto"/>
              </w:rPr>
            </w:pPr>
            <w:r>
              <w:rPr>
                <w:rFonts w:ascii="Arial" w:cs="Arial" w:eastAsia="Arial" w:hAnsi="Arial"/>
                <w:sz w:val="15"/>
                <w:szCs w:val="15"/>
                <w:color w:val="auto"/>
              </w:rPr>
              <w:t>$</w:t>
            </w:r>
          </w:p>
        </w:tc>
        <w:tc>
          <w:tcPr>
            <w:tcW w:w="540" w:type="dxa"/>
            <w:vAlign w:val="bottom"/>
          </w:tcPr>
          <w:p>
            <w:pPr>
              <w:jc w:val="right"/>
              <w:spacing w:after="0" w:line="156" w:lineRule="exact"/>
              <w:rPr>
                <w:sz w:val="20"/>
                <w:szCs w:val="20"/>
                <w:color w:val="auto"/>
              </w:rPr>
            </w:pPr>
            <w:r>
              <w:rPr>
                <w:rFonts w:ascii="Arial" w:cs="Arial" w:eastAsia="Arial" w:hAnsi="Arial"/>
                <w:sz w:val="15"/>
                <w:szCs w:val="15"/>
                <w:color w:val="auto"/>
              </w:rPr>
              <w:t>1,080</w:t>
            </w:r>
          </w:p>
        </w:tc>
        <w:tc>
          <w:tcPr>
            <w:tcW w:w="140" w:type="dxa"/>
            <w:vAlign w:val="bottom"/>
          </w:tcPr>
          <w:p>
            <w:pPr>
              <w:spacing w:after="0"/>
              <w:rPr>
                <w:sz w:val="15"/>
                <w:szCs w:val="15"/>
                <w:color w:val="auto"/>
              </w:rPr>
            </w:pPr>
          </w:p>
        </w:tc>
        <w:tc>
          <w:tcPr>
            <w:tcW w:w="440" w:type="dxa"/>
            <w:vAlign w:val="bottom"/>
            <w:gridSpan w:val="2"/>
          </w:tcPr>
          <w:p>
            <w:pPr>
              <w:ind w:left="120"/>
              <w:spacing w:after="0" w:line="156" w:lineRule="exact"/>
              <w:rPr>
                <w:sz w:val="20"/>
                <w:szCs w:val="20"/>
                <w:color w:val="auto"/>
              </w:rPr>
            </w:pPr>
            <w:r>
              <w:rPr>
                <w:rFonts w:ascii="Arial" w:cs="Arial" w:eastAsia="Arial" w:hAnsi="Arial"/>
                <w:sz w:val="15"/>
                <w:szCs w:val="15"/>
                <w:color w:val="auto"/>
              </w:rPr>
              <w:t>$</w:t>
            </w:r>
          </w:p>
        </w:tc>
        <w:tc>
          <w:tcPr>
            <w:tcW w:w="1300" w:type="dxa"/>
            <w:vAlign w:val="bottom"/>
            <w:gridSpan w:val="2"/>
          </w:tcPr>
          <w:p>
            <w:pPr>
              <w:jc w:val="right"/>
              <w:ind w:right="280"/>
              <w:spacing w:after="0" w:line="156" w:lineRule="exact"/>
              <w:rPr>
                <w:sz w:val="20"/>
                <w:szCs w:val="20"/>
                <w:color w:val="auto"/>
              </w:rPr>
            </w:pPr>
            <w:r>
              <w:rPr>
                <w:rFonts w:ascii="Arial" w:cs="Arial" w:eastAsia="Arial" w:hAnsi="Arial"/>
                <w:sz w:val="15"/>
                <w:szCs w:val="15"/>
                <w:color w:val="auto"/>
              </w:rPr>
              <w:t>—</w:t>
            </w:r>
          </w:p>
        </w:tc>
        <w:tc>
          <w:tcPr>
            <w:tcW w:w="320" w:type="dxa"/>
            <w:vAlign w:val="bottom"/>
          </w:tcPr>
          <w:p>
            <w:pPr>
              <w:jc w:val="right"/>
              <w:ind w:right="163"/>
              <w:spacing w:after="0" w:line="156" w:lineRule="exact"/>
              <w:rPr>
                <w:sz w:val="20"/>
                <w:szCs w:val="20"/>
                <w:color w:val="auto"/>
              </w:rPr>
            </w:pPr>
            <w:r>
              <w:rPr>
                <w:rFonts w:ascii="Arial" w:cs="Arial" w:eastAsia="Arial" w:hAnsi="Arial"/>
                <w:sz w:val="15"/>
                <w:szCs w:val="15"/>
                <w:color w:val="auto"/>
                <w:w w:val="71"/>
              </w:rPr>
              <w:t>$</w:t>
            </w:r>
          </w:p>
        </w:tc>
        <w:tc>
          <w:tcPr>
            <w:tcW w:w="1140" w:type="dxa"/>
            <w:vAlign w:val="bottom"/>
            <w:gridSpan w:val="2"/>
          </w:tcPr>
          <w:p>
            <w:pPr>
              <w:jc w:val="right"/>
              <w:ind w:right="120"/>
              <w:spacing w:after="0" w:line="156" w:lineRule="exact"/>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20"/>
        </w:trPr>
        <w:tc>
          <w:tcPr>
            <w:tcW w:w="5760" w:type="dxa"/>
            <w:vAlign w:val="bottom"/>
            <w:tcBorders>
              <w:top w:val="single" w:sz="8" w:color="CFF0FC"/>
            </w:tcBorders>
            <w:vMerge w:val="restart"/>
            <w:shd w:val="clear" w:color="auto" w:fill="CFF0FC"/>
          </w:tcPr>
          <w:p>
            <w:pPr>
              <w:ind w:left="260"/>
              <w:spacing w:after="0"/>
              <w:rPr>
                <w:sz w:val="20"/>
                <w:szCs w:val="20"/>
                <w:color w:val="auto"/>
              </w:rPr>
            </w:pPr>
            <w:r>
              <w:rPr>
                <w:rFonts w:ascii="Arial" w:cs="Arial" w:eastAsia="Arial" w:hAnsi="Arial"/>
                <w:sz w:val="15"/>
                <w:szCs w:val="15"/>
                <w:color w:val="auto"/>
              </w:rPr>
              <w:t>Conversion of convertible notes and accrued interest into common stock</w:t>
            </w:r>
          </w:p>
        </w:tc>
        <w:tc>
          <w:tcPr>
            <w:tcW w:w="980" w:type="dxa"/>
            <w:vAlign w:val="bottom"/>
            <w:tcBorders>
              <w:top w:val="single" w:sz="8" w:color="CFF0FC"/>
            </w:tcBorders>
            <w:shd w:val="clear" w:color="auto" w:fill="CFF0FC"/>
          </w:tcPr>
          <w:p>
            <w:pPr>
              <w:spacing w:after="0" w:line="20" w:lineRule="exact"/>
              <w:rPr>
                <w:sz w:val="1"/>
                <w:szCs w:val="1"/>
                <w:color w:val="auto"/>
              </w:rPr>
            </w:pPr>
          </w:p>
        </w:tc>
        <w:tc>
          <w:tcPr>
            <w:tcW w:w="800" w:type="dxa"/>
            <w:vAlign w:val="bottom"/>
            <w:tcBorders>
              <w:top w:val="single" w:sz="8" w:color="auto"/>
            </w:tcBorders>
            <w:shd w:val="clear" w:color="auto" w:fill="000000"/>
          </w:tcPr>
          <w:p>
            <w:pPr>
              <w:spacing w:after="0" w:line="20" w:lineRule="exact"/>
              <w:rPr>
                <w:sz w:val="1"/>
                <w:szCs w:val="1"/>
                <w:color w:val="auto"/>
              </w:rPr>
            </w:pPr>
          </w:p>
        </w:tc>
        <w:tc>
          <w:tcPr>
            <w:tcW w:w="54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FF0FC"/>
            </w:tcBorders>
            <w:shd w:val="clear" w:color="auto" w:fill="CFF0FC"/>
          </w:tcPr>
          <w:p>
            <w:pPr>
              <w:spacing w:after="0" w:line="20" w:lineRule="exact"/>
              <w:rPr>
                <w:sz w:val="1"/>
                <w:szCs w:val="1"/>
                <w:color w:val="auto"/>
              </w:rPr>
            </w:pPr>
          </w:p>
        </w:tc>
        <w:tc>
          <w:tcPr>
            <w:tcW w:w="120" w:type="dxa"/>
            <w:vAlign w:val="bottom"/>
            <w:tcBorders>
              <w:top w:val="single" w:sz="8" w:color="CFF0FC"/>
            </w:tcBorders>
            <w:shd w:val="clear" w:color="auto" w:fill="CFF0FC"/>
          </w:tcPr>
          <w:p>
            <w:pPr>
              <w:spacing w:after="0" w:line="20" w:lineRule="exact"/>
              <w:rPr>
                <w:sz w:val="1"/>
                <w:szCs w:val="1"/>
                <w:color w:val="auto"/>
              </w:rPr>
            </w:pPr>
          </w:p>
        </w:tc>
        <w:tc>
          <w:tcPr>
            <w:tcW w:w="320" w:type="dxa"/>
            <w:vAlign w:val="bottom"/>
            <w:tcBorders>
              <w:top w:val="single" w:sz="8" w:color="auto"/>
            </w:tcBorders>
            <w:shd w:val="clear" w:color="auto" w:fill="000000"/>
          </w:tcPr>
          <w:p>
            <w:pPr>
              <w:spacing w:after="0" w:line="20" w:lineRule="exact"/>
              <w:rPr>
                <w:sz w:val="1"/>
                <w:szCs w:val="1"/>
                <w:color w:val="auto"/>
              </w:rPr>
            </w:pPr>
          </w:p>
        </w:tc>
        <w:tc>
          <w:tcPr>
            <w:tcW w:w="1040" w:type="dxa"/>
            <w:vAlign w:val="bottom"/>
            <w:tcBorders>
              <w:top w:val="single" w:sz="8" w:color="auto"/>
            </w:tcBorders>
            <w:shd w:val="clear" w:color="auto" w:fill="000000"/>
          </w:tcPr>
          <w:p>
            <w:pPr>
              <w:spacing w:after="0" w:line="20" w:lineRule="exact"/>
              <w:rPr>
                <w:sz w:val="1"/>
                <w:szCs w:val="1"/>
                <w:color w:val="auto"/>
              </w:rPr>
            </w:pPr>
          </w:p>
        </w:tc>
        <w:tc>
          <w:tcPr>
            <w:tcW w:w="260" w:type="dxa"/>
            <w:vAlign w:val="bottom"/>
            <w:tcBorders>
              <w:top w:val="single" w:sz="8" w:color="CFF0FC"/>
            </w:tcBorders>
            <w:shd w:val="clear" w:color="auto" w:fill="CFF0FC"/>
          </w:tcPr>
          <w:p>
            <w:pPr>
              <w:spacing w:after="0" w:line="20" w:lineRule="exact"/>
              <w:rPr>
                <w:sz w:val="1"/>
                <w:szCs w:val="1"/>
                <w:color w:val="auto"/>
              </w:rPr>
            </w:pPr>
          </w:p>
        </w:tc>
        <w:tc>
          <w:tcPr>
            <w:tcW w:w="320" w:type="dxa"/>
            <w:vAlign w:val="bottom"/>
            <w:tcBorders>
              <w:top w:val="single" w:sz="8" w:color="auto"/>
            </w:tcBorders>
            <w:shd w:val="clear" w:color="auto" w:fill="000000"/>
          </w:tcPr>
          <w:p>
            <w:pPr>
              <w:spacing w:after="0" w:line="20" w:lineRule="exact"/>
              <w:rPr>
                <w:sz w:val="1"/>
                <w:szCs w:val="1"/>
                <w:color w:val="auto"/>
              </w:rPr>
            </w:pPr>
          </w:p>
        </w:tc>
        <w:tc>
          <w:tcPr>
            <w:tcW w:w="104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5760" w:type="dxa"/>
            <w:vAlign w:val="bottom"/>
            <w:vMerge w:val="continue"/>
            <w:shd w:val="clear" w:color="auto" w:fill="CFF0FC"/>
          </w:tcPr>
          <w:p>
            <w:pPr>
              <w:spacing w:after="0"/>
              <w:rPr>
                <w:sz w:val="13"/>
                <w:szCs w:val="13"/>
                <w:color w:val="auto"/>
              </w:rPr>
            </w:pPr>
          </w:p>
        </w:tc>
        <w:tc>
          <w:tcPr>
            <w:tcW w:w="1780" w:type="dxa"/>
            <w:vAlign w:val="bottom"/>
            <w:gridSpan w:val="2"/>
            <w:shd w:val="clear" w:color="auto" w:fill="CFF0FC"/>
          </w:tcPr>
          <w:p>
            <w:pPr>
              <w:jc w:val="right"/>
              <w:ind w:right="657"/>
              <w:spacing w:after="0" w:line="156" w:lineRule="exact"/>
              <w:rPr>
                <w:sz w:val="20"/>
                <w:szCs w:val="20"/>
                <w:color w:val="auto"/>
              </w:rPr>
            </w:pPr>
            <w:r>
              <w:rPr>
                <w:rFonts w:ascii="Arial" w:cs="Arial" w:eastAsia="Arial" w:hAnsi="Arial"/>
                <w:sz w:val="15"/>
                <w:szCs w:val="15"/>
                <w:color w:val="auto"/>
              </w:rPr>
              <w:t>$</w:t>
            </w:r>
          </w:p>
        </w:tc>
        <w:tc>
          <w:tcPr>
            <w:tcW w:w="540" w:type="dxa"/>
            <w:vAlign w:val="bottom"/>
            <w:shd w:val="clear" w:color="auto" w:fill="CFF0FC"/>
          </w:tcPr>
          <w:p>
            <w:pPr>
              <w:jc w:val="right"/>
              <w:spacing w:after="0" w:line="156" w:lineRule="exact"/>
              <w:rPr>
                <w:sz w:val="20"/>
                <w:szCs w:val="20"/>
                <w:color w:val="auto"/>
              </w:rPr>
            </w:pPr>
            <w:r>
              <w:rPr>
                <w:rFonts w:ascii="Arial" w:cs="Arial" w:eastAsia="Arial" w:hAnsi="Arial"/>
                <w:sz w:val="15"/>
                <w:szCs w:val="15"/>
                <w:color w:val="auto"/>
              </w:rPr>
              <w:t>5,027</w:t>
            </w:r>
          </w:p>
        </w:tc>
        <w:tc>
          <w:tcPr>
            <w:tcW w:w="140" w:type="dxa"/>
            <w:vAlign w:val="bottom"/>
            <w:shd w:val="clear" w:color="auto" w:fill="CFF0FC"/>
          </w:tcPr>
          <w:p>
            <w:pPr>
              <w:spacing w:after="0"/>
              <w:rPr>
                <w:sz w:val="13"/>
                <w:szCs w:val="13"/>
                <w:color w:val="auto"/>
              </w:rPr>
            </w:pPr>
          </w:p>
        </w:tc>
        <w:tc>
          <w:tcPr>
            <w:tcW w:w="440" w:type="dxa"/>
            <w:vAlign w:val="bottom"/>
            <w:gridSpan w:val="2"/>
            <w:shd w:val="clear" w:color="auto" w:fill="CFF0FC"/>
          </w:tcPr>
          <w:p>
            <w:pPr>
              <w:ind w:left="120"/>
              <w:spacing w:after="0" w:line="156" w:lineRule="exact"/>
              <w:rPr>
                <w:sz w:val="20"/>
                <w:szCs w:val="20"/>
                <w:color w:val="auto"/>
              </w:rPr>
            </w:pPr>
            <w:r>
              <w:rPr>
                <w:rFonts w:ascii="Arial" w:cs="Arial" w:eastAsia="Arial" w:hAnsi="Arial"/>
                <w:sz w:val="15"/>
                <w:szCs w:val="15"/>
                <w:color w:val="auto"/>
              </w:rPr>
              <w:t>$</w:t>
            </w:r>
          </w:p>
        </w:tc>
        <w:tc>
          <w:tcPr>
            <w:tcW w:w="1300" w:type="dxa"/>
            <w:vAlign w:val="bottom"/>
            <w:gridSpan w:val="2"/>
            <w:shd w:val="clear" w:color="auto" w:fill="CFF0FC"/>
          </w:tcPr>
          <w:p>
            <w:pPr>
              <w:jc w:val="right"/>
              <w:ind w:right="280"/>
              <w:spacing w:after="0" w:line="156" w:lineRule="exact"/>
              <w:rPr>
                <w:sz w:val="20"/>
                <w:szCs w:val="20"/>
                <w:color w:val="auto"/>
              </w:rPr>
            </w:pPr>
            <w:r>
              <w:rPr>
                <w:rFonts w:ascii="Arial" w:cs="Arial" w:eastAsia="Arial" w:hAnsi="Arial"/>
                <w:sz w:val="15"/>
                <w:szCs w:val="15"/>
                <w:color w:val="auto"/>
              </w:rPr>
              <w:t>—</w:t>
            </w:r>
          </w:p>
        </w:tc>
        <w:tc>
          <w:tcPr>
            <w:tcW w:w="320" w:type="dxa"/>
            <w:vAlign w:val="bottom"/>
            <w:shd w:val="clear" w:color="auto" w:fill="CFF0FC"/>
          </w:tcPr>
          <w:p>
            <w:pPr>
              <w:jc w:val="right"/>
              <w:ind w:right="163"/>
              <w:spacing w:after="0" w:line="156" w:lineRule="exact"/>
              <w:rPr>
                <w:sz w:val="20"/>
                <w:szCs w:val="20"/>
                <w:color w:val="auto"/>
              </w:rPr>
            </w:pPr>
            <w:r>
              <w:rPr>
                <w:rFonts w:ascii="Arial" w:cs="Arial" w:eastAsia="Arial" w:hAnsi="Arial"/>
                <w:sz w:val="15"/>
                <w:szCs w:val="15"/>
                <w:color w:val="auto"/>
                <w:w w:val="71"/>
              </w:rPr>
              <w:t>$</w:t>
            </w:r>
          </w:p>
        </w:tc>
        <w:tc>
          <w:tcPr>
            <w:tcW w:w="1140" w:type="dxa"/>
            <w:vAlign w:val="bottom"/>
            <w:gridSpan w:val="2"/>
            <w:shd w:val="clear" w:color="auto" w:fill="CFF0FC"/>
          </w:tcPr>
          <w:p>
            <w:pPr>
              <w:jc w:val="right"/>
              <w:ind w:right="120"/>
              <w:spacing w:after="0" w:line="156" w:lineRule="exact"/>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20"/>
        </w:trPr>
        <w:tc>
          <w:tcPr>
            <w:tcW w:w="5760" w:type="dxa"/>
            <w:vAlign w:val="bottom"/>
            <w:tcBorders>
              <w:top w:val="single" w:sz="8" w:color="CFF0FC"/>
              <w:bottom w:val="single" w:sz="8" w:color="CFF0FC"/>
            </w:tcBorders>
            <w:vMerge w:val="restart"/>
          </w:tcPr>
          <w:p>
            <w:pPr>
              <w:ind w:left="260"/>
              <w:spacing w:after="0"/>
              <w:rPr>
                <w:sz w:val="20"/>
                <w:szCs w:val="20"/>
                <w:color w:val="auto"/>
              </w:rPr>
            </w:pPr>
            <w:r>
              <w:rPr>
                <w:rFonts w:ascii="Arial" w:cs="Arial" w:eastAsia="Arial" w:hAnsi="Arial"/>
                <w:sz w:val="15"/>
                <w:szCs w:val="15"/>
                <w:color w:val="auto"/>
              </w:rPr>
              <w:t>Non-cash lease incentive</w:t>
            </w:r>
          </w:p>
        </w:tc>
        <w:tc>
          <w:tcPr>
            <w:tcW w:w="980" w:type="dxa"/>
            <w:vAlign w:val="bottom"/>
            <w:tcBorders>
              <w:top w:val="single" w:sz="8" w:color="CFF0FC"/>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FF0FC"/>
            </w:tcBorders>
          </w:tcPr>
          <w:p>
            <w:pPr>
              <w:spacing w:after="0" w:line="20" w:lineRule="exact"/>
              <w:rPr>
                <w:sz w:val="1"/>
                <w:szCs w:val="1"/>
                <w:color w:val="auto"/>
              </w:rPr>
            </w:pPr>
          </w:p>
        </w:tc>
        <w:tc>
          <w:tcPr>
            <w:tcW w:w="120" w:type="dxa"/>
            <w:vAlign w:val="bottom"/>
            <w:tcBorders>
              <w:top w:val="single" w:sz="8" w:color="CFF0FC"/>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CFF0FC"/>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5760" w:type="dxa"/>
            <w:vAlign w:val="bottom"/>
            <w:vMerge w:val="continue"/>
          </w:tcPr>
          <w:p>
            <w:pPr>
              <w:spacing w:after="0"/>
              <w:rPr>
                <w:sz w:val="13"/>
                <w:szCs w:val="13"/>
                <w:color w:val="auto"/>
              </w:rPr>
            </w:pPr>
          </w:p>
        </w:tc>
        <w:tc>
          <w:tcPr>
            <w:tcW w:w="1780" w:type="dxa"/>
            <w:vAlign w:val="bottom"/>
            <w:gridSpan w:val="2"/>
          </w:tcPr>
          <w:p>
            <w:pPr>
              <w:jc w:val="right"/>
              <w:ind w:right="657"/>
              <w:spacing w:after="0" w:line="156" w:lineRule="exact"/>
              <w:rPr>
                <w:sz w:val="20"/>
                <w:szCs w:val="20"/>
                <w:color w:val="auto"/>
              </w:rPr>
            </w:pPr>
            <w:r>
              <w:rPr>
                <w:rFonts w:ascii="Arial" w:cs="Arial" w:eastAsia="Arial" w:hAnsi="Arial"/>
                <w:sz w:val="15"/>
                <w:szCs w:val="15"/>
                <w:color w:val="auto"/>
              </w:rPr>
              <w:t>$</w:t>
            </w:r>
          </w:p>
        </w:tc>
        <w:tc>
          <w:tcPr>
            <w:tcW w:w="680" w:type="dxa"/>
            <w:vAlign w:val="bottom"/>
            <w:gridSpan w:val="2"/>
          </w:tcPr>
          <w:p>
            <w:pPr>
              <w:jc w:val="right"/>
              <w:ind w:right="160"/>
              <w:spacing w:after="0" w:line="156" w:lineRule="exact"/>
              <w:rPr>
                <w:sz w:val="20"/>
                <w:szCs w:val="20"/>
                <w:color w:val="auto"/>
              </w:rPr>
            </w:pPr>
            <w:r>
              <w:rPr>
                <w:rFonts w:ascii="Arial" w:cs="Arial" w:eastAsia="Arial" w:hAnsi="Arial"/>
                <w:sz w:val="15"/>
                <w:szCs w:val="15"/>
                <w:color w:val="auto"/>
              </w:rPr>
              <w:t>—</w:t>
            </w:r>
          </w:p>
        </w:tc>
        <w:tc>
          <w:tcPr>
            <w:tcW w:w="440" w:type="dxa"/>
            <w:vAlign w:val="bottom"/>
            <w:gridSpan w:val="2"/>
          </w:tcPr>
          <w:p>
            <w:pPr>
              <w:ind w:left="120"/>
              <w:spacing w:after="0" w:line="156" w:lineRule="exact"/>
              <w:rPr>
                <w:sz w:val="20"/>
                <w:szCs w:val="20"/>
                <w:color w:val="auto"/>
              </w:rPr>
            </w:pPr>
            <w:r>
              <w:rPr>
                <w:rFonts w:ascii="Arial" w:cs="Arial" w:eastAsia="Arial" w:hAnsi="Arial"/>
                <w:sz w:val="15"/>
                <w:szCs w:val="15"/>
                <w:color w:val="auto"/>
              </w:rPr>
              <w:t>$</w:t>
            </w:r>
          </w:p>
        </w:tc>
        <w:tc>
          <w:tcPr>
            <w:tcW w:w="1300" w:type="dxa"/>
            <w:vAlign w:val="bottom"/>
            <w:gridSpan w:val="2"/>
          </w:tcPr>
          <w:p>
            <w:pPr>
              <w:jc w:val="right"/>
              <w:ind w:right="280"/>
              <w:spacing w:after="0" w:line="156" w:lineRule="exact"/>
              <w:rPr>
                <w:sz w:val="20"/>
                <w:szCs w:val="20"/>
                <w:color w:val="auto"/>
              </w:rPr>
            </w:pPr>
            <w:r>
              <w:rPr>
                <w:rFonts w:ascii="Arial" w:cs="Arial" w:eastAsia="Arial" w:hAnsi="Arial"/>
                <w:sz w:val="15"/>
                <w:szCs w:val="15"/>
                <w:color w:val="auto"/>
              </w:rPr>
              <w:t>—</w:t>
            </w:r>
          </w:p>
        </w:tc>
        <w:tc>
          <w:tcPr>
            <w:tcW w:w="320" w:type="dxa"/>
            <w:vAlign w:val="bottom"/>
          </w:tcPr>
          <w:p>
            <w:pPr>
              <w:jc w:val="right"/>
              <w:ind w:right="163"/>
              <w:spacing w:after="0" w:line="156" w:lineRule="exact"/>
              <w:rPr>
                <w:sz w:val="20"/>
                <w:szCs w:val="20"/>
                <w:color w:val="auto"/>
              </w:rPr>
            </w:pPr>
            <w:r>
              <w:rPr>
                <w:rFonts w:ascii="Arial" w:cs="Arial" w:eastAsia="Arial" w:hAnsi="Arial"/>
                <w:sz w:val="15"/>
                <w:szCs w:val="15"/>
                <w:color w:val="auto"/>
                <w:w w:val="71"/>
              </w:rPr>
              <w:t>$</w:t>
            </w:r>
          </w:p>
        </w:tc>
        <w:tc>
          <w:tcPr>
            <w:tcW w:w="1040" w:type="dxa"/>
            <w:vAlign w:val="bottom"/>
          </w:tcPr>
          <w:p>
            <w:pPr>
              <w:jc w:val="right"/>
              <w:spacing w:after="0" w:line="156" w:lineRule="exact"/>
              <w:rPr>
                <w:sz w:val="20"/>
                <w:szCs w:val="20"/>
                <w:color w:val="auto"/>
              </w:rPr>
            </w:pPr>
            <w:r>
              <w:rPr>
                <w:rFonts w:ascii="Arial" w:cs="Arial" w:eastAsia="Arial" w:hAnsi="Arial"/>
                <w:sz w:val="15"/>
                <w:szCs w:val="15"/>
                <w:color w:val="auto"/>
              </w:rPr>
              <w:t>16</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576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3" w:lineRule="exact"/>
        <w:rPr>
          <w:sz w:val="20"/>
          <w:szCs w:val="20"/>
          <w:color w:val="auto"/>
        </w:rPr>
      </w:pPr>
    </w:p>
    <w:p>
      <w:pPr>
        <w:jc w:val="center"/>
        <w:spacing w:after="0"/>
        <w:rPr>
          <w:sz w:val="20"/>
          <w:szCs w:val="20"/>
          <w:color w:val="auto"/>
        </w:rPr>
      </w:pPr>
      <w:r>
        <w:rPr>
          <w:rFonts w:ascii="Arial" w:cs="Arial" w:eastAsia="Arial" w:hAnsi="Arial"/>
          <w:sz w:val="16"/>
          <w:szCs w:val="16"/>
          <w:i w:val="1"/>
          <w:iCs w:val="1"/>
          <w:color w:val="auto"/>
        </w:rPr>
        <w:t>The accompanying notes are an integral part of these consolidated financial statements.</w:t>
      </w:r>
    </w:p>
    <w:p>
      <w:pPr>
        <w:spacing w:after="0" w:line="2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37" w:right="239" w:bottom="1440" w:gutter="0" w:footer="0" w:header="0"/>
        </w:sectPr>
      </w:pPr>
    </w:p>
    <w:bookmarkStart w:id="79" w:name="page80"/>
    <w:bookmarkEnd w:id="79"/>
    <w:p>
      <w:pPr>
        <w:jc w:val="center"/>
        <w:ind w:right="-19"/>
        <w:spacing w:after="0"/>
        <w:rPr>
          <w:sz w:val="20"/>
          <w:szCs w:val="20"/>
          <w:color w:val="auto"/>
        </w:rPr>
      </w:pPr>
      <w:r>
        <w:rPr>
          <w:rFonts w:ascii="Arial" w:cs="Arial" w:eastAsia="Arial" w:hAnsi="Arial"/>
          <w:sz w:val="18"/>
          <w:szCs w:val="18"/>
          <w:b w:val="1"/>
          <w:bCs w:val="1"/>
          <w:color w:val="auto"/>
        </w:rPr>
        <w:t>RESTORATION ROBOTICS, INC.</w:t>
      </w:r>
    </w:p>
    <w:p>
      <w:pPr>
        <w:spacing w:after="0" w:line="11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i w:val="1"/>
          <w:iCs w:val="1"/>
          <w:color w:val="auto"/>
        </w:rPr>
        <w:t>(in thousands, except share and per share data)</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 NATURE OF OPERATIONS</w:t>
      </w:r>
    </w:p>
    <w:p>
      <w:pPr>
        <w:spacing w:after="0" w:line="121" w:lineRule="exact"/>
        <w:rPr>
          <w:sz w:val="20"/>
          <w:szCs w:val="20"/>
          <w:color w:val="auto"/>
        </w:rPr>
      </w:pPr>
    </w:p>
    <w:p>
      <w:pPr>
        <w:ind w:right="20"/>
        <w:spacing w:after="0" w:line="302" w:lineRule="auto"/>
        <w:rPr>
          <w:sz w:val="20"/>
          <w:szCs w:val="20"/>
          <w:color w:val="auto"/>
        </w:rPr>
      </w:pPr>
      <w:r>
        <w:rPr>
          <w:rFonts w:ascii="Arial" w:cs="Arial" w:eastAsia="Arial" w:hAnsi="Arial"/>
          <w:sz w:val="16"/>
          <w:szCs w:val="16"/>
          <w:color w:val="auto"/>
        </w:rPr>
        <w:t>Restoration Robotics, Inc. is a medical device company incorporated in the state of Delaware on November 22, 2002 and headquartered in San Jose, California. The Company develops an image-guided robotic system that enables follicular unit extraction (FUE) for use in the field of hair transplantation and markets the ARTAS® Robotic System in the United States and other countries. In these notes to the audited consolidated financial statements, the “Company,” “Restoration Robotics,” “we,” “us,” and “our” refers to Restoration Robotics, Inc. and its subsidiaries on a consolidated basis.</w:t>
      </w:r>
    </w:p>
    <w:p>
      <w:pPr>
        <w:spacing w:after="0" w:line="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Initial Public Offering</w:t>
      </w:r>
    </w:p>
    <w:p>
      <w:pPr>
        <w:spacing w:after="0" w:line="121"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On October 11, 2017, the Company’s Registration Statement on Form S-1 (File No. 333-220303) relating to the initial public offering (IPO) of its common stock was declared effective by the Securities and Exchange Commission (SEC). Pursuant to such Registration Statement, the Company completed its IPO of 3,897,910 shares of its common stock (inclusive of 322,910 shares of common stock from the subsequent exercise of the over-allotment option granted to the underwriters) at a price of $7.00 per share for aggregate cash proceeds of approximately $22,114, after deducting underwriter discounts and commissions, and offering costs of $5,171.</w:t>
      </w:r>
    </w:p>
    <w:p>
      <w:pPr>
        <w:spacing w:after="0" w:line="80" w:lineRule="exact"/>
        <w:rPr>
          <w:sz w:val="20"/>
          <w:szCs w:val="20"/>
          <w:color w:val="auto"/>
        </w:rPr>
      </w:pPr>
    </w:p>
    <w:p>
      <w:pPr>
        <w:ind w:right="200"/>
        <w:spacing w:after="0" w:line="259" w:lineRule="auto"/>
        <w:rPr>
          <w:sz w:val="20"/>
          <w:szCs w:val="20"/>
          <w:color w:val="auto"/>
        </w:rPr>
      </w:pPr>
      <w:r>
        <w:rPr>
          <w:rFonts w:ascii="Arial" w:cs="Arial" w:eastAsia="Arial" w:hAnsi="Arial"/>
          <w:sz w:val="18"/>
          <w:szCs w:val="18"/>
          <w:color w:val="auto"/>
        </w:rPr>
        <w:t>Immediately prior to the closing of the IPO, all outstanding shares of convertible preferred stock converted into 22,671,601 shares of common stock and all the outstanding convertible preferred stock warrants converted into common stock warrants resulting in the reclassification of our preferred stock warrant liabilities to additional paid-in capital. In addition, the principal and accrued interest on the outstanding Convertible Notes converted into 718,184 shares of common stock. The IPO closed on October 16, 2017.</w:t>
      </w:r>
    </w:p>
    <w:p>
      <w:pPr>
        <w:spacing w:after="0" w:line="79" w:lineRule="exact"/>
        <w:rPr>
          <w:sz w:val="20"/>
          <w:szCs w:val="20"/>
          <w:color w:val="auto"/>
        </w:rPr>
      </w:pPr>
    </w:p>
    <w:p>
      <w:pPr>
        <w:ind w:right="160"/>
        <w:spacing w:after="0" w:line="264" w:lineRule="auto"/>
        <w:rPr>
          <w:sz w:val="20"/>
          <w:szCs w:val="20"/>
          <w:color w:val="auto"/>
        </w:rPr>
      </w:pPr>
      <w:r>
        <w:rPr>
          <w:rFonts w:ascii="Arial" w:cs="Arial" w:eastAsia="Arial" w:hAnsi="Arial"/>
          <w:sz w:val="18"/>
          <w:szCs w:val="18"/>
          <w:color w:val="auto"/>
        </w:rPr>
        <w:t>Following the filing of the Restated Certificate of Incorporation of the Company on October 16, 2017, the number of shares of capital stock the Company is authorized to issue is 310,000,000 shares, of which 300,000,000 shares may be common stock and 10,000,000 shares may be preferred stock. Both the common stock and the preferred stock have a par value of $0.0001 per share.</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Reverse Stock Split</w:t>
      </w:r>
    </w:p>
    <w:p>
      <w:pPr>
        <w:spacing w:after="0" w:line="121" w:lineRule="exact"/>
        <w:rPr>
          <w:sz w:val="20"/>
          <w:szCs w:val="20"/>
          <w:color w:val="auto"/>
        </w:rPr>
      </w:pPr>
    </w:p>
    <w:p>
      <w:pPr>
        <w:ind w:right="80"/>
        <w:spacing w:after="0" w:line="290" w:lineRule="auto"/>
        <w:rPr>
          <w:sz w:val="20"/>
          <w:szCs w:val="20"/>
          <w:color w:val="auto"/>
        </w:rPr>
      </w:pPr>
      <w:r>
        <w:rPr>
          <w:rFonts w:ascii="Arial" w:cs="Arial" w:eastAsia="Arial" w:hAnsi="Arial"/>
          <w:sz w:val="16"/>
          <w:szCs w:val="16"/>
          <w:color w:val="auto"/>
        </w:rPr>
        <w:t>On September 15, 2017, the Company effected a 1-for-10 reverse stock split of its common stock. Upon the effectiveness of the reverse stock split, (i) every 10 shares of outstanding common stock were combined into one share of common stock, (ii) the number of shares of common stock for which each outstanding option to purchase common stock is exercisable was proportionately decreased on a 1-for-10 basis, (iii) the exercise price of each outstanding option to purchase common stock was proportionally increased on a l-for-10 basis, and (iv) the conversion ratio for each share of outstanding preferred stock which is convertible into our common stock was proportionately reduced on a 1-for-10 basis. All of the outstanding common stock share numbers (including shares of common stock into which our outstanding convertible preferred stock shares are convertible), share prices, exercise prices and per share amounts have been adjusted in these consolidated statements, on a retroactive basis, to reflect this l-for-10 reverse stock split for all periods presented. The par value per share and the authorized number of shares of common stock and convertible preferred stock were not adjusted as a result of the reverse stock split.</w:t>
      </w:r>
    </w:p>
    <w:p>
      <w:pPr>
        <w:spacing w:after="0" w:line="9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 SUMMARY OF SIGNIFICANT ACCOUNTING POLICIES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Liquidity</w:t>
      </w:r>
    </w:p>
    <w:p>
      <w:pPr>
        <w:spacing w:after="0" w:line="117" w:lineRule="exact"/>
        <w:rPr>
          <w:sz w:val="20"/>
          <w:szCs w:val="20"/>
          <w:color w:val="auto"/>
        </w:rPr>
      </w:pPr>
    </w:p>
    <w:p>
      <w:pPr>
        <w:spacing w:after="0" w:line="291" w:lineRule="auto"/>
        <w:rPr>
          <w:sz w:val="20"/>
          <w:szCs w:val="20"/>
          <w:color w:val="auto"/>
        </w:rPr>
      </w:pPr>
      <w:r>
        <w:rPr>
          <w:rFonts w:ascii="Arial" w:cs="Arial" w:eastAsia="Arial" w:hAnsi="Arial"/>
          <w:sz w:val="16"/>
          <w:szCs w:val="16"/>
          <w:color w:val="auto"/>
        </w:rPr>
        <w:t>These consolidated financial statements are prepared on a going concern basis that contemplates the realization of assets and extinguishment of liabilities in the normal course of business. The Company has incurred net operating losses and negative cash flows from operations since inception. As of December 31, 2017 and 2016, the Company has an accumulated deficit of $164,487 and $146,645 and, as of such dates, did not have sufficient capital to fund its planned operations. As a result of the Company’s recurring losses from operations and negative cash flows, the Company’s independent registered public accounting firm included an explanatory paragraph in its current report on the Company’s consolidated financial statements that such factors raise substantial doubt about the Company’s ability to continue as a going concern. Management plans to manage expenses and obtain additional funds through a combination of equity and debt financing. In order to continue its operations, the Company must achieve profitable</w:t>
      </w:r>
    </w:p>
    <w:p>
      <w:pPr>
        <w:spacing w:after="0" w:line="16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337" w:right="259" w:bottom="1440" w:gutter="0" w:footer="0" w:header="0"/>
        </w:sectPr>
      </w:pPr>
    </w:p>
    <w:bookmarkStart w:id="80" w:name="page81"/>
    <w:bookmarkEnd w:id="80"/>
    <w:p>
      <w:pPr>
        <w:spacing w:after="0" w:line="264" w:lineRule="auto"/>
        <w:rPr>
          <w:sz w:val="20"/>
          <w:szCs w:val="20"/>
          <w:color w:val="auto"/>
        </w:rPr>
      </w:pPr>
      <w:r>
        <w:rPr>
          <w:rFonts w:ascii="Arial" w:cs="Arial" w:eastAsia="Arial" w:hAnsi="Arial"/>
          <w:sz w:val="18"/>
          <w:szCs w:val="18"/>
          <w:color w:val="auto"/>
        </w:rPr>
        <w:t>operations and/or obtain additional financing. Until the Company generates revenue at a level to support its cost structure, the Company expects to continue to incur substantial operating losses and net cash outflows. The Company may never become profitable and even if it does attain profitable operations, it may not be able to sustain profitability or positive cash flows on a recurring basis.</w:t>
      </w:r>
    </w:p>
    <w:p>
      <w:pPr>
        <w:spacing w:after="0" w:line="73"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The Company will need to raise further capital in the future to service its debt or fund its operations until the time it can sustain positive cash flows. There can be no assurance that the Company will be successful in raising additional capital or that such capital, if available, will be on terms that are acceptable to the Company. If the Company is unable to raise sufficient additional capital, it may be compelled to reduce the scope of its operations and planned capital expenditures or sell certain assets, including intellectual property assets.</w:t>
      </w:r>
    </w:p>
    <w:p>
      <w:pPr>
        <w:spacing w:after="0" w:line="79" w:lineRule="exact"/>
        <w:rPr>
          <w:sz w:val="20"/>
          <w:szCs w:val="20"/>
          <w:color w:val="auto"/>
        </w:rPr>
      </w:pPr>
    </w:p>
    <w:p>
      <w:pPr>
        <w:ind w:right="120"/>
        <w:spacing w:after="0" w:line="259" w:lineRule="auto"/>
        <w:rPr>
          <w:sz w:val="20"/>
          <w:szCs w:val="20"/>
          <w:color w:val="auto"/>
        </w:rPr>
      </w:pPr>
      <w:r>
        <w:rPr>
          <w:rFonts w:ascii="Arial" w:cs="Arial" w:eastAsia="Arial" w:hAnsi="Arial"/>
          <w:sz w:val="18"/>
          <w:szCs w:val="18"/>
          <w:color w:val="auto"/>
        </w:rPr>
        <w:t>The accompanying consolidated financial statements have been prepared on a going concern basis, which contemplates the realization of assets and the satisfaction of liabilities in the normal course of business, and, as such, the consolidated financial statements do not include any adjustments relating to the recoverability and classification of recorded asset amounts or amounts and classification of liabilities that might be necessary should the Company be unable to continue in existence.</w:t>
      </w:r>
    </w:p>
    <w:p>
      <w:pPr>
        <w:spacing w:after="0" w:line="11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Basis of Presentation</w:t>
      </w:r>
    </w:p>
    <w:p>
      <w:pPr>
        <w:spacing w:after="0" w:line="117" w:lineRule="exact"/>
        <w:rPr>
          <w:sz w:val="20"/>
          <w:szCs w:val="20"/>
          <w:color w:val="auto"/>
        </w:rPr>
      </w:pPr>
    </w:p>
    <w:p>
      <w:pPr>
        <w:ind w:right="120"/>
        <w:spacing w:after="0" w:line="264" w:lineRule="auto"/>
        <w:rPr>
          <w:sz w:val="20"/>
          <w:szCs w:val="20"/>
          <w:color w:val="auto"/>
        </w:rPr>
      </w:pPr>
      <w:r>
        <w:rPr>
          <w:rFonts w:ascii="Arial" w:cs="Arial" w:eastAsia="Arial" w:hAnsi="Arial"/>
          <w:sz w:val="18"/>
          <w:szCs w:val="18"/>
          <w:color w:val="auto"/>
        </w:rPr>
        <w:t>The accompanying consolidated financial statements have been prepared in accordance with generally accepted accounting principles in the United States of America (U.S. GAAP). The accompanying consolidated financial statements include the accounts of Restoration Robotics, Inc. and its wholly owned subsidiaries.</w:t>
      </w:r>
    </w:p>
    <w:p>
      <w:pPr>
        <w:spacing w:after="0" w:line="10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Principles of Consolidation</w:t>
      </w:r>
    </w:p>
    <w:p>
      <w:pPr>
        <w:spacing w:after="0" w:line="117" w:lineRule="exact"/>
        <w:rPr>
          <w:sz w:val="20"/>
          <w:szCs w:val="20"/>
          <w:color w:val="auto"/>
        </w:rPr>
      </w:pPr>
    </w:p>
    <w:p>
      <w:pPr>
        <w:jc w:val="both"/>
        <w:ind w:right="120"/>
        <w:spacing w:after="0" w:line="264" w:lineRule="auto"/>
        <w:rPr>
          <w:sz w:val="20"/>
          <w:szCs w:val="20"/>
          <w:color w:val="auto"/>
        </w:rPr>
      </w:pPr>
      <w:r>
        <w:rPr>
          <w:rFonts w:ascii="Arial" w:cs="Arial" w:eastAsia="Arial" w:hAnsi="Arial"/>
          <w:sz w:val="18"/>
          <w:szCs w:val="18"/>
          <w:color w:val="auto"/>
        </w:rPr>
        <w:t>The accompanying consolidated financial statements include the accounts of Restoration Robotics, Inc. and its wholly owned subsidiaries, which are located in the United States, United Kingdom, Spain, Hong Kong and South Korea. All significant intercompany accounts and transactions have been eliminated in consolidation.</w:t>
      </w:r>
    </w:p>
    <w:p>
      <w:pPr>
        <w:spacing w:after="0" w:line="11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Use of Estimates</w:t>
      </w:r>
    </w:p>
    <w:p>
      <w:pPr>
        <w:spacing w:after="0" w:line="117" w:lineRule="exact"/>
        <w:rPr>
          <w:sz w:val="20"/>
          <w:szCs w:val="20"/>
          <w:color w:val="auto"/>
        </w:rPr>
      </w:pPr>
    </w:p>
    <w:p>
      <w:pPr>
        <w:ind w:right="60"/>
        <w:spacing w:after="0" w:line="272" w:lineRule="auto"/>
        <w:rPr>
          <w:sz w:val="20"/>
          <w:szCs w:val="20"/>
          <w:color w:val="auto"/>
        </w:rPr>
      </w:pPr>
      <w:r>
        <w:rPr>
          <w:rFonts w:ascii="Arial" w:cs="Arial" w:eastAsia="Arial" w:hAnsi="Arial"/>
          <w:sz w:val="17"/>
          <w:szCs w:val="17"/>
          <w:color w:val="auto"/>
        </w:rPr>
        <w:t>The preparation of the consolidated financial statements in conformity with U.S. GAAP requires management to make estimates and assumptions that affect the reported amounts of assets and liabilities and disclosure of contingent assets and liabilities as of the date of the consolidated financial statements and the reported amounts of revenue and expenses during the reporting period. Significant estimates and assumptions made in the accompanying consolidated financial statements include, but are not limited to revenue recognition, the fair value of common stock, the fair value of preferred stock warrant liabilities, and the recoverability of the Company’s net deferred tax assets, and related valuation allowance. The Company evaluates its estimates and assumptions on an ongoing basis using historical experience and other factors and adjusts those estimates and assumptions when facts and circumstances dictate. Actual results could materially differ from those estimates.</w:t>
      </w:r>
    </w:p>
    <w:p>
      <w:pPr>
        <w:spacing w:after="0" w:line="11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Segments</w:t>
      </w:r>
    </w:p>
    <w:p>
      <w:pPr>
        <w:spacing w:after="0" w:line="117" w:lineRule="exact"/>
        <w:rPr>
          <w:sz w:val="20"/>
          <w:szCs w:val="20"/>
          <w:color w:val="auto"/>
        </w:rPr>
      </w:pPr>
    </w:p>
    <w:p>
      <w:pPr>
        <w:ind w:right="120"/>
        <w:spacing w:after="0" w:line="257" w:lineRule="auto"/>
        <w:rPr>
          <w:sz w:val="20"/>
          <w:szCs w:val="20"/>
          <w:color w:val="auto"/>
        </w:rPr>
      </w:pPr>
      <w:r>
        <w:rPr>
          <w:rFonts w:ascii="Arial" w:cs="Arial" w:eastAsia="Arial" w:hAnsi="Arial"/>
          <w:sz w:val="18"/>
          <w:szCs w:val="18"/>
          <w:color w:val="auto"/>
        </w:rPr>
        <w:t>Operating segments are defined as components of an entity for which separate financial information is available and that is regularly reviewed by the Chief Operating Decision Maker (CODM) in deciding how to allocate resources to an individual segment and in assessing performance. The Company's CODM is its Chief Executive Officer. The Company has determined it operates in a single operating segment and has one reportable segment, as the CODM reviews financial information presented on a consolidated basis for purposes of making operating decisions, allocating resources, and evaluating financial performance.</w:t>
      </w:r>
    </w:p>
    <w:p>
      <w:pPr>
        <w:spacing w:after="0" w:line="10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Foreign Currency</w:t>
      </w:r>
    </w:p>
    <w:p>
      <w:pPr>
        <w:spacing w:after="0" w:line="117" w:lineRule="exact"/>
        <w:rPr>
          <w:sz w:val="20"/>
          <w:szCs w:val="20"/>
          <w:color w:val="auto"/>
        </w:rPr>
      </w:pPr>
    </w:p>
    <w:p>
      <w:pPr>
        <w:ind w:right="20"/>
        <w:spacing w:after="0" w:line="293" w:lineRule="auto"/>
        <w:rPr>
          <w:sz w:val="20"/>
          <w:szCs w:val="20"/>
          <w:color w:val="auto"/>
        </w:rPr>
      </w:pPr>
      <w:r>
        <w:rPr>
          <w:rFonts w:ascii="Arial" w:cs="Arial" w:eastAsia="Arial" w:hAnsi="Arial"/>
          <w:sz w:val="16"/>
          <w:szCs w:val="16"/>
          <w:color w:val="auto"/>
        </w:rPr>
        <w:t>The functional currency of the Company’s non-U.S. subsidiaries is the local currency. Asset and liability balances denominated in non-U.S. dollar currencies are translated into U.S. dollars using period-end exchange rates, while revenue and expenses are based upon the exchange rate at the time of the transaction, if known, or at the average rate for the period. Differences are included in stockholders’ equity (deficit) as a component of accumulated other comprehensive loss. Financial assets and liabilities denominated in currencies other than the functional currency are recorded at the exchange rate at the time of the transaction and subsequent gains and losses related to changes in the foreign currency are included in other income (expense), net in the accompanying consolidated statements of operations. The net foreign transaction gain or losses were insignificant for all periods presented.</w:t>
      </w:r>
    </w:p>
    <w:p>
      <w:pPr>
        <w:spacing w:after="0" w:line="16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449" w:right="239" w:bottom="1440" w:gutter="0" w:footer="0" w:header="0"/>
        </w:sectPr>
      </w:pPr>
    </w:p>
    <w:bookmarkStart w:id="81" w:name="page82"/>
    <w:bookmarkEnd w:id="81"/>
    <w:p>
      <w:pPr>
        <w:spacing w:after="0"/>
        <w:rPr>
          <w:sz w:val="20"/>
          <w:szCs w:val="20"/>
          <w:color w:val="auto"/>
        </w:rPr>
      </w:pPr>
      <w:r>
        <w:rPr>
          <w:rFonts w:ascii="Arial" w:cs="Arial" w:eastAsia="Arial" w:hAnsi="Arial"/>
          <w:sz w:val="18"/>
          <w:szCs w:val="18"/>
          <w:b w:val="1"/>
          <w:bCs w:val="1"/>
          <w:i w:val="1"/>
          <w:iCs w:val="1"/>
          <w:color w:val="auto"/>
        </w:rPr>
        <w:t>Cash and Cash Equivalents</w:t>
      </w:r>
    </w:p>
    <w:p>
      <w:pPr>
        <w:spacing w:after="0" w:line="117" w:lineRule="exact"/>
        <w:rPr>
          <w:sz w:val="20"/>
          <w:szCs w:val="20"/>
          <w:color w:val="auto"/>
        </w:rPr>
      </w:pPr>
    </w:p>
    <w:p>
      <w:pPr>
        <w:ind w:right="60"/>
        <w:spacing w:after="0" w:line="264" w:lineRule="auto"/>
        <w:rPr>
          <w:sz w:val="20"/>
          <w:szCs w:val="20"/>
          <w:color w:val="auto"/>
        </w:rPr>
      </w:pPr>
      <w:r>
        <w:rPr>
          <w:rFonts w:ascii="Arial" w:cs="Arial" w:eastAsia="Arial" w:hAnsi="Arial"/>
          <w:sz w:val="18"/>
          <w:szCs w:val="18"/>
          <w:color w:val="auto"/>
        </w:rPr>
        <w:t>The Company considers all highly liquid investments with an original maturity of three months or less from the date of purchase to be cash equivalents. Cash and cash equivalents consists primarily of funds invested in readily available checking and savings accounts, investments in money market funds and short-term time deposits.</w:t>
      </w:r>
    </w:p>
    <w:p>
      <w:pPr>
        <w:spacing w:after="0" w:line="73"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color w:val="auto"/>
        </w:rPr>
        <w:t>The following table provides a reconciliation of cash, cash equivalents, and restricted cash reported within the balance sheets that sum to the total of the same amounts shown in the statements of cash flows.</w:t>
      </w:r>
    </w:p>
    <w:p>
      <w:pPr>
        <w:spacing w:after="0" w:line="230" w:lineRule="exact"/>
        <w:rPr>
          <w:sz w:val="20"/>
          <w:szCs w:val="20"/>
          <w:color w:val="auto"/>
        </w:rPr>
      </w:pPr>
    </w:p>
    <w:tbl>
      <w:tblPr>
        <w:tblLayout w:type="fixed"/>
        <w:tblInd w:w="1720" w:type="dxa"/>
        <w:tblCellMar>
          <w:top w:w="0" w:type="dxa"/>
          <w:left w:w="0" w:type="dxa"/>
          <w:bottom w:w="0" w:type="dxa"/>
          <w:right w:w="0" w:type="dxa"/>
        </w:tblCellMar>
      </w:tblPr>
      <w:tr>
        <w:trPr>
          <w:trHeight w:val="171"/>
        </w:trPr>
        <w:tc>
          <w:tcPr>
            <w:tcW w:w="458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144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December 31,</w:t>
            </w:r>
          </w:p>
        </w:tc>
        <w:tc>
          <w:tcPr>
            <w:tcW w:w="780" w:type="dxa"/>
            <w:vAlign w:val="bottom"/>
            <w:tcBorders>
              <w:bottom w:val="single" w:sz="8" w:color="auto"/>
            </w:tcBorders>
          </w:tcPr>
          <w:p>
            <w:pPr>
              <w:spacing w:after="0"/>
              <w:rPr>
                <w:sz w:val="14"/>
                <w:szCs w:val="14"/>
                <w:color w:val="auto"/>
              </w:rPr>
            </w:pPr>
          </w:p>
        </w:tc>
        <w:tc>
          <w:tcPr>
            <w:tcW w:w="60" w:type="dxa"/>
            <w:vAlign w:val="bottom"/>
          </w:tcPr>
          <w:p>
            <w:pPr>
              <w:spacing w:after="0"/>
              <w:rPr>
                <w:sz w:val="14"/>
                <w:szCs w:val="14"/>
                <w:color w:val="auto"/>
              </w:rPr>
            </w:pPr>
          </w:p>
        </w:tc>
      </w:tr>
      <w:tr>
        <w:trPr>
          <w:trHeight w:val="156"/>
        </w:trPr>
        <w:tc>
          <w:tcPr>
            <w:tcW w:w="4580" w:type="dxa"/>
            <w:vAlign w:val="bottom"/>
            <w:tcBorders>
              <w:bottom w:val="single" w:sz="8" w:color="CFF0FC"/>
            </w:tcBorders>
          </w:tcPr>
          <w:p>
            <w:pPr>
              <w:spacing w:after="0"/>
              <w:rPr>
                <w:sz w:val="13"/>
                <w:szCs w:val="13"/>
                <w:color w:val="auto"/>
              </w:rPr>
            </w:pPr>
          </w:p>
        </w:tc>
        <w:tc>
          <w:tcPr>
            <w:tcW w:w="860" w:type="dxa"/>
            <w:vAlign w:val="bottom"/>
            <w:tcBorders>
              <w:bottom w:val="single" w:sz="8" w:color="CFF0FC"/>
            </w:tcBorders>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880" w:type="dxa"/>
            <w:vAlign w:val="bottom"/>
            <w:tcBorders>
              <w:bottom w:val="single" w:sz="8" w:color="auto"/>
            </w:tcBorders>
          </w:tcPr>
          <w:p>
            <w:pPr>
              <w:jc w:val="right"/>
              <w:ind w:right="337"/>
              <w:spacing w:after="0" w:line="155" w:lineRule="exact"/>
              <w:rPr>
                <w:sz w:val="20"/>
                <w:szCs w:val="20"/>
                <w:color w:val="auto"/>
              </w:rPr>
            </w:pPr>
            <w:r>
              <w:rPr>
                <w:rFonts w:ascii="Arial" w:cs="Arial" w:eastAsia="Arial" w:hAnsi="Arial"/>
                <w:sz w:val="14"/>
                <w:szCs w:val="14"/>
                <w:b w:val="1"/>
                <w:bCs w:val="1"/>
                <w:color w:val="auto"/>
              </w:rPr>
              <w:t>2017</w:t>
            </w:r>
          </w:p>
        </w:tc>
        <w:tc>
          <w:tcPr>
            <w:tcW w:w="200" w:type="dxa"/>
            <w:vAlign w:val="bottom"/>
            <w:tcBorders>
              <w:bottom w:val="single" w:sz="8" w:color="CFF0FC"/>
            </w:tcBorders>
          </w:tcPr>
          <w:p>
            <w:pPr>
              <w:spacing w:after="0"/>
              <w:rPr>
                <w:sz w:val="13"/>
                <w:szCs w:val="13"/>
                <w:color w:val="auto"/>
              </w:rPr>
            </w:pPr>
          </w:p>
        </w:tc>
        <w:tc>
          <w:tcPr>
            <w:tcW w:w="360" w:type="dxa"/>
            <w:vAlign w:val="bottom"/>
            <w:tcBorders>
              <w:bottom w:val="single" w:sz="8" w:color="auto"/>
            </w:tcBorders>
          </w:tcPr>
          <w:p>
            <w:pPr>
              <w:spacing w:after="0"/>
              <w:rPr>
                <w:sz w:val="13"/>
                <w:szCs w:val="13"/>
                <w:color w:val="auto"/>
              </w:rPr>
            </w:pPr>
          </w:p>
        </w:tc>
        <w:tc>
          <w:tcPr>
            <w:tcW w:w="780" w:type="dxa"/>
            <w:vAlign w:val="bottom"/>
            <w:tcBorders>
              <w:bottom w:val="single" w:sz="8" w:color="auto"/>
            </w:tcBorders>
          </w:tcPr>
          <w:p>
            <w:pPr>
              <w:jc w:val="right"/>
              <w:ind w:right="354"/>
              <w:spacing w:after="0" w:line="155" w:lineRule="exact"/>
              <w:rPr>
                <w:sz w:val="20"/>
                <w:szCs w:val="20"/>
                <w:color w:val="auto"/>
              </w:rPr>
            </w:pPr>
            <w:r>
              <w:rPr>
                <w:rFonts w:ascii="Arial" w:cs="Arial" w:eastAsia="Arial" w:hAnsi="Arial"/>
                <w:sz w:val="14"/>
                <w:szCs w:val="14"/>
                <w:b w:val="1"/>
                <w:bCs w:val="1"/>
                <w:color w:val="auto"/>
              </w:rPr>
              <w:t>2016</w:t>
            </w:r>
          </w:p>
        </w:tc>
        <w:tc>
          <w:tcPr>
            <w:tcW w:w="60" w:type="dxa"/>
            <w:vAlign w:val="bottom"/>
            <w:tcBorders>
              <w:bottom w:val="single" w:sz="8" w:color="CFF0FC"/>
            </w:tcBorders>
          </w:tcPr>
          <w:p>
            <w:pPr>
              <w:spacing w:after="0"/>
              <w:rPr>
                <w:sz w:val="13"/>
                <w:szCs w:val="13"/>
                <w:color w:val="auto"/>
              </w:rPr>
            </w:pPr>
          </w:p>
        </w:tc>
      </w:tr>
      <w:tr>
        <w:trPr>
          <w:trHeight w:val="223"/>
        </w:trPr>
        <w:tc>
          <w:tcPr>
            <w:tcW w:w="4580" w:type="dxa"/>
            <w:vAlign w:val="bottom"/>
            <w:shd w:val="clear" w:color="auto" w:fill="CFF0FC"/>
          </w:tcPr>
          <w:p>
            <w:pPr>
              <w:spacing w:after="0"/>
              <w:rPr>
                <w:sz w:val="20"/>
                <w:szCs w:val="20"/>
                <w:color w:val="auto"/>
              </w:rPr>
            </w:pPr>
            <w:r>
              <w:rPr>
                <w:rFonts w:ascii="Arial" w:cs="Arial" w:eastAsia="Arial" w:hAnsi="Arial"/>
                <w:sz w:val="18"/>
                <w:szCs w:val="18"/>
                <w:color w:val="auto"/>
              </w:rPr>
              <w:t>Cash and cash equivalents</w:t>
            </w:r>
          </w:p>
        </w:tc>
        <w:tc>
          <w:tcPr>
            <w:tcW w:w="860" w:type="dxa"/>
            <w:vAlign w:val="bottom"/>
            <w:shd w:val="clear" w:color="auto" w:fill="CFF0FC"/>
          </w:tcPr>
          <w:p>
            <w:pPr>
              <w:spacing w:after="0"/>
              <w:rPr>
                <w:sz w:val="19"/>
                <w:szCs w:val="19"/>
                <w:color w:val="auto"/>
              </w:rPr>
            </w:pPr>
          </w:p>
        </w:tc>
        <w:tc>
          <w:tcPr>
            <w:tcW w:w="260" w:type="dxa"/>
            <w:vAlign w:val="bottom"/>
            <w:shd w:val="clear" w:color="auto" w:fill="CFF0FC"/>
          </w:tcPr>
          <w:p>
            <w:pPr>
              <w:jc w:val="right"/>
              <w:ind w:right="70"/>
              <w:spacing w:after="0"/>
              <w:rPr>
                <w:sz w:val="20"/>
                <w:szCs w:val="20"/>
                <w:color w:val="auto"/>
              </w:rPr>
            </w:pPr>
            <w:r>
              <w:rPr>
                <w:rFonts w:ascii="Arial" w:cs="Arial" w:eastAsia="Arial" w:hAnsi="Arial"/>
                <w:sz w:val="18"/>
                <w:szCs w:val="18"/>
                <w:color w:val="auto"/>
                <w:w w:val="79"/>
              </w:rPr>
              <w:t>$</w:t>
            </w: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23,545</w:t>
            </w:r>
          </w:p>
        </w:tc>
        <w:tc>
          <w:tcPr>
            <w:tcW w:w="200" w:type="dxa"/>
            <w:vAlign w:val="bottom"/>
            <w:shd w:val="clear" w:color="auto" w:fill="CFF0FC"/>
          </w:tcPr>
          <w:p>
            <w:pPr>
              <w:spacing w:after="0"/>
              <w:rPr>
                <w:sz w:val="19"/>
                <w:szCs w:val="19"/>
                <w:color w:val="auto"/>
              </w:rPr>
            </w:pPr>
          </w:p>
        </w:tc>
        <w:tc>
          <w:tcPr>
            <w:tcW w:w="360" w:type="dxa"/>
            <w:vAlign w:val="bottom"/>
            <w:shd w:val="clear" w:color="auto" w:fill="CFF0FC"/>
          </w:tcPr>
          <w:p>
            <w:pPr>
              <w:jc w:val="right"/>
              <w:ind w:right="170"/>
              <w:spacing w:after="0"/>
              <w:rPr>
                <w:sz w:val="20"/>
                <w:szCs w:val="20"/>
                <w:color w:val="auto"/>
              </w:rPr>
            </w:pPr>
            <w:r>
              <w:rPr>
                <w:rFonts w:ascii="Arial" w:cs="Arial" w:eastAsia="Arial" w:hAnsi="Arial"/>
                <w:sz w:val="18"/>
                <w:szCs w:val="18"/>
                <w:color w:val="auto"/>
                <w:w w:val="79"/>
              </w:rPr>
              <w:t>$</w:t>
            </w: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11,906</w:t>
            </w:r>
          </w:p>
        </w:tc>
        <w:tc>
          <w:tcPr>
            <w:tcW w:w="60" w:type="dxa"/>
            <w:vAlign w:val="bottom"/>
            <w:shd w:val="clear" w:color="auto" w:fill="CFF0FC"/>
          </w:tcPr>
          <w:p>
            <w:pPr>
              <w:spacing w:after="0"/>
              <w:rPr>
                <w:sz w:val="19"/>
                <w:szCs w:val="19"/>
                <w:color w:val="auto"/>
              </w:rPr>
            </w:pPr>
          </w:p>
        </w:tc>
      </w:tr>
      <w:tr>
        <w:trPr>
          <w:trHeight w:val="230"/>
        </w:trPr>
        <w:tc>
          <w:tcPr>
            <w:tcW w:w="458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Restricted cash</w:t>
            </w:r>
          </w:p>
        </w:tc>
        <w:tc>
          <w:tcPr>
            <w:tcW w:w="860" w:type="dxa"/>
            <w:vAlign w:val="bottom"/>
            <w:tcBorders>
              <w:bottom w:val="single" w:sz="8" w:color="CFF0FC"/>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100</w:t>
            </w:r>
          </w:p>
        </w:tc>
        <w:tc>
          <w:tcPr>
            <w:tcW w:w="200" w:type="dxa"/>
            <w:vAlign w:val="bottom"/>
            <w:tcBorders>
              <w:bottom w:val="single" w:sz="8" w:color="CFF0FC"/>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100</w:t>
            </w:r>
          </w:p>
        </w:tc>
        <w:tc>
          <w:tcPr>
            <w:tcW w:w="60" w:type="dxa"/>
            <w:vAlign w:val="bottom"/>
            <w:tcBorders>
              <w:bottom w:val="single" w:sz="8" w:color="CFF0FC"/>
            </w:tcBorders>
          </w:tcPr>
          <w:p>
            <w:pPr>
              <w:spacing w:after="0"/>
              <w:rPr>
                <w:sz w:val="19"/>
                <w:szCs w:val="19"/>
                <w:color w:val="auto"/>
              </w:rPr>
            </w:pPr>
          </w:p>
        </w:tc>
      </w:tr>
      <w:tr>
        <w:trPr>
          <w:trHeight w:val="209"/>
        </w:trPr>
        <w:tc>
          <w:tcPr>
            <w:tcW w:w="4580" w:type="dxa"/>
            <w:vAlign w:val="bottom"/>
            <w:shd w:val="clear" w:color="auto" w:fill="CFF0FC"/>
          </w:tcPr>
          <w:p>
            <w:pPr>
              <w:ind w:left="120"/>
              <w:spacing w:after="0"/>
              <w:rPr>
                <w:sz w:val="20"/>
                <w:szCs w:val="20"/>
                <w:color w:val="auto"/>
              </w:rPr>
            </w:pPr>
            <w:r>
              <w:rPr>
                <w:rFonts w:ascii="Arial" w:cs="Arial" w:eastAsia="Arial" w:hAnsi="Arial"/>
                <w:sz w:val="18"/>
                <w:szCs w:val="18"/>
                <w:color w:val="auto"/>
              </w:rPr>
              <w:t>Total cash, cash equivalents and restricted cash in</w:t>
            </w:r>
          </w:p>
        </w:tc>
        <w:tc>
          <w:tcPr>
            <w:tcW w:w="86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88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78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r>
      <w:tr>
        <w:trPr>
          <w:trHeight w:val="230"/>
        </w:trPr>
        <w:tc>
          <w:tcPr>
            <w:tcW w:w="4580" w:type="dxa"/>
            <w:vAlign w:val="bottom"/>
            <w:shd w:val="clear" w:color="auto" w:fill="CFF0FC"/>
          </w:tcPr>
          <w:p>
            <w:pPr>
              <w:ind w:left="260"/>
              <w:spacing w:after="0"/>
              <w:rPr>
                <w:sz w:val="20"/>
                <w:szCs w:val="20"/>
                <w:color w:val="auto"/>
              </w:rPr>
            </w:pPr>
            <w:r>
              <w:rPr>
                <w:rFonts w:ascii="Arial" w:cs="Arial" w:eastAsia="Arial" w:hAnsi="Arial"/>
                <w:sz w:val="18"/>
                <w:szCs w:val="18"/>
                <w:color w:val="auto"/>
              </w:rPr>
              <w:t>the consolidated statements of cash flows</w:t>
            </w:r>
          </w:p>
        </w:tc>
        <w:tc>
          <w:tcPr>
            <w:tcW w:w="1120" w:type="dxa"/>
            <w:vAlign w:val="bottom"/>
            <w:gridSpan w:val="2"/>
            <w:shd w:val="clear" w:color="auto" w:fill="CFF0FC"/>
          </w:tcPr>
          <w:p>
            <w:pPr>
              <w:jc w:val="right"/>
              <w:ind w:right="70"/>
              <w:spacing w:after="0"/>
              <w:rPr>
                <w:sz w:val="20"/>
                <w:szCs w:val="20"/>
                <w:color w:val="auto"/>
              </w:rPr>
            </w:pPr>
            <w:r>
              <w:rPr>
                <w:rFonts w:ascii="Arial" w:cs="Arial" w:eastAsia="Arial" w:hAnsi="Arial"/>
                <w:sz w:val="18"/>
                <w:szCs w:val="18"/>
                <w:color w:val="auto"/>
              </w:rPr>
              <w:t>$</w:t>
            </w: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23,645</w:t>
            </w:r>
          </w:p>
        </w:tc>
        <w:tc>
          <w:tcPr>
            <w:tcW w:w="560" w:type="dxa"/>
            <w:vAlign w:val="bottom"/>
            <w:gridSpan w:val="2"/>
            <w:shd w:val="clear" w:color="auto" w:fill="CFF0FC"/>
          </w:tcPr>
          <w:p>
            <w:pPr>
              <w:jc w:val="right"/>
              <w:ind w:right="170"/>
              <w:spacing w:after="0"/>
              <w:rPr>
                <w:sz w:val="20"/>
                <w:szCs w:val="20"/>
                <w:color w:val="auto"/>
              </w:rPr>
            </w:pPr>
            <w:r>
              <w:rPr>
                <w:rFonts w:ascii="Arial" w:cs="Arial" w:eastAsia="Arial" w:hAnsi="Arial"/>
                <w:sz w:val="18"/>
                <w:szCs w:val="18"/>
                <w:color w:val="auto"/>
              </w:rPr>
              <w:t>$</w:t>
            </w: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12,006</w:t>
            </w:r>
          </w:p>
        </w:tc>
        <w:tc>
          <w:tcPr>
            <w:tcW w:w="60" w:type="dxa"/>
            <w:vAlign w:val="bottom"/>
            <w:shd w:val="clear" w:color="auto" w:fill="CFF0FC"/>
          </w:tcPr>
          <w:p>
            <w:pPr>
              <w:spacing w:after="0"/>
              <w:rPr>
                <w:sz w:val="20"/>
                <w:szCs w:val="20"/>
                <w:color w:val="auto"/>
              </w:rPr>
            </w:pPr>
          </w:p>
        </w:tc>
      </w:tr>
      <w:tr>
        <w:trPr>
          <w:trHeight w:val="20"/>
        </w:trPr>
        <w:tc>
          <w:tcPr>
            <w:tcW w:w="4580" w:type="dxa"/>
            <w:vAlign w:val="bottom"/>
            <w:tcBorders>
              <w:top w:val="single" w:sz="8" w:color="CFF0FC"/>
            </w:tcBorders>
          </w:tcPr>
          <w:p>
            <w:pPr>
              <w:spacing w:after="0" w:line="20" w:lineRule="exact"/>
              <w:rPr>
                <w:sz w:val="1"/>
                <w:szCs w:val="1"/>
                <w:color w:val="auto"/>
              </w:rPr>
            </w:pPr>
          </w:p>
        </w:tc>
        <w:tc>
          <w:tcPr>
            <w:tcW w:w="860" w:type="dxa"/>
            <w:vAlign w:val="bottom"/>
            <w:tcBorders>
              <w:top w:val="single" w:sz="8" w:color="CFF0FC"/>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FF0FC"/>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CFF0FC"/>
            </w:tcBorders>
          </w:tcPr>
          <w:p>
            <w:pPr>
              <w:spacing w:after="0" w:line="20" w:lineRule="exact"/>
              <w:rPr>
                <w:sz w:val="1"/>
                <w:szCs w:val="1"/>
                <w:color w:val="auto"/>
              </w:rPr>
            </w:pPr>
          </w:p>
        </w:tc>
      </w:tr>
    </w:tbl>
    <w:p>
      <w:pPr>
        <w:spacing w:after="0" w:line="13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Restricted Cash</w:t>
      </w:r>
    </w:p>
    <w:p>
      <w:pPr>
        <w:spacing w:after="0" w:line="117"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As of December 31, 2017 and 2016, the Company was required to hold $100 in a separate money market account as collateral for credit cards. These amounts are recorded in other assets in the accompanying consolidated balance sheets.</w:t>
      </w:r>
    </w:p>
    <w:p>
      <w:pPr>
        <w:spacing w:after="0" w:line="8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Concentration of Credit Risk</w:t>
      </w:r>
    </w:p>
    <w:p>
      <w:pPr>
        <w:spacing w:after="0" w:line="117"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color w:val="auto"/>
        </w:rPr>
        <w:t>Financial instruments that potentially subject the Company to a concentration of credit risk consist of cash and cash equivalents, restricted cash and accounts receivable. Substantially all of the Company’s cash and cash equivalents and restricted cash are held with two financial institutions, and the account balances exceed the Federal Deposit Insurance Corporation (FDIC) insurance limit. Accounts are insured by the FDIC up to $250 per financial institution. The Company has not experienced any losses in such accounts with these financial institutions.</w:t>
      </w:r>
    </w:p>
    <w:p>
      <w:pPr>
        <w:spacing w:after="0" w:line="11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Concentration of Customers</w:t>
      </w:r>
    </w:p>
    <w:p>
      <w:pPr>
        <w:spacing w:after="0" w:line="117" w:lineRule="exact"/>
        <w:rPr>
          <w:sz w:val="20"/>
          <w:szCs w:val="20"/>
          <w:color w:val="auto"/>
        </w:rPr>
      </w:pPr>
    </w:p>
    <w:p>
      <w:pPr>
        <w:ind w:right="100"/>
        <w:spacing w:after="0" w:line="264" w:lineRule="auto"/>
        <w:rPr>
          <w:sz w:val="20"/>
          <w:szCs w:val="20"/>
          <w:color w:val="auto"/>
        </w:rPr>
      </w:pPr>
      <w:r>
        <w:rPr>
          <w:rFonts w:ascii="Arial" w:cs="Arial" w:eastAsia="Arial" w:hAnsi="Arial"/>
          <w:sz w:val="18"/>
          <w:szCs w:val="18"/>
          <w:color w:val="auto"/>
        </w:rPr>
        <w:t>For the year ended December 31, 2017, 2016 and 2015, there were no customers accounting for more than 10% of the Company’s revenue. As of December 31, 2017, two customers each accounted for 10% and 11% of the Company’s accounts receivable. As of December 31, 2016, six customers accounted for 10%, 11%, 11%, 11%, 12%, and 13% of the Company’s accounts receivable.</w:t>
      </w:r>
    </w:p>
    <w:p>
      <w:pPr>
        <w:spacing w:after="0" w:line="11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Allowance for Doubtful Accounts</w:t>
      </w:r>
    </w:p>
    <w:p>
      <w:pPr>
        <w:spacing w:after="0" w:line="117" w:lineRule="exact"/>
        <w:rPr>
          <w:sz w:val="20"/>
          <w:szCs w:val="20"/>
          <w:color w:val="auto"/>
        </w:rPr>
      </w:pPr>
    </w:p>
    <w:p>
      <w:pPr>
        <w:ind w:right="160"/>
        <w:spacing w:after="0" w:line="279" w:lineRule="auto"/>
        <w:rPr>
          <w:sz w:val="20"/>
          <w:szCs w:val="20"/>
          <w:color w:val="auto"/>
        </w:rPr>
      </w:pPr>
      <w:r>
        <w:rPr>
          <w:rFonts w:ascii="Arial" w:cs="Arial" w:eastAsia="Arial" w:hAnsi="Arial"/>
          <w:sz w:val="17"/>
          <w:szCs w:val="17"/>
          <w:color w:val="auto"/>
        </w:rPr>
        <w:t>Accounts receivable do not bear interest and are typically not collateralized. The Company performs ongoing credit evaluations of its customers and maintains reserves for potential credit losses. Accounts receivable are deemed past due in accordance with the contractual terms of the agreement. Accounts are charged against the allowance for doubtful accounts once collection efforts are unsuccessful. Historically, such losses have been within management's expectations. The allowance for doubtful accounts is $229 and $0 at December 31, 2017 and 2016.</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Investments</w:t>
      </w:r>
    </w:p>
    <w:p>
      <w:pPr>
        <w:spacing w:after="0" w:line="117"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The Company determines the appropriate designation of its investments as “trading”, “available-for-sale” or “held-to-maturity” based on management’s intent at the time of purchase and reevaluates such designated at each reporting date. For all reporting periods presented, the Company’s investments are designated as available-for-sale. The Company determines any realized gains or losses on the sale of any investments on a specific identification method and records such gains and losses in the accompanying consolidated statements of operations.</w:t>
      </w:r>
    </w:p>
    <w:p>
      <w:pPr>
        <w:spacing w:after="0" w:line="79"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color w:val="auto"/>
        </w:rPr>
        <w:t>The Company evaluates its investments periodically for possible other-than-temporary impairment. A decline in fair value below the amortized cost of the investment is considered other-than-temporary impairment if the Company has the intent to sell the investment or it is more likely than not that the Company will be required to sell the investment before recovery of the entire amortized cost basis. In those instances, an impairment charge equal to the difference between the fair value and the amortized cost.</w:t>
      </w:r>
    </w:p>
    <w:p>
      <w:pPr>
        <w:spacing w:after="0" w:line="1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490" w:right="259" w:bottom="1440" w:gutter="0" w:footer="0" w:header="0"/>
        </w:sectPr>
      </w:pPr>
    </w:p>
    <w:bookmarkStart w:id="82" w:name="page83"/>
    <w:bookmarkEnd w:id="82"/>
    <w:p>
      <w:pPr>
        <w:spacing w:after="0"/>
        <w:rPr>
          <w:sz w:val="20"/>
          <w:szCs w:val="20"/>
          <w:color w:val="auto"/>
        </w:rPr>
      </w:pPr>
      <w:r>
        <w:rPr>
          <w:rFonts w:ascii="Arial" w:cs="Arial" w:eastAsia="Arial" w:hAnsi="Arial"/>
          <w:sz w:val="18"/>
          <w:szCs w:val="18"/>
          <w:b w:val="1"/>
          <w:bCs w:val="1"/>
          <w:i w:val="1"/>
          <w:iCs w:val="1"/>
          <w:color w:val="auto"/>
        </w:rPr>
        <w:t>Inventory</w:t>
      </w:r>
    </w:p>
    <w:p>
      <w:pPr>
        <w:spacing w:after="0" w:line="117" w:lineRule="exact"/>
        <w:rPr>
          <w:sz w:val="20"/>
          <w:szCs w:val="20"/>
          <w:color w:val="auto"/>
        </w:rPr>
      </w:pPr>
    </w:p>
    <w:p>
      <w:pPr>
        <w:ind w:right="280"/>
        <w:spacing w:after="0" w:line="312" w:lineRule="auto"/>
        <w:rPr>
          <w:sz w:val="20"/>
          <w:szCs w:val="20"/>
          <w:color w:val="auto"/>
        </w:rPr>
      </w:pPr>
      <w:r>
        <w:rPr>
          <w:rFonts w:ascii="Arial" w:cs="Arial" w:eastAsia="Arial" w:hAnsi="Arial"/>
          <w:sz w:val="16"/>
          <w:szCs w:val="16"/>
          <w:color w:val="auto"/>
        </w:rPr>
        <w:t>Inventory is stated at the lower of cost or net realizable value and cost is principally determined using the first-in, first-out method. Costs include material, labor and overhead. Inventory that is obsolete or in excess of forecasted usage is written down to its estimated net realizable value based on assumptions about future demand and market conditions. Inventory write-downs are charged to cost of goods sold and a new cost basis for the inventory is established.</w:t>
      </w:r>
    </w:p>
    <w:p>
      <w:pPr>
        <w:spacing w:after="0" w:line="6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Concentration of Supplier</w:t>
      </w:r>
    </w:p>
    <w:p>
      <w:pPr>
        <w:spacing w:after="0" w:line="117" w:lineRule="exact"/>
        <w:rPr>
          <w:sz w:val="20"/>
          <w:szCs w:val="20"/>
          <w:color w:val="auto"/>
        </w:rPr>
      </w:pPr>
    </w:p>
    <w:p>
      <w:pPr>
        <w:ind w:right="100"/>
        <w:spacing w:after="0" w:line="308" w:lineRule="auto"/>
        <w:rPr>
          <w:sz w:val="20"/>
          <w:szCs w:val="20"/>
          <w:color w:val="auto"/>
        </w:rPr>
      </w:pPr>
      <w:r>
        <w:rPr>
          <w:rFonts w:ascii="Arial" w:cs="Arial" w:eastAsia="Arial" w:hAnsi="Arial"/>
          <w:sz w:val="17"/>
          <w:szCs w:val="17"/>
          <w:color w:val="auto"/>
        </w:rPr>
        <w:t>The Company has a single source supplier manufacturing its system. If the supplier is not able to supply the requested orders, the Company would be unable to continue to derive revenue from the sale of systems until an alternative source is found, which could take a considerable length of time.</w:t>
      </w:r>
    </w:p>
    <w:p>
      <w:pPr>
        <w:spacing w:after="0" w:line="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Property and Equipment</w:t>
      </w:r>
    </w:p>
    <w:p>
      <w:pPr>
        <w:spacing w:after="0" w:line="117" w:lineRule="exact"/>
        <w:rPr>
          <w:sz w:val="20"/>
          <w:szCs w:val="20"/>
          <w:color w:val="auto"/>
        </w:rPr>
      </w:pPr>
    </w:p>
    <w:p>
      <w:pPr>
        <w:ind w:right="100"/>
        <w:spacing w:after="0" w:line="302" w:lineRule="auto"/>
        <w:rPr>
          <w:sz w:val="20"/>
          <w:szCs w:val="20"/>
          <w:color w:val="auto"/>
        </w:rPr>
      </w:pPr>
      <w:r>
        <w:rPr>
          <w:rFonts w:ascii="Arial" w:cs="Arial" w:eastAsia="Arial" w:hAnsi="Arial"/>
          <w:sz w:val="16"/>
          <w:szCs w:val="16"/>
          <w:color w:val="auto"/>
        </w:rPr>
        <w:t>Property and equipment are stated at cost, net of accumulated depreciation and amortization. Depreciation and amortization are computed using the straight-line method over the estimated useful lives of the assets, which is between three and five years. Leasehold improvements are amortized over the lesser of the life of the lease or the useful life of the improvements. Maintenance and repairs are charged to expense as incurred. When assets are retired or otherwise disposed of, the cost and accumulated depreciation are removed from the consolidated balance sheet, and any resulting gain or loss is reflected in operations.</w:t>
      </w:r>
    </w:p>
    <w:p>
      <w:pPr>
        <w:spacing w:after="0" w:line="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Impairment of Long-Lived Assets</w:t>
      </w:r>
    </w:p>
    <w:p>
      <w:pPr>
        <w:spacing w:after="0" w:line="117" w:lineRule="exact"/>
        <w:rPr>
          <w:sz w:val="20"/>
          <w:szCs w:val="20"/>
          <w:color w:val="auto"/>
        </w:rPr>
      </w:pPr>
    </w:p>
    <w:p>
      <w:pPr>
        <w:spacing w:after="0" w:line="273" w:lineRule="auto"/>
        <w:rPr>
          <w:sz w:val="20"/>
          <w:szCs w:val="20"/>
          <w:color w:val="auto"/>
        </w:rPr>
      </w:pPr>
      <w:r>
        <w:rPr>
          <w:rFonts w:ascii="Arial" w:cs="Arial" w:eastAsia="Arial" w:hAnsi="Arial"/>
          <w:sz w:val="17"/>
          <w:szCs w:val="17"/>
          <w:color w:val="auto"/>
        </w:rPr>
        <w:t>Long-lived assets are reviewed annually for impairment or whenever events or changes in circumstances indicate that the carrying amount of an asset may not be recoverable. Recoverability is measured by comparison of the carrying amount to the future net undiscounted cash flows that the assets are expected to generate. If the carrying amount of an asset group exceeds its estimated future cash flows, an impairment charge is recognized in the amount by which the carrying amount of the asset group exceeds the fair value of the asset group. If such assets are considered to be impaired, the impairment to be recognized is measured by the amount by which the carrying amount of the assets exceeds the projected discounted future net cash flows arising from the asset. There has been no impairment of long-lived assets for any of the periods presented.</w:t>
      </w:r>
    </w:p>
    <w:p>
      <w:pPr>
        <w:spacing w:after="0" w:line="9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Preferred Stock Warrants Liabilities</w:t>
      </w:r>
    </w:p>
    <w:p>
      <w:pPr>
        <w:spacing w:after="0" w:line="117" w:lineRule="exact"/>
        <w:rPr>
          <w:sz w:val="20"/>
          <w:szCs w:val="20"/>
          <w:color w:val="auto"/>
        </w:rPr>
      </w:pPr>
    </w:p>
    <w:p>
      <w:pPr>
        <w:ind w:right="20"/>
        <w:spacing w:after="0" w:line="273" w:lineRule="auto"/>
        <w:rPr>
          <w:sz w:val="20"/>
          <w:szCs w:val="20"/>
          <w:color w:val="auto"/>
        </w:rPr>
      </w:pPr>
      <w:r>
        <w:rPr>
          <w:rFonts w:ascii="Arial" w:cs="Arial" w:eastAsia="Arial" w:hAnsi="Arial"/>
          <w:sz w:val="17"/>
          <w:szCs w:val="17"/>
          <w:color w:val="auto"/>
        </w:rPr>
        <w:t>The Company accounted for its freestanding warrants to purchase shares of convertible preferred stock that are contingently redeemable as liabilities in the consolidated balance sheets at their estimated fair value because these warrants may have obligated the Company to redeem them at some point in the future. At the end of each reporting period, changes in the estimated fair value of the warrants to purchase shares of convertible preferred stock were recorded as other income (expense), net in the consolidated statements of operations. Upon the closing of the IPO (as discussed in Note 1), all outstanding preferred stock warrants were converted into common stock warrants and the liability on the preferred stock warrants was reclassified to additional paid-in capital in stockholders’ equity (deficit) and was no longer subject to remeasurement.</w:t>
      </w:r>
    </w:p>
    <w:p>
      <w:pPr>
        <w:spacing w:after="0" w:line="11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Debt Issuance Costs</w:t>
      </w:r>
    </w:p>
    <w:p>
      <w:pPr>
        <w:spacing w:after="0" w:line="117" w:lineRule="exact"/>
        <w:rPr>
          <w:sz w:val="20"/>
          <w:szCs w:val="20"/>
          <w:color w:val="auto"/>
        </w:rPr>
      </w:pPr>
    </w:p>
    <w:p>
      <w:pPr>
        <w:ind w:right="520"/>
        <w:spacing w:after="0" w:line="277" w:lineRule="auto"/>
        <w:rPr>
          <w:sz w:val="20"/>
          <w:szCs w:val="20"/>
          <w:color w:val="auto"/>
        </w:rPr>
      </w:pPr>
      <w:r>
        <w:rPr>
          <w:rFonts w:ascii="Arial" w:cs="Arial" w:eastAsia="Arial" w:hAnsi="Arial"/>
          <w:sz w:val="18"/>
          <w:szCs w:val="18"/>
          <w:color w:val="auto"/>
        </w:rPr>
        <w:t>Costs related to the issuance of debt are presented as a direct deduction to the carrying value of the debt and are amortized to interest expense using the effective interest rate method over the term of the related debt.</w:t>
      </w:r>
    </w:p>
    <w:p>
      <w:pPr>
        <w:spacing w:after="0" w:line="10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Gain on Sale of Stock Investment</w:t>
      </w:r>
    </w:p>
    <w:p>
      <w:pPr>
        <w:spacing w:after="0" w:line="117" w:lineRule="exact"/>
        <w:rPr>
          <w:sz w:val="20"/>
          <w:szCs w:val="20"/>
          <w:color w:val="auto"/>
        </w:rPr>
      </w:pPr>
    </w:p>
    <w:p>
      <w:pPr>
        <w:ind w:right="380"/>
        <w:spacing w:after="0" w:line="277" w:lineRule="auto"/>
        <w:rPr>
          <w:sz w:val="20"/>
          <w:szCs w:val="20"/>
          <w:color w:val="auto"/>
        </w:rPr>
      </w:pPr>
      <w:r>
        <w:rPr>
          <w:rFonts w:ascii="Arial" w:cs="Arial" w:eastAsia="Arial" w:hAnsi="Arial"/>
          <w:sz w:val="18"/>
          <w:szCs w:val="18"/>
          <w:color w:val="auto"/>
        </w:rPr>
        <w:t>In the fourth quarter of 2017, the Company recognized a gain of $1,851 on the sale of stock held in a privately-held company that had been impaired and written-down to nil prior to fiscal year 2014.</w:t>
      </w:r>
    </w:p>
    <w:p>
      <w:pPr>
        <w:spacing w:after="0" w:line="8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Revenue Recognition</w:t>
      </w:r>
    </w:p>
    <w:p>
      <w:pPr>
        <w:spacing w:after="0" w:line="117" w:lineRule="exact"/>
        <w:rPr>
          <w:sz w:val="20"/>
          <w:szCs w:val="20"/>
          <w:color w:val="auto"/>
        </w:rPr>
      </w:pPr>
    </w:p>
    <w:p>
      <w:pPr>
        <w:ind w:right="180"/>
        <w:spacing w:after="0" w:line="264" w:lineRule="auto"/>
        <w:rPr>
          <w:sz w:val="20"/>
          <w:szCs w:val="20"/>
          <w:color w:val="auto"/>
        </w:rPr>
      </w:pPr>
      <w:r>
        <w:rPr>
          <w:rFonts w:ascii="Arial" w:cs="Arial" w:eastAsia="Arial" w:hAnsi="Arial"/>
          <w:sz w:val="18"/>
          <w:szCs w:val="18"/>
          <w:color w:val="auto"/>
        </w:rPr>
        <w:t>The Company generates revenue from sales of robotic systems and related procedures, and related support and maintenance. The Company derives revenue primarily from two sources: (i) Product revenue, which includes robotic systems sales, installation, software, procedure key and disposable kits; and (ii) Support and maintenance revenue, which includes support, training, and service contracts.</w:t>
      </w:r>
    </w:p>
    <w:p>
      <w:pPr>
        <w:spacing w:after="0" w:line="18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490" w:right="259" w:bottom="1440" w:gutter="0" w:footer="0" w:header="0"/>
        </w:sectPr>
      </w:pPr>
    </w:p>
    <w:bookmarkStart w:id="83" w:name="page84"/>
    <w:bookmarkEnd w:id="83"/>
    <w:p>
      <w:pPr>
        <w:ind w:right="620"/>
        <w:spacing w:after="0" w:line="277" w:lineRule="auto"/>
        <w:rPr>
          <w:sz w:val="20"/>
          <w:szCs w:val="20"/>
          <w:color w:val="auto"/>
        </w:rPr>
      </w:pPr>
      <w:r>
        <w:rPr>
          <w:rFonts w:ascii="Arial" w:cs="Arial" w:eastAsia="Arial" w:hAnsi="Arial"/>
          <w:sz w:val="18"/>
          <w:szCs w:val="18"/>
          <w:color w:val="auto"/>
        </w:rPr>
        <w:t>Revenue is recognized when all of the following criteria are met: (l) persuasive evidence of an arrangement exists; (2) the product or service has been delivered; (3) the sales price is fixed or determinable; and (4) collection is reasonably assured.</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color w:val="231F20"/>
        </w:rPr>
        <w:t>The Company defines each of the four criteria above as follows:</w:t>
      </w:r>
    </w:p>
    <w:p>
      <w:pPr>
        <w:spacing w:after="0" w:line="117" w:lineRule="exact"/>
        <w:rPr>
          <w:sz w:val="20"/>
          <w:szCs w:val="20"/>
          <w:color w:val="auto"/>
        </w:rPr>
      </w:pPr>
    </w:p>
    <w:p>
      <w:pPr>
        <w:ind w:left="1100" w:right="100" w:hanging="363"/>
        <w:spacing w:after="0" w:line="375" w:lineRule="auto"/>
        <w:tabs>
          <w:tab w:leader="none" w:pos="1100" w:val="left"/>
        </w:tabs>
        <w:numPr>
          <w:ilvl w:val="0"/>
          <w:numId w:val="53"/>
        </w:numPr>
        <w:rPr>
          <w:rFonts w:ascii="Arial" w:cs="Arial" w:eastAsia="Arial" w:hAnsi="Arial"/>
          <w:sz w:val="15"/>
          <w:szCs w:val="15"/>
          <w:color w:val="231F20"/>
        </w:rPr>
      </w:pPr>
      <w:r>
        <w:rPr>
          <w:rFonts w:ascii="Arial" w:cs="Arial" w:eastAsia="Arial" w:hAnsi="Arial"/>
          <w:sz w:val="15"/>
          <w:szCs w:val="15"/>
          <w:b w:val="1"/>
          <w:bCs w:val="1"/>
          <w:i w:val="1"/>
          <w:iCs w:val="1"/>
          <w:color w:val="231F20"/>
        </w:rPr>
        <w:t>Persuasive Evidence of Arrangement Exists</w:t>
      </w:r>
      <w:r>
        <w:rPr>
          <w:rFonts w:ascii="Arial" w:cs="Arial" w:eastAsia="Arial" w:hAnsi="Arial"/>
          <w:sz w:val="15"/>
          <w:szCs w:val="15"/>
          <w:color w:val="231F20"/>
        </w:rPr>
        <w:t>. The Company uses purchase orders pursuant to the terms and conditions of a master agreement</w:t>
      </w:r>
      <w:r>
        <w:rPr>
          <w:rFonts w:ascii="Arial" w:cs="Arial" w:eastAsia="Arial" w:hAnsi="Arial"/>
          <w:sz w:val="15"/>
          <w:szCs w:val="15"/>
          <w:b w:val="1"/>
          <w:bCs w:val="1"/>
          <w:i w:val="1"/>
          <w:iCs w:val="1"/>
          <w:color w:val="231F20"/>
        </w:rPr>
        <w:t xml:space="preserve"> </w:t>
      </w:r>
      <w:r>
        <w:rPr>
          <w:rFonts w:ascii="Arial" w:cs="Arial" w:eastAsia="Arial" w:hAnsi="Arial"/>
          <w:sz w:val="15"/>
          <w:szCs w:val="15"/>
          <w:color w:val="231F20"/>
        </w:rPr>
        <w:t>to support the evidence of an arrangement with distributors and uses purchase agreements as evidence of arrangement with direct customers.</w:t>
      </w:r>
    </w:p>
    <w:p>
      <w:pPr>
        <w:spacing w:after="0" w:line="1" w:lineRule="exact"/>
        <w:rPr>
          <w:rFonts w:ascii="Arial" w:cs="Arial" w:eastAsia="Arial" w:hAnsi="Arial"/>
          <w:sz w:val="15"/>
          <w:szCs w:val="15"/>
          <w:color w:val="231F20"/>
        </w:rPr>
      </w:pPr>
    </w:p>
    <w:p>
      <w:pPr>
        <w:ind w:left="1100" w:right="160" w:hanging="363"/>
        <w:spacing w:after="0" w:line="302" w:lineRule="auto"/>
        <w:tabs>
          <w:tab w:leader="none" w:pos="1100" w:val="left"/>
        </w:tabs>
        <w:numPr>
          <w:ilvl w:val="0"/>
          <w:numId w:val="53"/>
        </w:numPr>
        <w:rPr>
          <w:rFonts w:ascii="Arial" w:cs="Arial" w:eastAsia="Arial" w:hAnsi="Arial"/>
          <w:sz w:val="16"/>
          <w:szCs w:val="16"/>
          <w:color w:val="231F20"/>
        </w:rPr>
      </w:pPr>
      <w:r>
        <w:rPr>
          <w:rFonts w:ascii="Arial" w:cs="Arial" w:eastAsia="Arial" w:hAnsi="Arial"/>
          <w:sz w:val="16"/>
          <w:szCs w:val="16"/>
          <w:b w:val="1"/>
          <w:bCs w:val="1"/>
          <w:i w:val="1"/>
          <w:iCs w:val="1"/>
          <w:color w:val="231F20"/>
        </w:rPr>
        <w:t>Delivery has Occurred</w:t>
      </w:r>
      <w:r>
        <w:rPr>
          <w:rFonts w:ascii="Arial" w:cs="Arial" w:eastAsia="Arial" w:hAnsi="Arial"/>
          <w:sz w:val="16"/>
          <w:szCs w:val="16"/>
          <w:color w:val="231F20"/>
        </w:rPr>
        <w:t>. Provided that all other revenue recognition criteria have been met, for direct sales the Company typically recognizes</w:t>
      </w:r>
      <w:r>
        <w:rPr>
          <w:rFonts w:ascii="Arial" w:cs="Arial" w:eastAsia="Arial" w:hAnsi="Arial"/>
          <w:sz w:val="16"/>
          <w:szCs w:val="16"/>
          <w:b w:val="1"/>
          <w:bCs w:val="1"/>
          <w:i w:val="1"/>
          <w:iCs w:val="1"/>
          <w:color w:val="231F20"/>
        </w:rPr>
        <w:t xml:space="preserve"> </w:t>
      </w:r>
      <w:r>
        <w:rPr>
          <w:rFonts w:ascii="Arial" w:cs="Arial" w:eastAsia="Arial" w:hAnsi="Arial"/>
          <w:sz w:val="16"/>
          <w:szCs w:val="16"/>
          <w:color w:val="231F20"/>
        </w:rPr>
        <w:t>system revenue upon customer acceptance, or upon shipment for systems sold to distributors, as title and risk of loss are transferred at that time, and there are no further obligations and no rights of return. Procedure revenue is recognized upon shipment of disposable kits and delivery of the ARTAS key. Support and maintenance revenue is recognized over time as the services are delivered.</w:t>
      </w:r>
    </w:p>
    <w:p>
      <w:pPr>
        <w:spacing w:after="0" w:line="46" w:lineRule="exact"/>
        <w:rPr>
          <w:rFonts w:ascii="Arial" w:cs="Arial" w:eastAsia="Arial" w:hAnsi="Arial"/>
          <w:sz w:val="16"/>
          <w:szCs w:val="16"/>
          <w:color w:val="231F20"/>
        </w:rPr>
      </w:pPr>
    </w:p>
    <w:p>
      <w:pPr>
        <w:ind w:left="1100" w:right="100" w:hanging="363"/>
        <w:spacing w:after="0" w:line="312" w:lineRule="auto"/>
        <w:tabs>
          <w:tab w:leader="none" w:pos="1100" w:val="left"/>
        </w:tabs>
        <w:numPr>
          <w:ilvl w:val="0"/>
          <w:numId w:val="53"/>
        </w:numPr>
        <w:rPr>
          <w:rFonts w:ascii="Arial" w:cs="Arial" w:eastAsia="Arial" w:hAnsi="Arial"/>
          <w:sz w:val="16"/>
          <w:szCs w:val="16"/>
          <w:color w:val="231F20"/>
        </w:rPr>
      </w:pPr>
      <w:r>
        <w:rPr>
          <w:rFonts w:ascii="Arial" w:cs="Arial" w:eastAsia="Arial" w:hAnsi="Arial"/>
          <w:sz w:val="16"/>
          <w:szCs w:val="16"/>
          <w:b w:val="1"/>
          <w:bCs w:val="1"/>
          <w:i w:val="1"/>
          <w:iCs w:val="1"/>
          <w:color w:val="231F20"/>
        </w:rPr>
        <w:t>The Sales Price is Fixed or Determinable</w:t>
      </w:r>
      <w:r>
        <w:rPr>
          <w:rFonts w:ascii="Arial" w:cs="Arial" w:eastAsia="Arial" w:hAnsi="Arial"/>
          <w:sz w:val="16"/>
          <w:szCs w:val="16"/>
          <w:color w:val="231F20"/>
        </w:rPr>
        <w:t>. The Company assesses whether the fee is fixed or determinable based on the payment terms</w:t>
      </w:r>
      <w:r>
        <w:rPr>
          <w:rFonts w:ascii="Arial" w:cs="Arial" w:eastAsia="Arial" w:hAnsi="Arial"/>
          <w:sz w:val="16"/>
          <w:szCs w:val="16"/>
          <w:b w:val="1"/>
          <w:bCs w:val="1"/>
          <w:i w:val="1"/>
          <w:iCs w:val="1"/>
          <w:color w:val="231F20"/>
        </w:rPr>
        <w:t xml:space="preserve"> </w:t>
      </w:r>
      <w:r>
        <w:rPr>
          <w:rFonts w:ascii="Arial" w:cs="Arial" w:eastAsia="Arial" w:hAnsi="Arial"/>
          <w:sz w:val="16"/>
          <w:szCs w:val="16"/>
          <w:color w:val="231F20"/>
        </w:rPr>
        <w:t>associated with the transaction. If the terms are extended beyond the Company’s normal payment terms, the Company will recognize revenue as the payments become due. Payments from distributors are not contingent on the distributors’ receiving payment from the end-users.</w:t>
      </w:r>
    </w:p>
    <w:p>
      <w:pPr>
        <w:spacing w:after="0" w:line="38" w:lineRule="exact"/>
        <w:rPr>
          <w:rFonts w:ascii="Arial" w:cs="Arial" w:eastAsia="Arial" w:hAnsi="Arial"/>
          <w:sz w:val="16"/>
          <w:szCs w:val="16"/>
          <w:color w:val="231F20"/>
        </w:rPr>
      </w:pPr>
    </w:p>
    <w:p>
      <w:pPr>
        <w:ind w:left="1100" w:right="220" w:hanging="363"/>
        <w:spacing w:after="0" w:line="264" w:lineRule="auto"/>
        <w:tabs>
          <w:tab w:leader="none" w:pos="1100" w:val="left"/>
        </w:tabs>
        <w:numPr>
          <w:ilvl w:val="0"/>
          <w:numId w:val="53"/>
        </w:numPr>
        <w:rPr>
          <w:rFonts w:ascii="Arial" w:cs="Arial" w:eastAsia="Arial" w:hAnsi="Arial"/>
          <w:sz w:val="18"/>
          <w:szCs w:val="18"/>
          <w:color w:val="231F20"/>
        </w:rPr>
      </w:pPr>
      <w:r>
        <w:rPr>
          <w:rFonts w:ascii="Arial" w:cs="Arial" w:eastAsia="Arial" w:hAnsi="Arial"/>
          <w:sz w:val="18"/>
          <w:szCs w:val="18"/>
          <w:b w:val="1"/>
          <w:bCs w:val="1"/>
          <w:i w:val="1"/>
          <w:iCs w:val="1"/>
          <w:color w:val="231F20"/>
        </w:rPr>
        <w:t>Collection is Reasonably Assured</w:t>
      </w:r>
      <w:r>
        <w:rPr>
          <w:rFonts w:ascii="Arial" w:cs="Arial" w:eastAsia="Arial" w:hAnsi="Arial"/>
          <w:sz w:val="18"/>
          <w:szCs w:val="18"/>
          <w:color w:val="231F20"/>
        </w:rPr>
        <w:t>. The Company assesses probability of collection on an individual basis based on a number of factors,</w:t>
      </w:r>
      <w:r>
        <w:rPr>
          <w:rFonts w:ascii="Arial" w:cs="Arial" w:eastAsia="Arial" w:hAnsi="Arial"/>
          <w:sz w:val="18"/>
          <w:szCs w:val="18"/>
          <w:b w:val="1"/>
          <w:bCs w:val="1"/>
          <w:i w:val="1"/>
          <w:iCs w:val="1"/>
          <w:color w:val="231F20"/>
        </w:rPr>
        <w:t xml:space="preserve"> </w:t>
      </w:r>
      <w:r>
        <w:rPr>
          <w:rFonts w:ascii="Arial" w:cs="Arial" w:eastAsia="Arial" w:hAnsi="Arial"/>
          <w:sz w:val="18"/>
          <w:szCs w:val="18"/>
          <w:color w:val="231F20"/>
        </w:rPr>
        <w:t>including the credit-worthiness of the customer and past transaction history with the customer. The Company generally obtains a significant cash deposit from its customers prior to shipment.</w:t>
      </w:r>
    </w:p>
    <w:p>
      <w:pPr>
        <w:spacing w:after="0" w:line="73"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Company records its revenue net of sales tax and shipping and handling costs. Incremental direct costs incurred related to the acquisition or origination of a customer contract are expensed as incurred.</w:t>
      </w:r>
    </w:p>
    <w:p>
      <w:pPr>
        <w:spacing w:after="0" w:line="10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Multiple Element Arrangements</w:t>
      </w:r>
    </w:p>
    <w:p>
      <w:pPr>
        <w:spacing w:after="0" w:line="117"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 Company’s offering includes robotic systems containing software components that function together to provide the essential functionality of the product. Therefore, the Company’s hardware products (inclusive of the core software) are considered non-software deliverables and are not subject to industry-specific software revenue recognition guidance.</w:t>
      </w:r>
    </w:p>
    <w:p>
      <w:pPr>
        <w:spacing w:after="0" w:line="73" w:lineRule="exact"/>
        <w:rPr>
          <w:sz w:val="20"/>
          <w:szCs w:val="20"/>
          <w:color w:val="auto"/>
        </w:rPr>
      </w:pPr>
    </w:p>
    <w:p>
      <w:pPr>
        <w:jc w:val="both"/>
        <w:ind w:right="80"/>
        <w:spacing w:after="0" w:line="279" w:lineRule="auto"/>
        <w:rPr>
          <w:sz w:val="20"/>
          <w:szCs w:val="20"/>
          <w:color w:val="auto"/>
        </w:rPr>
      </w:pPr>
      <w:r>
        <w:rPr>
          <w:rFonts w:ascii="Arial" w:cs="Arial" w:eastAsia="Arial" w:hAnsi="Arial"/>
          <w:sz w:val="17"/>
          <w:szCs w:val="17"/>
          <w:color w:val="auto"/>
        </w:rPr>
        <w:t>The Company’s typical multiple element arrangement includes robotic systems (including the essential software), procedure key, installation (for direct sales to end-users), product training and service contracts. The Company considers each of these deliverables to be separate units of accounting based on whether the delivered items have stand-alone value. The Company has determined that each unit of accounting has stand-alone value because they are sold separately by the Company or, for hardware products, because the customers can resell them to others on a stand-alone basis.</w:t>
      </w:r>
    </w:p>
    <w:p>
      <w:pPr>
        <w:spacing w:after="0" w:line="63" w:lineRule="exact"/>
        <w:rPr>
          <w:sz w:val="20"/>
          <w:szCs w:val="20"/>
          <w:color w:val="auto"/>
        </w:rPr>
      </w:pPr>
    </w:p>
    <w:p>
      <w:pPr>
        <w:ind w:right="40"/>
        <w:spacing w:after="0" w:line="257" w:lineRule="auto"/>
        <w:rPr>
          <w:sz w:val="20"/>
          <w:szCs w:val="20"/>
          <w:color w:val="auto"/>
        </w:rPr>
      </w:pPr>
      <w:r>
        <w:rPr>
          <w:rFonts w:ascii="Arial" w:cs="Arial" w:eastAsia="Arial" w:hAnsi="Arial"/>
          <w:sz w:val="18"/>
          <w:szCs w:val="18"/>
          <w:color w:val="auto"/>
        </w:rPr>
        <w:t>For the arrangements with multiple deliverables, the Company allocates the arrangement fee to each element based upon the relative selling price of such element. When applying the relative selling price method, the Company determines the selling price for each element using vendor-specific objective evidence (VSOE) of selling price, if it exists, or if not, third-party evidence (TPE) of selling price, if it exists. If neither VSOE nor TPE of selling price exist for an element, the Company uses its best estimated selling price (BESP) for that element. The revenue allocated to each element is then recognized when the basic revenue recognition criteria are met for that element.</w:t>
      </w:r>
    </w:p>
    <w:p>
      <w:pPr>
        <w:spacing w:after="0" w:line="80" w:lineRule="exact"/>
        <w:rPr>
          <w:sz w:val="20"/>
          <w:szCs w:val="20"/>
          <w:color w:val="auto"/>
        </w:rPr>
      </w:pPr>
    </w:p>
    <w:p>
      <w:pPr>
        <w:ind w:right="60"/>
        <w:spacing w:after="0" w:line="312" w:lineRule="auto"/>
        <w:rPr>
          <w:sz w:val="20"/>
          <w:szCs w:val="20"/>
          <w:color w:val="auto"/>
        </w:rPr>
      </w:pPr>
      <w:r>
        <w:rPr>
          <w:rFonts w:ascii="Arial" w:cs="Arial" w:eastAsia="Arial" w:hAnsi="Arial"/>
          <w:sz w:val="16"/>
          <w:szCs w:val="16"/>
          <w:color w:val="auto"/>
        </w:rPr>
        <w:t>The Company is not able to establish a selling price of its deliverables using VSOE or to determine TPE for its products and services. TPE is determined based on competitor prices for similar deliverables when sold separately. Generally, the Company’s go-to-market strategy differs from that of its peers and its offerings contain a significant level of differentiation such that the comparable pricing of products with similar functionality cannot be obtained.</w:t>
      </w:r>
    </w:p>
    <w:p>
      <w:pPr>
        <w:spacing w:after="0" w:line="39" w:lineRule="exact"/>
        <w:rPr>
          <w:sz w:val="20"/>
          <w:szCs w:val="20"/>
          <w:color w:val="auto"/>
        </w:rPr>
      </w:pPr>
    </w:p>
    <w:p>
      <w:pPr>
        <w:ind w:right="200"/>
        <w:spacing w:after="0" w:line="279" w:lineRule="auto"/>
        <w:rPr>
          <w:sz w:val="20"/>
          <w:szCs w:val="20"/>
          <w:color w:val="auto"/>
        </w:rPr>
      </w:pPr>
      <w:r>
        <w:rPr>
          <w:rFonts w:ascii="Arial" w:cs="Arial" w:eastAsia="Arial" w:hAnsi="Arial"/>
          <w:sz w:val="17"/>
          <w:szCs w:val="17"/>
          <w:color w:val="auto"/>
        </w:rPr>
        <w:t>When the Company is unable to establish the selling price of its deliverables using VSOE or TPE, the Company uses BESP in its allocation of arrangement consideration. The objective of BESP is to determine the price at which the Company would transact a sale if the product or service were sold on a stand-alone basis. The Company determines BESP for a product or service by considering multiple factors including, but not limited to, industry and market conditions, competitive landscape, standard pricing practices and internal cost models. Additionally, the</w:t>
      </w:r>
    </w:p>
    <w:p>
      <w:pPr>
        <w:spacing w:after="0" w:line="17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449" w:right="259" w:bottom="1440" w:gutter="0" w:footer="0" w:header="0"/>
        </w:sectPr>
      </w:pPr>
    </w:p>
    <w:bookmarkStart w:id="84" w:name="page85"/>
    <w:bookmarkEnd w:id="84"/>
    <w:p>
      <w:pPr>
        <w:spacing w:after="0"/>
        <w:rPr>
          <w:sz w:val="20"/>
          <w:szCs w:val="20"/>
          <w:color w:val="auto"/>
        </w:rPr>
      </w:pPr>
      <w:r>
        <w:rPr>
          <w:rFonts w:ascii="Arial" w:cs="Arial" w:eastAsia="Arial" w:hAnsi="Arial"/>
          <w:sz w:val="18"/>
          <w:szCs w:val="18"/>
          <w:color w:val="auto"/>
        </w:rPr>
        <w:t>Company considers historical transactions, including transactions whereby the deliverable was sold on a stand-alone basis.</w:t>
      </w:r>
    </w:p>
    <w:p>
      <w:pPr>
        <w:spacing w:after="0" w:line="117" w:lineRule="exact"/>
        <w:rPr>
          <w:sz w:val="20"/>
          <w:szCs w:val="20"/>
          <w:color w:val="auto"/>
        </w:rPr>
      </w:pPr>
    </w:p>
    <w:p>
      <w:pPr>
        <w:jc w:val="both"/>
        <w:ind w:right="140"/>
        <w:spacing w:after="0" w:line="264" w:lineRule="auto"/>
        <w:rPr>
          <w:sz w:val="20"/>
          <w:szCs w:val="20"/>
          <w:color w:val="auto"/>
        </w:rPr>
      </w:pPr>
      <w:r>
        <w:rPr>
          <w:rFonts w:ascii="Arial" w:cs="Arial" w:eastAsia="Arial" w:hAnsi="Arial"/>
          <w:sz w:val="18"/>
          <w:szCs w:val="18"/>
          <w:color w:val="auto"/>
        </w:rPr>
        <w:t>Deferred revenue primarily relates to support and maintenance and pertains to billings or payments received in advance where all of the revenue recognition criteria have not been met. The current portion of deferred revenue represents the amounts that are expected to be recognized as revenue within one year of the consolidated balance sheet date.</w:t>
      </w:r>
    </w:p>
    <w:p>
      <w:pPr>
        <w:spacing w:after="0" w:line="11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Cost of Revenue</w:t>
      </w:r>
    </w:p>
    <w:p>
      <w:pPr>
        <w:spacing w:after="0" w:line="117"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Cost of revenue consists of product and fulfillment costs. Product costs include the cost of systems and disposable kits manufacture, related labor and personnel costs and allocated shared costs. Fulfillment costs consist of costs incurred in the shipping and handling of inventory including the shipping costs to the Company's customers, labor and related personnel costs related to receiving, inspecting, warehousing, and preparing systems and reusable kits for shipment.</w:t>
      </w:r>
    </w:p>
    <w:p>
      <w:pPr>
        <w:spacing w:after="0" w:line="79" w:lineRule="exact"/>
        <w:rPr>
          <w:sz w:val="20"/>
          <w:szCs w:val="20"/>
          <w:color w:val="auto"/>
        </w:rPr>
      </w:pPr>
    </w:p>
    <w:p>
      <w:pPr>
        <w:ind w:right="100"/>
        <w:spacing w:after="0" w:line="224" w:lineRule="exact"/>
        <w:rPr>
          <w:sz w:val="20"/>
          <w:szCs w:val="20"/>
          <w:color w:val="auto"/>
        </w:rPr>
      </w:pPr>
      <w:r>
        <w:rPr>
          <w:rFonts w:ascii="Arial" w:cs="Arial" w:eastAsia="Arial" w:hAnsi="Arial"/>
          <w:sz w:val="16"/>
          <w:szCs w:val="16"/>
          <w:color w:val="auto"/>
        </w:rPr>
        <w:t>Cost of revenue for customer service is expensed as incurred and primarily consists of personnel costs such as salaries, bonuses and benefits and stock</w:t>
      </w:r>
      <w:r>
        <w:rPr>
          <w:rFonts w:ascii="MS PGothic" w:cs="MS PGothic" w:eastAsia="MS PGothic" w:hAnsi="MS PGothic"/>
          <w:sz w:val="16"/>
          <w:szCs w:val="16"/>
          <w:color w:val="auto"/>
        </w:rPr>
        <w:t>‑</w:t>
      </w:r>
      <w:r>
        <w:rPr>
          <w:rFonts w:ascii="Arial" w:cs="Arial" w:eastAsia="Arial" w:hAnsi="Arial"/>
          <w:sz w:val="16"/>
          <w:szCs w:val="16"/>
          <w:color w:val="auto"/>
        </w:rPr>
        <w:t>based compensation for employees associated with service contracts, travel costs and allocated shared costs (including rent and information technology).</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Research and Development</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Research and development costs are charged to operations as incurred.</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Warranty</w:t>
      </w:r>
    </w:p>
    <w:p>
      <w:pPr>
        <w:spacing w:after="0" w:line="117" w:lineRule="exact"/>
        <w:rPr>
          <w:sz w:val="20"/>
          <w:szCs w:val="20"/>
          <w:color w:val="auto"/>
        </w:rPr>
      </w:pPr>
    </w:p>
    <w:p>
      <w:pPr>
        <w:ind w:right="20"/>
        <w:spacing w:after="0" w:line="264" w:lineRule="auto"/>
        <w:rPr>
          <w:sz w:val="20"/>
          <w:szCs w:val="20"/>
          <w:color w:val="auto"/>
        </w:rPr>
      </w:pPr>
      <w:r>
        <w:rPr>
          <w:rFonts w:ascii="Arial" w:cs="Arial" w:eastAsia="Arial" w:hAnsi="Arial"/>
          <w:sz w:val="18"/>
          <w:szCs w:val="18"/>
          <w:color w:val="auto"/>
        </w:rPr>
        <w:t>The Company provides a one-year warranty on the ARTAS System and accrues for the estimated future costs of repair or replacement upon customer acceptance or shipment. The warranty expense is accrued as a liability and recorded to cost of goods sold and is based upon historical information for the cost to repair or replace the system.</w:t>
      </w:r>
    </w:p>
    <w:p>
      <w:pPr>
        <w:spacing w:after="0" w:line="11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Sales Taxes</w:t>
      </w:r>
    </w:p>
    <w:p>
      <w:pPr>
        <w:spacing w:after="0" w:line="117" w:lineRule="exact"/>
        <w:rPr>
          <w:sz w:val="20"/>
          <w:szCs w:val="20"/>
          <w:color w:val="auto"/>
        </w:rPr>
      </w:pPr>
    </w:p>
    <w:p>
      <w:pPr>
        <w:ind w:right="60"/>
        <w:spacing w:after="0" w:line="308" w:lineRule="auto"/>
        <w:rPr>
          <w:sz w:val="20"/>
          <w:szCs w:val="20"/>
          <w:color w:val="auto"/>
        </w:rPr>
      </w:pPr>
      <w:r>
        <w:rPr>
          <w:rFonts w:ascii="Arial" w:cs="Arial" w:eastAsia="Arial" w:hAnsi="Arial"/>
          <w:sz w:val="17"/>
          <w:szCs w:val="17"/>
          <w:color w:val="auto"/>
        </w:rPr>
        <w:t>Revenue is recorded net of taxes collected from customers that are remitted to governmental authorities with the collected taxes recorded as current liabilities in accrued and other liabilities in the accompanying consolidated balance sheets until remitted to the relevant government authority.</w:t>
      </w:r>
    </w:p>
    <w:p>
      <w:pPr>
        <w:spacing w:after="0" w:line="6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Income Taxes</w:t>
      </w:r>
    </w:p>
    <w:p>
      <w:pPr>
        <w:spacing w:after="0" w:line="117" w:lineRule="exact"/>
        <w:rPr>
          <w:sz w:val="20"/>
          <w:szCs w:val="20"/>
          <w:color w:val="auto"/>
        </w:rPr>
      </w:pPr>
    </w:p>
    <w:p>
      <w:pPr>
        <w:ind w:right="100"/>
        <w:spacing w:after="0" w:line="255" w:lineRule="auto"/>
        <w:rPr>
          <w:sz w:val="20"/>
          <w:szCs w:val="20"/>
          <w:color w:val="auto"/>
        </w:rPr>
      </w:pPr>
      <w:r>
        <w:rPr>
          <w:rFonts w:ascii="Arial" w:cs="Arial" w:eastAsia="Arial" w:hAnsi="Arial"/>
          <w:sz w:val="18"/>
          <w:szCs w:val="18"/>
          <w:color w:val="auto"/>
        </w:rPr>
        <w:t>Income taxes are accounted for under the asset and liability method. Deferred tax assets and liabilities are recognized for the future tax consequences attributable to differences between the tax and financial reporting bases of the Company’s assets and liabilities. Deferred tax assets and liabilities are measured using enacted tax rates expected to apply to taxable income in future years in which those temporary differences are expected to be recovered or settled. Deferred tax assets are reduced through the establishment of a valuation allowance, if, based upon available evidence, it is determined that it is more likely than not that the deferred tax assets will not be realized. All deferred tax assets and liabilities are classified as non-current in the consolidated financial statements.</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Uncertain Tax Positions</w:t>
      </w:r>
    </w:p>
    <w:p>
      <w:pPr>
        <w:spacing w:after="0" w:line="117" w:lineRule="exact"/>
        <w:rPr>
          <w:sz w:val="20"/>
          <w:szCs w:val="20"/>
          <w:color w:val="auto"/>
        </w:rPr>
      </w:pPr>
    </w:p>
    <w:p>
      <w:pPr>
        <w:ind w:right="100"/>
        <w:spacing w:after="0" w:line="279" w:lineRule="auto"/>
        <w:rPr>
          <w:sz w:val="20"/>
          <w:szCs w:val="20"/>
          <w:color w:val="auto"/>
        </w:rPr>
      </w:pPr>
      <w:r>
        <w:rPr>
          <w:rFonts w:ascii="Arial" w:cs="Arial" w:eastAsia="Arial" w:hAnsi="Arial"/>
          <w:sz w:val="17"/>
          <w:szCs w:val="17"/>
          <w:color w:val="auto"/>
        </w:rPr>
        <w:t>The Company recognizes the effect of income tax positions only if those positions are more likely than not of being sustained on examination based on the technical merit of the position. The first step is to evaluate the tax position for recognition by determining if the weight of available evidence indicates it is more likely than not that the position will be sustained on examination, including resolution of related appeals or litigation processes, if any. The second step is to measure the tax benefit as the largest amount, which is more than 50% likely of being realized upon ultimate settlement.</w:t>
      </w:r>
    </w:p>
    <w:p>
      <w:pPr>
        <w:spacing w:after="0" w:line="63" w:lineRule="exact"/>
        <w:rPr>
          <w:sz w:val="20"/>
          <w:szCs w:val="20"/>
          <w:color w:val="auto"/>
        </w:rPr>
      </w:pPr>
    </w:p>
    <w:p>
      <w:pPr>
        <w:ind w:right="620"/>
        <w:spacing w:after="0" w:line="342" w:lineRule="auto"/>
        <w:rPr>
          <w:sz w:val="20"/>
          <w:szCs w:val="20"/>
          <w:color w:val="auto"/>
        </w:rPr>
      </w:pPr>
      <w:r>
        <w:rPr>
          <w:rFonts w:ascii="Arial" w:cs="Arial" w:eastAsia="Arial" w:hAnsi="Arial"/>
          <w:sz w:val="16"/>
          <w:szCs w:val="16"/>
          <w:color w:val="auto"/>
        </w:rPr>
        <w:t>The Company considers many factors when evaluating and estimating its tax positions and tax benefits, which may require periodic adjustments. The Company recognizes interest charges and penalties related to unrecognized tax benefits as a component of the tax provision.</w:t>
      </w:r>
    </w:p>
    <w:p>
      <w:pPr>
        <w:spacing w:after="0" w:line="5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Stock-Based Compensation</w:t>
      </w:r>
    </w:p>
    <w:p>
      <w:pPr>
        <w:spacing w:after="0" w:line="117" w:lineRule="exact"/>
        <w:rPr>
          <w:sz w:val="20"/>
          <w:szCs w:val="20"/>
          <w:color w:val="auto"/>
        </w:rPr>
      </w:pPr>
    </w:p>
    <w:p>
      <w:pPr>
        <w:ind w:right="280"/>
        <w:spacing w:after="0" w:line="277" w:lineRule="auto"/>
        <w:rPr>
          <w:sz w:val="20"/>
          <w:szCs w:val="20"/>
          <w:color w:val="auto"/>
        </w:rPr>
      </w:pPr>
      <w:r>
        <w:rPr>
          <w:rFonts w:ascii="Arial" w:cs="Arial" w:eastAsia="Arial" w:hAnsi="Arial"/>
          <w:sz w:val="18"/>
          <w:szCs w:val="18"/>
          <w:color w:val="auto"/>
        </w:rPr>
        <w:t>U.S. GAAP requires the measurement and recognition of compensation expense for all share-based payment awards, including stock options, using a fair-value based method. The Company estimates the fair value of share-based</w:t>
      </w:r>
    </w:p>
    <w:p>
      <w:pPr>
        <w:spacing w:after="0" w:line="17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449" w:right="259" w:bottom="1440" w:gutter="0" w:footer="0" w:header="0"/>
        </w:sectPr>
      </w:pPr>
    </w:p>
    <w:bookmarkStart w:id="85" w:name="page86"/>
    <w:bookmarkEnd w:id="85"/>
    <w:p>
      <w:pPr>
        <w:ind w:right="280"/>
        <w:spacing w:after="0" w:line="264" w:lineRule="auto"/>
        <w:rPr>
          <w:sz w:val="20"/>
          <w:szCs w:val="20"/>
          <w:color w:val="auto"/>
        </w:rPr>
      </w:pPr>
      <w:r>
        <w:rPr>
          <w:rFonts w:ascii="Arial" w:cs="Arial" w:eastAsia="Arial" w:hAnsi="Arial"/>
          <w:sz w:val="18"/>
          <w:szCs w:val="18"/>
          <w:color w:val="auto"/>
        </w:rPr>
        <w:t>payment awards on the date of grant using a Black-Scholes-Merton option-pricing model. Stock-based compensation is recognized on a straight-line basis over the requisite service period based on awards ultimately expected to vest. Forfeitures are estimated at the time of grant and revised, if necessary, in subsequent periods if actual forfeitures differ from those estimates.</w:t>
      </w:r>
    </w:p>
    <w:p>
      <w:pPr>
        <w:spacing w:after="0" w:line="73" w:lineRule="exact"/>
        <w:rPr>
          <w:sz w:val="20"/>
          <w:szCs w:val="20"/>
          <w:color w:val="auto"/>
        </w:rPr>
      </w:pPr>
    </w:p>
    <w:p>
      <w:pPr>
        <w:ind w:right="300"/>
        <w:spacing w:after="0" w:line="264" w:lineRule="auto"/>
        <w:rPr>
          <w:sz w:val="20"/>
          <w:szCs w:val="20"/>
          <w:color w:val="auto"/>
        </w:rPr>
      </w:pPr>
      <w:r>
        <w:rPr>
          <w:rFonts w:ascii="Arial" w:cs="Arial" w:eastAsia="Arial" w:hAnsi="Arial"/>
          <w:sz w:val="18"/>
          <w:szCs w:val="18"/>
          <w:color w:val="auto"/>
        </w:rPr>
        <w:t>Stock-based awards granted to non-employees are accounted for at fair value. The associated expense is recognized by the Company over the period the services are performed by non-employees. The fair value of stock-based awards granted to non-employees was nominal for the years ended December 31, 2017, 2016 and 2015.</w:t>
      </w:r>
    </w:p>
    <w:p>
      <w:pPr>
        <w:spacing w:after="0" w:line="11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Net Loss Per Share</w:t>
      </w:r>
    </w:p>
    <w:p>
      <w:pPr>
        <w:spacing w:after="0" w:line="117" w:lineRule="exact"/>
        <w:rPr>
          <w:sz w:val="20"/>
          <w:szCs w:val="20"/>
          <w:color w:val="auto"/>
        </w:rPr>
      </w:pPr>
    </w:p>
    <w:p>
      <w:pPr>
        <w:ind w:right="60"/>
        <w:spacing w:after="0" w:line="218" w:lineRule="exact"/>
        <w:rPr>
          <w:sz w:val="20"/>
          <w:szCs w:val="20"/>
          <w:color w:val="auto"/>
        </w:rPr>
      </w:pPr>
      <w:r>
        <w:rPr>
          <w:rFonts w:ascii="Arial" w:cs="Arial" w:eastAsia="Arial" w:hAnsi="Arial"/>
          <w:sz w:val="16"/>
          <w:szCs w:val="16"/>
          <w:color w:val="auto"/>
        </w:rPr>
        <w:t>Prior to the convervsion of all the preferred stock in connection with the IPO, the Company followed a two</w:t>
      </w:r>
      <w:r>
        <w:rPr>
          <w:rFonts w:ascii="MS PGothic" w:cs="MS PGothic" w:eastAsia="MS PGothic" w:hAnsi="MS PGothic"/>
          <w:sz w:val="16"/>
          <w:szCs w:val="16"/>
          <w:color w:val="auto"/>
        </w:rPr>
        <w:t>‑</w:t>
      </w:r>
      <w:r>
        <w:rPr>
          <w:rFonts w:ascii="Arial" w:cs="Arial" w:eastAsia="Arial" w:hAnsi="Arial"/>
          <w:sz w:val="16"/>
          <w:szCs w:val="16"/>
          <w:color w:val="auto"/>
        </w:rPr>
        <w:t>class method when computing net loss per common share as we issue shares that meet the definition of participating securities. The two</w:t>
      </w:r>
      <w:r>
        <w:rPr>
          <w:rFonts w:ascii="MS PGothic" w:cs="MS PGothic" w:eastAsia="MS PGothic" w:hAnsi="MS PGothic"/>
          <w:sz w:val="16"/>
          <w:szCs w:val="16"/>
          <w:color w:val="auto"/>
        </w:rPr>
        <w:t>‑</w:t>
      </w:r>
      <w:r>
        <w:rPr>
          <w:rFonts w:ascii="Arial" w:cs="Arial" w:eastAsia="Arial" w:hAnsi="Arial"/>
          <w:sz w:val="16"/>
          <w:szCs w:val="16"/>
          <w:color w:val="auto"/>
        </w:rPr>
        <w:t>class method determines net income (loss) per common share for each class of common stock and participating securities according to dividends declared or accumulated and participation rights in undistributed earnings. The two</w:t>
      </w:r>
      <w:r>
        <w:rPr>
          <w:rFonts w:ascii="MS PGothic" w:cs="MS PGothic" w:eastAsia="MS PGothic" w:hAnsi="MS PGothic"/>
          <w:sz w:val="16"/>
          <w:szCs w:val="16"/>
          <w:color w:val="auto"/>
        </w:rPr>
        <w:t>‑</w:t>
      </w:r>
      <w:r>
        <w:rPr>
          <w:rFonts w:ascii="Arial" w:cs="Arial" w:eastAsia="Arial" w:hAnsi="Arial"/>
          <w:sz w:val="16"/>
          <w:szCs w:val="16"/>
          <w:color w:val="auto"/>
        </w:rPr>
        <w:t>class method requires income for the period to be allocated between common stock and participating securities based upon their respective rights to receive dividends as if all income for the period had been distributed. Our convertible preferred stock contractually entitles the holders of such shares to participate in dividends, but does not contractually require the holders of such shares to participate in our losses. For periods in which the Company has reported net losses, diluted net loss per common share attributable to common stockholders is the same as basic net loss per common share attributable to common stockholders, because potentially dilutive common shares are not assumed to have been issued if their effect is anti</w:t>
      </w:r>
      <w:r>
        <w:rPr>
          <w:rFonts w:ascii="MS PGothic" w:cs="MS PGothic" w:eastAsia="MS PGothic" w:hAnsi="MS PGothic"/>
          <w:sz w:val="16"/>
          <w:szCs w:val="16"/>
          <w:color w:val="auto"/>
        </w:rPr>
        <w:t>‑</w:t>
      </w:r>
      <w:r>
        <w:rPr>
          <w:rFonts w:ascii="Arial" w:cs="Arial" w:eastAsia="Arial" w:hAnsi="Arial"/>
          <w:sz w:val="16"/>
          <w:szCs w:val="16"/>
          <w:color w:val="auto"/>
        </w:rPr>
        <w:t>dilutive.</w:t>
      </w:r>
    </w:p>
    <w:p>
      <w:pPr>
        <w:spacing w:after="0" w:line="12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Defined Contribution Plan</w:t>
      </w:r>
    </w:p>
    <w:p>
      <w:pPr>
        <w:spacing w:after="0" w:line="117" w:lineRule="exact"/>
        <w:rPr>
          <w:sz w:val="20"/>
          <w:szCs w:val="20"/>
          <w:color w:val="auto"/>
        </w:rPr>
      </w:pPr>
    </w:p>
    <w:p>
      <w:pPr>
        <w:ind w:right="340"/>
        <w:spacing w:after="0" w:line="264" w:lineRule="auto"/>
        <w:rPr>
          <w:sz w:val="20"/>
          <w:szCs w:val="20"/>
          <w:color w:val="auto"/>
        </w:rPr>
      </w:pPr>
      <w:r>
        <w:rPr>
          <w:rFonts w:ascii="Arial" w:cs="Arial" w:eastAsia="Arial" w:hAnsi="Arial"/>
          <w:sz w:val="18"/>
          <w:szCs w:val="18"/>
          <w:color w:val="auto"/>
        </w:rPr>
        <w:t>In 2006, the Company adopted a defined contribution retirement savings plan under Section 401(k) of the Internal Revenue Code (IRC). This plan covers employees who meet minimum age and service requirements and allows participants to defer a portion of their annual compensation on a pre-tax basis. Company contributions to the plan may be made at the discretion of the Board of Directors.</w:t>
      </w:r>
    </w:p>
    <w:p>
      <w:pPr>
        <w:spacing w:after="0" w:line="73" w:lineRule="exact"/>
        <w:rPr>
          <w:sz w:val="20"/>
          <w:szCs w:val="20"/>
          <w:color w:val="auto"/>
        </w:rPr>
      </w:pPr>
    </w:p>
    <w:p>
      <w:pPr>
        <w:spacing w:after="0"/>
        <w:rPr>
          <w:sz w:val="20"/>
          <w:szCs w:val="20"/>
          <w:color w:val="auto"/>
        </w:rPr>
      </w:pPr>
      <w:r>
        <w:rPr>
          <w:rFonts w:ascii="Arial" w:cs="Arial" w:eastAsia="Arial" w:hAnsi="Arial"/>
          <w:sz w:val="18"/>
          <w:szCs w:val="18"/>
          <w:color w:val="auto"/>
        </w:rPr>
        <w:t>There were no contributions by the Company during the years ended December 31, 2017, 2016 and 2015.</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JOBS Act Accounting Election</w:t>
      </w:r>
    </w:p>
    <w:p>
      <w:pPr>
        <w:spacing w:after="0" w:line="117" w:lineRule="exact"/>
        <w:rPr>
          <w:sz w:val="20"/>
          <w:szCs w:val="20"/>
          <w:color w:val="auto"/>
        </w:rPr>
      </w:pPr>
    </w:p>
    <w:p>
      <w:pPr>
        <w:ind w:right="140"/>
        <w:spacing w:after="0" w:line="293" w:lineRule="auto"/>
        <w:rPr>
          <w:sz w:val="20"/>
          <w:szCs w:val="20"/>
          <w:color w:val="auto"/>
        </w:rPr>
      </w:pPr>
      <w:r>
        <w:rPr>
          <w:rFonts w:ascii="Arial" w:cs="Arial" w:eastAsia="Arial" w:hAnsi="Arial"/>
          <w:sz w:val="16"/>
          <w:szCs w:val="16"/>
          <w:color w:val="auto"/>
        </w:rPr>
        <w:t>The Company is an emerging growth company, as defined in the Jumpstart Our Business Startups Act of 2012, or the JOBS Act. Under the JOBS Act, emerging growth companies can delay adopting new or revised accounting standards issued subsequent to the enactment of the JOBS Act until such time as those standards apply to private companies. The Company has elected to use this extended transition period for complying with new or revised accounting standards that have different effective dates for public and private companies until the earlier of the date that it is (i) no longer an emerging growth company or (ii) affirmatively and irrevocably opt out of the extended transition period provided in the JOBS Act. As a result, these consolidated financial statements may not be comparable to companies that comply with the new or revised accounting pronouncements as of public company effective dates.</w:t>
      </w:r>
    </w:p>
    <w:p>
      <w:pPr>
        <w:spacing w:after="0" w:line="9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Recently Issued Accounting Standards</w:t>
      </w:r>
    </w:p>
    <w:p>
      <w:pPr>
        <w:spacing w:after="0" w:line="117" w:lineRule="exact"/>
        <w:rPr>
          <w:sz w:val="20"/>
          <w:szCs w:val="20"/>
          <w:color w:val="auto"/>
        </w:rPr>
      </w:pPr>
    </w:p>
    <w:p>
      <w:pPr>
        <w:spacing w:after="0" w:line="218" w:lineRule="exact"/>
        <w:rPr>
          <w:sz w:val="20"/>
          <w:szCs w:val="20"/>
          <w:color w:val="auto"/>
        </w:rPr>
      </w:pPr>
      <w:r>
        <w:rPr>
          <w:rFonts w:ascii="Arial" w:cs="Arial" w:eastAsia="Arial" w:hAnsi="Arial"/>
          <w:sz w:val="17"/>
          <w:szCs w:val="17"/>
          <w:color w:val="auto"/>
        </w:rPr>
        <w:t>In May 2014, the FASB issued ASU No. 2014</w:t>
      </w:r>
      <w:r>
        <w:rPr>
          <w:rFonts w:ascii="MS PGothic" w:cs="MS PGothic" w:eastAsia="MS PGothic" w:hAnsi="MS PGothic"/>
          <w:sz w:val="17"/>
          <w:szCs w:val="17"/>
          <w:color w:val="auto"/>
        </w:rPr>
        <w:t>‑</w:t>
      </w:r>
      <w:r>
        <w:rPr>
          <w:rFonts w:ascii="Arial" w:cs="Arial" w:eastAsia="Arial" w:hAnsi="Arial"/>
          <w:sz w:val="17"/>
          <w:szCs w:val="17"/>
          <w:color w:val="auto"/>
        </w:rPr>
        <w:t xml:space="preserve">09, </w:t>
      </w:r>
      <w:r>
        <w:rPr>
          <w:rFonts w:ascii="Arial" w:cs="Arial" w:eastAsia="Arial" w:hAnsi="Arial"/>
          <w:sz w:val="17"/>
          <w:szCs w:val="17"/>
          <w:i w:val="1"/>
          <w:iCs w:val="1"/>
          <w:color w:val="auto"/>
        </w:rPr>
        <w:t>Revenue from Contracts with Customers</w:t>
      </w:r>
      <w:r>
        <w:rPr>
          <w:rFonts w:ascii="Arial" w:cs="Arial" w:eastAsia="Arial" w:hAnsi="Arial"/>
          <w:sz w:val="17"/>
          <w:szCs w:val="17"/>
          <w:color w:val="auto"/>
        </w:rPr>
        <w:t xml:space="preserve"> (Topic 606), as amended by ASU No. 2015-14, ASU No. 2016-08, ASU No. 2016-10, ASU No. 2016-12, and ASU No. 2016-20, collectively, ASU 2014-09. ASU 2014-09 establishes a principle for recognizing revenue upon the transfer of promised goods or services to customers in an amount that reflects the expected consideration received in exchange for those goods or services and also provides guidance on the recognition of costs related to obtaining and fulfilling customer contracts. For public entities, this standard is effective for annual reporting periods beginning after December 15, 2017, including interim periods within that reporting period. For all other entities, this standard is effective for annual reporting periods beginning after December 15, 2018, and interim periods within annual periods beginning after December 15, 2019. Early adoption is permitted. ASU 2014-09 may be adopted either respectively to each prior period presented (full retrospective method) or with the cumulative effect recognized as of the date of initial application (modified retrospective method). The Company expects to adopt this standard effective January 1, 2019 using the modified retrospective adoption method.</w:t>
      </w:r>
    </w:p>
    <w:p>
      <w:pPr>
        <w:spacing w:after="0" w:line="96" w:lineRule="exact"/>
        <w:rPr>
          <w:sz w:val="20"/>
          <w:szCs w:val="20"/>
          <w:color w:val="auto"/>
        </w:rPr>
      </w:pPr>
    </w:p>
    <w:p>
      <w:pPr>
        <w:ind w:right="60"/>
        <w:spacing w:after="0" w:line="264" w:lineRule="auto"/>
        <w:rPr>
          <w:sz w:val="20"/>
          <w:szCs w:val="20"/>
          <w:color w:val="auto"/>
        </w:rPr>
      </w:pPr>
      <w:r>
        <w:rPr>
          <w:rFonts w:ascii="Arial" w:cs="Arial" w:eastAsia="Arial" w:hAnsi="Arial"/>
          <w:sz w:val="18"/>
          <w:szCs w:val="18"/>
          <w:color w:val="auto"/>
        </w:rPr>
        <w:t>The Company’s preliminary assessment of areas to be impacted by the new standard identified possible impact to the deferral of costs to obtain a contract, which are primarily commission expense directly incurred as a result of sales of products and related support, and the allocation of revenue between products and support and maintenance</w:t>
      </w:r>
    </w:p>
    <w:p>
      <w:pPr>
        <w:spacing w:after="0" w:line="18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449" w:right="259" w:bottom="1440" w:gutter="0" w:footer="0" w:header="0"/>
        </w:sectPr>
      </w:pPr>
    </w:p>
    <w:bookmarkStart w:id="86" w:name="page87"/>
    <w:bookmarkEnd w:id="86"/>
    <w:p>
      <w:pPr>
        <w:ind w:right="60"/>
        <w:spacing w:after="0" w:line="277" w:lineRule="auto"/>
        <w:rPr>
          <w:sz w:val="20"/>
          <w:szCs w:val="20"/>
          <w:color w:val="auto"/>
        </w:rPr>
      </w:pPr>
      <w:r>
        <w:rPr>
          <w:rFonts w:ascii="Arial" w:cs="Arial" w:eastAsia="Arial" w:hAnsi="Arial"/>
          <w:sz w:val="18"/>
          <w:szCs w:val="18"/>
          <w:color w:val="auto"/>
        </w:rPr>
        <w:t>for certain arrangements. While the Company continues to assess the potential impact of the new standard, including the areas described above, it has not yet quantified the impact the new standard may have on its consolidated financial statements.</w:t>
      </w:r>
    </w:p>
    <w:p>
      <w:pPr>
        <w:spacing w:after="0" w:line="62" w:lineRule="exact"/>
        <w:rPr>
          <w:sz w:val="20"/>
          <w:szCs w:val="20"/>
          <w:color w:val="auto"/>
        </w:rPr>
      </w:pPr>
    </w:p>
    <w:p>
      <w:pPr>
        <w:ind w:right="120"/>
        <w:spacing w:after="0" w:line="218" w:lineRule="exact"/>
        <w:rPr>
          <w:sz w:val="20"/>
          <w:szCs w:val="20"/>
          <w:color w:val="auto"/>
        </w:rPr>
      </w:pPr>
      <w:r>
        <w:rPr>
          <w:rFonts w:ascii="Arial" w:cs="Arial" w:eastAsia="Arial" w:hAnsi="Arial"/>
          <w:sz w:val="16"/>
          <w:szCs w:val="16"/>
          <w:color w:val="auto"/>
        </w:rPr>
        <w:t>In February 2016, the FASB issued ASU No. 2016</w:t>
      </w:r>
      <w:r>
        <w:rPr>
          <w:rFonts w:ascii="MS PGothic" w:cs="MS PGothic" w:eastAsia="MS PGothic" w:hAnsi="MS PGothic"/>
          <w:sz w:val="16"/>
          <w:szCs w:val="16"/>
          <w:color w:val="auto"/>
        </w:rPr>
        <w:t>‑</w:t>
      </w:r>
      <w:r>
        <w:rPr>
          <w:rFonts w:ascii="Arial" w:cs="Arial" w:eastAsia="Arial" w:hAnsi="Arial"/>
          <w:sz w:val="16"/>
          <w:szCs w:val="16"/>
          <w:color w:val="auto"/>
        </w:rPr>
        <w:t>02, Leases (Topic 842), or ASU 2016</w:t>
      </w:r>
      <w:r>
        <w:rPr>
          <w:rFonts w:ascii="MS PGothic" w:cs="MS PGothic" w:eastAsia="MS PGothic" w:hAnsi="MS PGothic"/>
          <w:sz w:val="16"/>
          <w:szCs w:val="16"/>
          <w:color w:val="auto"/>
        </w:rPr>
        <w:t>‑</w:t>
      </w:r>
      <w:r>
        <w:rPr>
          <w:rFonts w:ascii="Arial" w:cs="Arial" w:eastAsia="Arial" w:hAnsi="Arial"/>
          <w:sz w:val="16"/>
          <w:szCs w:val="16"/>
          <w:color w:val="auto"/>
        </w:rPr>
        <w:t>02, which requires lessees to record most leases on their balance sheets but recognize the expenses on their income statements in a manner similar to current practice. Under ASU 2016</w:t>
      </w:r>
      <w:r>
        <w:rPr>
          <w:rFonts w:ascii="MS PGothic" w:cs="MS PGothic" w:eastAsia="MS PGothic" w:hAnsi="MS PGothic"/>
          <w:sz w:val="16"/>
          <w:szCs w:val="16"/>
          <w:color w:val="auto"/>
        </w:rPr>
        <w:t>‑</w:t>
      </w:r>
      <w:r>
        <w:rPr>
          <w:rFonts w:ascii="Arial" w:cs="Arial" w:eastAsia="Arial" w:hAnsi="Arial"/>
          <w:sz w:val="16"/>
          <w:szCs w:val="16"/>
          <w:color w:val="auto"/>
        </w:rPr>
        <w:t>02, a lessee would recognize a lease liability for the obligation to make lease payments and a right</w:t>
      </w:r>
      <w:r>
        <w:rPr>
          <w:rFonts w:ascii="MS PGothic" w:cs="MS PGothic" w:eastAsia="MS PGothic" w:hAnsi="MS PGothic"/>
          <w:sz w:val="16"/>
          <w:szCs w:val="16"/>
          <w:color w:val="auto"/>
        </w:rPr>
        <w:t>‑</w:t>
      </w:r>
      <w:r>
        <w:rPr>
          <w:rFonts w:ascii="Arial" w:cs="Arial" w:eastAsia="Arial" w:hAnsi="Arial"/>
          <w:sz w:val="16"/>
          <w:szCs w:val="16"/>
          <w:color w:val="auto"/>
        </w:rPr>
        <w:t>to</w:t>
      </w:r>
      <w:r>
        <w:rPr>
          <w:rFonts w:ascii="MS PGothic" w:cs="MS PGothic" w:eastAsia="MS PGothic" w:hAnsi="MS PGothic"/>
          <w:sz w:val="16"/>
          <w:szCs w:val="16"/>
          <w:color w:val="auto"/>
        </w:rPr>
        <w:t>‑</w:t>
      </w:r>
      <w:r>
        <w:rPr>
          <w:rFonts w:ascii="Arial" w:cs="Arial" w:eastAsia="Arial" w:hAnsi="Arial"/>
          <w:sz w:val="16"/>
          <w:szCs w:val="16"/>
          <w:color w:val="auto"/>
        </w:rPr>
        <w:t>use asset for the right to use the underlying asset for the lease term. For public entities, this standard is effective for annual reporting periods beginning after December 15, 2018, including interim periods within that reporting period. For all other entities, this standard is effective for annual reporting periods beginning after December 15, 2019, and interim periods within annual periods beginning after December 15, 2020. Early adoption is permitted. The Company is currently evaluating the impact and materiality that this standard will have on its consolidated financial statements. However, the Company does expect an increase in its consolidated assets and liabilities upon adoption of this standard.</w:t>
      </w:r>
    </w:p>
    <w:p>
      <w:pPr>
        <w:spacing w:after="0" w:line="13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Recently Adopted Accounting Standards</w:t>
      </w:r>
    </w:p>
    <w:p>
      <w:pPr>
        <w:spacing w:after="0" w:line="117" w:lineRule="exact"/>
        <w:rPr>
          <w:sz w:val="20"/>
          <w:szCs w:val="20"/>
          <w:color w:val="auto"/>
        </w:rPr>
      </w:pPr>
    </w:p>
    <w:p>
      <w:pPr>
        <w:ind w:right="180"/>
        <w:spacing w:after="0" w:line="276" w:lineRule="auto"/>
        <w:rPr>
          <w:sz w:val="20"/>
          <w:szCs w:val="20"/>
          <w:color w:val="auto"/>
        </w:rPr>
      </w:pPr>
      <w:r>
        <w:rPr>
          <w:rFonts w:ascii="Arial" w:cs="Arial" w:eastAsia="Arial" w:hAnsi="Arial"/>
          <w:sz w:val="17"/>
          <w:szCs w:val="17"/>
          <w:color w:val="auto"/>
        </w:rPr>
        <w:t>In May 2017, the FASB issued ASU No. 2017-09 (Topic 718) Compensation—Stock Compensation: Scope of Modification Accounting, which provides guidance on the types of changes to the terms or conditions of share-based payment awards to which an entity would be required to apply modification accounting. The new standard is effective on a prospective basis for interim and annual periods beginning after December 15, 2017, with early adoption permitted. The Company early adopted this ASU on a prospective basis in the fourth quarter of fiscal 2017. Prior periods were not retrospectively adjusted. The adoption of the ASU did not have a material impact on the consolidated financial statements.</w:t>
      </w:r>
    </w:p>
    <w:p>
      <w:pPr>
        <w:spacing w:after="0" w:line="64" w:lineRule="exact"/>
        <w:rPr>
          <w:sz w:val="20"/>
          <w:szCs w:val="20"/>
          <w:color w:val="auto"/>
        </w:rPr>
      </w:pPr>
    </w:p>
    <w:p>
      <w:pPr>
        <w:ind w:right="20"/>
        <w:spacing w:after="0" w:line="276" w:lineRule="auto"/>
        <w:rPr>
          <w:sz w:val="20"/>
          <w:szCs w:val="20"/>
          <w:color w:val="auto"/>
        </w:rPr>
      </w:pPr>
      <w:r>
        <w:rPr>
          <w:rFonts w:ascii="Arial" w:cs="Arial" w:eastAsia="Arial" w:hAnsi="Arial"/>
          <w:sz w:val="17"/>
          <w:szCs w:val="17"/>
          <w:color w:val="auto"/>
        </w:rPr>
        <w:t>In November 2016, the FASB issued ASU No. 2016-18 (Topic 230) Statement of Cash Flow: Restricted Cash, which provides guidance on the classification of restricted cash to be included with cash and cash equivalents when reconciling the beginning of period and end of period total amounts on the statement of cash flows. The amendments of this ASU are effective for interim and annual periods beginning after December 15, 2017, with early adoption permitted. The standard must be applied retrospectively to all periods presented. The Company has early adopted this standard in the fourth quarter of fiscal 2017 and the adoption did not have a material impact on its consolidated financial statements.</w:t>
      </w:r>
    </w:p>
    <w:p>
      <w:pPr>
        <w:spacing w:after="0" w:line="64" w:lineRule="exact"/>
        <w:rPr>
          <w:sz w:val="20"/>
          <w:szCs w:val="20"/>
          <w:color w:val="auto"/>
        </w:rPr>
      </w:pPr>
    </w:p>
    <w:p>
      <w:pPr>
        <w:ind w:right="20"/>
        <w:spacing w:after="0" w:line="218" w:lineRule="exact"/>
        <w:rPr>
          <w:sz w:val="20"/>
          <w:szCs w:val="20"/>
          <w:color w:val="auto"/>
        </w:rPr>
      </w:pPr>
      <w:r>
        <w:rPr>
          <w:rFonts w:ascii="Arial" w:cs="Arial" w:eastAsia="Arial" w:hAnsi="Arial"/>
          <w:sz w:val="18"/>
          <w:szCs w:val="18"/>
          <w:color w:val="auto"/>
        </w:rPr>
        <w:t>In August 2016, the FASB issued ASU No. 2016</w:t>
      </w:r>
      <w:r>
        <w:rPr>
          <w:rFonts w:ascii="MS PGothic" w:cs="MS PGothic" w:eastAsia="MS PGothic" w:hAnsi="MS PGothic"/>
          <w:sz w:val="18"/>
          <w:szCs w:val="18"/>
          <w:color w:val="auto"/>
        </w:rPr>
        <w:t>‑</w:t>
      </w:r>
      <w:r>
        <w:rPr>
          <w:rFonts w:ascii="Arial" w:cs="Arial" w:eastAsia="Arial" w:hAnsi="Arial"/>
          <w:sz w:val="18"/>
          <w:szCs w:val="18"/>
          <w:color w:val="auto"/>
        </w:rPr>
        <w:t>15, Statement of Cash Flows (Topic 230): Classification of Certain Cash Receipts and Cash Payments, or ASU 2016</w:t>
      </w:r>
      <w:r>
        <w:rPr>
          <w:rFonts w:ascii="MS PGothic" w:cs="MS PGothic" w:eastAsia="MS PGothic" w:hAnsi="MS PGothic"/>
          <w:sz w:val="18"/>
          <w:szCs w:val="18"/>
          <w:color w:val="auto"/>
        </w:rPr>
        <w:t>‑</w:t>
      </w:r>
      <w:r>
        <w:rPr>
          <w:rFonts w:ascii="Arial" w:cs="Arial" w:eastAsia="Arial" w:hAnsi="Arial"/>
          <w:sz w:val="18"/>
          <w:szCs w:val="18"/>
          <w:color w:val="auto"/>
        </w:rPr>
        <w:t>15. ASU 2016-15 identifies how certain cash receipts and cash payments are presented and classified in the Statement of Cash Flows. For public entities, this standard is effective for annual reporting periods beginning after December 15, 2017, including interim periods within that reporting period. For all other entities, this standard is effective for annual reporting periods beginning after December 15, 2018, and interim periods within annual periods beginning after December 15, 2019. This standard should be applied retrospectively and early adoption is permitted, including adoption in an interim period. The Company has early adopted this standard in the fourth quarter of fiscal 2017 and the adoption did not have a material impact on its consolidated financial statements.</w:t>
      </w:r>
    </w:p>
    <w:p>
      <w:pPr>
        <w:spacing w:after="0" w:line="99" w:lineRule="exact"/>
        <w:rPr>
          <w:sz w:val="20"/>
          <w:szCs w:val="20"/>
          <w:color w:val="auto"/>
        </w:rPr>
      </w:pPr>
    </w:p>
    <w:p>
      <w:pPr>
        <w:spacing w:after="0" w:line="218" w:lineRule="exact"/>
        <w:rPr>
          <w:sz w:val="20"/>
          <w:szCs w:val="20"/>
          <w:color w:val="auto"/>
        </w:rPr>
      </w:pPr>
      <w:r>
        <w:rPr>
          <w:rFonts w:ascii="Arial" w:cs="Arial" w:eastAsia="Arial" w:hAnsi="Arial"/>
          <w:sz w:val="16"/>
          <w:szCs w:val="16"/>
          <w:color w:val="auto"/>
        </w:rPr>
        <w:t>In March 2016, the FASB issued ASU No. 2016</w:t>
      </w:r>
      <w:r>
        <w:rPr>
          <w:rFonts w:ascii="MS PGothic" w:cs="MS PGothic" w:eastAsia="MS PGothic" w:hAnsi="MS PGothic"/>
          <w:sz w:val="16"/>
          <w:szCs w:val="16"/>
          <w:color w:val="auto"/>
        </w:rPr>
        <w:t>‑</w:t>
      </w:r>
      <w:r>
        <w:rPr>
          <w:rFonts w:ascii="Arial" w:cs="Arial" w:eastAsia="Arial" w:hAnsi="Arial"/>
          <w:sz w:val="16"/>
          <w:szCs w:val="16"/>
          <w:color w:val="auto"/>
        </w:rPr>
        <w:t>09, Compensation – Stock Compensation (Topic 718): Improvements to Employee Share</w:t>
      </w:r>
      <w:r>
        <w:rPr>
          <w:rFonts w:ascii="MS PGothic" w:cs="MS PGothic" w:eastAsia="MS PGothic" w:hAnsi="MS PGothic"/>
          <w:sz w:val="16"/>
          <w:szCs w:val="16"/>
          <w:color w:val="auto"/>
        </w:rPr>
        <w:t>‑</w:t>
      </w:r>
      <w:r>
        <w:rPr>
          <w:rFonts w:ascii="Arial" w:cs="Arial" w:eastAsia="Arial" w:hAnsi="Arial"/>
          <w:sz w:val="16"/>
          <w:szCs w:val="16"/>
          <w:color w:val="auto"/>
        </w:rPr>
        <w:t>Based Payment Accounting, or ASU 2016</w:t>
      </w:r>
      <w:r>
        <w:rPr>
          <w:rFonts w:ascii="MS PGothic" w:cs="MS PGothic" w:eastAsia="MS PGothic" w:hAnsi="MS PGothic"/>
          <w:sz w:val="16"/>
          <w:szCs w:val="16"/>
          <w:color w:val="auto"/>
        </w:rPr>
        <w:t>‑</w:t>
      </w:r>
      <w:r>
        <w:rPr>
          <w:rFonts w:ascii="Arial" w:cs="Arial" w:eastAsia="Arial" w:hAnsi="Arial"/>
          <w:sz w:val="16"/>
          <w:szCs w:val="16"/>
          <w:color w:val="auto"/>
        </w:rPr>
        <w:t>09. ASU 2016-09 simplifies the accounting and reporting of share</w:t>
      </w:r>
      <w:r>
        <w:rPr>
          <w:rFonts w:ascii="MS PGothic" w:cs="MS PGothic" w:eastAsia="MS PGothic" w:hAnsi="MS PGothic"/>
          <w:sz w:val="16"/>
          <w:szCs w:val="16"/>
          <w:color w:val="auto"/>
        </w:rPr>
        <w:t>‑</w:t>
      </w:r>
      <w:r>
        <w:rPr>
          <w:rFonts w:ascii="Arial" w:cs="Arial" w:eastAsia="Arial" w:hAnsi="Arial"/>
          <w:sz w:val="16"/>
          <w:szCs w:val="16"/>
          <w:color w:val="auto"/>
        </w:rPr>
        <w:t>based payment transactions, including adjustments to how excess tax benefits and payments for tax withholdings should be classified and provides the election to eliminate the estimate for forfeitures. For public entities, this standard is effective for annual reporting periods beginning after December 15, 2016, including interim periods within that reporting period. For all other entities, this standard is effective for annual reporting periods beginning after December 15, 2017, and interim periods within annual periods beginning after December 15, 2018. Early adoption is permitted for any entity in any interim or annual period for which financial statements have not been issued or made available for issuance. The Company early adopted this ASU on a prospective basis in the fourth quarter of fiscal 2017. Prior periods were not retrospectively adjusted. The adoption of the ASU did not have a material impact on the consolidated financial statements.</w:t>
      </w:r>
    </w:p>
    <w:p>
      <w:pPr>
        <w:spacing w:after="0" w:line="95" w:lineRule="exact"/>
        <w:rPr>
          <w:sz w:val="20"/>
          <w:szCs w:val="20"/>
          <w:color w:val="auto"/>
        </w:rPr>
      </w:pPr>
    </w:p>
    <w:p>
      <w:pPr>
        <w:ind w:right="20"/>
        <w:spacing w:after="0" w:line="257" w:lineRule="auto"/>
        <w:rPr>
          <w:sz w:val="20"/>
          <w:szCs w:val="20"/>
          <w:color w:val="auto"/>
        </w:rPr>
      </w:pPr>
      <w:r>
        <w:rPr>
          <w:rFonts w:ascii="Arial" w:cs="Arial" w:eastAsia="Arial" w:hAnsi="Arial"/>
          <w:sz w:val="18"/>
          <w:szCs w:val="18"/>
          <w:color w:val="auto"/>
        </w:rPr>
        <w:t>In July 2015, the FASB issued ASU No. 2015-11, Inventory, Simplifying the Measurement of Inventory (Topic 330), or ASU 2015-11. Under ASU 2015-11, the measurement principle for inventory will change from lower of cost or market value to lower of cost and net realizable value. Net realizable value is the estimated selling price in the ordinary course of business, less reasonably predictable costs of completion, disposal and transportation. For public entities, this standard is effective for annual reporting periods beginning after December 15, 2016, including interim periods within that reporting period. For all other entities, this standard is effective for annual reporting</w:t>
      </w:r>
    </w:p>
    <w:p>
      <w:pPr>
        <w:spacing w:after="0" w:line="18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86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380"/>
          </w:cols>
          <w:pgMar w:left="240" w:top="449" w:right="279" w:bottom="1440" w:gutter="0" w:footer="0" w:header="0"/>
        </w:sectPr>
      </w:pPr>
    </w:p>
    <w:bookmarkStart w:id="87" w:name="page88"/>
    <w:bookmarkEnd w:id="87"/>
    <w:p>
      <w:pPr>
        <w:jc w:val="both"/>
        <w:ind w:right="120"/>
        <w:spacing w:after="0" w:line="286" w:lineRule="auto"/>
        <w:rPr>
          <w:sz w:val="20"/>
          <w:szCs w:val="20"/>
          <w:color w:val="auto"/>
        </w:rPr>
      </w:pPr>
      <w:r>
        <w:rPr>
          <w:rFonts w:ascii="Arial" w:cs="Arial" w:eastAsia="Arial" w:hAnsi="Arial"/>
          <w:sz w:val="17"/>
          <w:szCs w:val="17"/>
          <w:color w:val="auto"/>
        </w:rPr>
        <w:t>periods beginning after December 15, 2016, and interim periods within annual periods beginning after December 15, 2017. This standard should be applied prospectively and early adoption is permitted. The Company adopted this ASU on a prospective basis in the fourth quarter of fiscal 2017. Prior periods were not retrospectively adjusted. The adoption of the ASU did not have a material impact on the consolidated financial statements.</w:t>
      </w:r>
    </w:p>
    <w:p>
      <w:pPr>
        <w:spacing w:after="0" w:line="9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3. NET LOSS PER SHARE</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Net Loss Per Share</w:t>
      </w:r>
    </w:p>
    <w:p>
      <w:pPr>
        <w:spacing w:after="0" w:line="117" w:lineRule="exact"/>
        <w:rPr>
          <w:sz w:val="20"/>
          <w:szCs w:val="20"/>
          <w:color w:val="auto"/>
        </w:rPr>
      </w:pPr>
    </w:p>
    <w:p>
      <w:pPr>
        <w:ind w:right="200"/>
        <w:spacing w:after="0" w:line="257" w:lineRule="auto"/>
        <w:rPr>
          <w:sz w:val="20"/>
          <w:szCs w:val="20"/>
          <w:color w:val="auto"/>
        </w:rPr>
      </w:pPr>
      <w:r>
        <w:rPr>
          <w:rFonts w:ascii="Arial" w:cs="Arial" w:eastAsia="Arial" w:hAnsi="Arial"/>
          <w:sz w:val="18"/>
          <w:szCs w:val="18"/>
          <w:color w:val="auto"/>
        </w:rPr>
        <w:t>Basic net loss per share is calculated by dividing net loss by the weighted-average number of common shares outstanding during the period, without consideration for common stock equivalents. Diluted net loss per share is computed by dividing net loss by the weighted-average number of common share equivalents outstanding for the period determined using the treasury-stock method. For purposes of this calculation, convertible preferred stock, preferred stock warrants and stock options are considered to be common stock equivalents and are only included in the calculation of diluted net loss per share when their effect is dilutive.</w:t>
      </w:r>
    </w:p>
    <w:p>
      <w:pPr>
        <w:spacing w:after="0" w:line="80" w:lineRule="exact"/>
        <w:rPr>
          <w:sz w:val="20"/>
          <w:szCs w:val="20"/>
          <w:color w:val="auto"/>
        </w:rPr>
      </w:pPr>
    </w:p>
    <w:p>
      <w:pPr>
        <w:ind w:right="320"/>
        <w:spacing w:after="0" w:line="277" w:lineRule="auto"/>
        <w:rPr>
          <w:sz w:val="20"/>
          <w:szCs w:val="20"/>
          <w:color w:val="auto"/>
        </w:rPr>
      </w:pPr>
      <w:r>
        <w:rPr>
          <w:rFonts w:ascii="Arial" w:cs="Arial" w:eastAsia="Arial" w:hAnsi="Arial"/>
          <w:sz w:val="18"/>
          <w:szCs w:val="18"/>
          <w:color w:val="auto"/>
        </w:rPr>
        <w:t>Due to the net loss, all the outstanding shares of common stock equivalents were excluded from the calculation of diluted net loss per share attributable to common stockholders for the periods presented because including them would have been antidilutive:</w:t>
      </w:r>
    </w:p>
    <w:p>
      <w:pPr>
        <w:spacing w:after="0" w:line="230" w:lineRule="exact"/>
        <w:rPr>
          <w:sz w:val="20"/>
          <w:szCs w:val="20"/>
          <w:color w:val="auto"/>
        </w:rPr>
      </w:pPr>
    </w:p>
    <w:tbl>
      <w:tblPr>
        <w:tblLayout w:type="fixed"/>
        <w:tblInd w:w="114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5420" w:type="dxa"/>
            <w:vAlign w:val="bottom"/>
          </w:tcPr>
          <w:p>
            <w:pPr>
              <w:spacing w:after="0"/>
              <w:rPr>
                <w:sz w:val="14"/>
                <w:szCs w:val="14"/>
                <w:color w:val="auto"/>
              </w:rPr>
            </w:pPr>
          </w:p>
        </w:tc>
        <w:tc>
          <w:tcPr>
            <w:tcW w:w="1060" w:type="dxa"/>
            <w:vAlign w:val="bottom"/>
            <w:tcBorders>
              <w:bottom w:val="single" w:sz="8" w:color="auto"/>
            </w:tcBorders>
          </w:tcPr>
          <w:p>
            <w:pPr>
              <w:spacing w:after="0"/>
              <w:rPr>
                <w:sz w:val="14"/>
                <w:szCs w:val="14"/>
                <w:color w:val="auto"/>
              </w:rPr>
            </w:pPr>
          </w:p>
        </w:tc>
        <w:tc>
          <w:tcPr>
            <w:tcW w:w="1500" w:type="dxa"/>
            <w:vAlign w:val="bottom"/>
            <w:tcBorders>
              <w:bottom w:val="single" w:sz="8" w:color="auto"/>
            </w:tcBorders>
            <w:gridSpan w:val="3"/>
          </w:tcPr>
          <w:p>
            <w:pPr>
              <w:ind w:left="140"/>
              <w:spacing w:after="0"/>
              <w:rPr>
                <w:sz w:val="20"/>
                <w:szCs w:val="20"/>
                <w:color w:val="auto"/>
              </w:rPr>
            </w:pPr>
            <w:r>
              <w:rPr>
                <w:rFonts w:ascii="Arial" w:cs="Arial" w:eastAsia="Arial" w:hAnsi="Arial"/>
                <w:sz w:val="14"/>
                <w:szCs w:val="14"/>
                <w:b w:val="1"/>
                <w:bCs w:val="1"/>
                <w:color w:val="auto"/>
              </w:rPr>
              <w:t>As of December 31,</w:t>
            </w:r>
          </w:p>
        </w:tc>
        <w:tc>
          <w:tcPr>
            <w:tcW w:w="1060" w:type="dxa"/>
            <w:vAlign w:val="bottom"/>
            <w:tcBorders>
              <w:bottom w:val="single" w:sz="8" w:color="auto"/>
            </w:tcBorders>
          </w:tcPr>
          <w:p>
            <w:pPr>
              <w:spacing w:after="0"/>
              <w:rPr>
                <w:sz w:val="14"/>
                <w:szCs w:val="14"/>
                <w:color w:val="auto"/>
              </w:rPr>
            </w:pPr>
          </w:p>
        </w:tc>
        <w:tc>
          <w:tcPr>
            <w:tcW w:w="80" w:type="dxa"/>
            <w:vAlign w:val="bottom"/>
          </w:tcPr>
          <w:p>
            <w:pPr>
              <w:spacing w:after="0"/>
              <w:rPr>
                <w:sz w:val="14"/>
                <w:szCs w:val="14"/>
                <w:color w:val="auto"/>
              </w:rPr>
            </w:pPr>
          </w:p>
        </w:tc>
      </w:tr>
      <w:tr>
        <w:trPr>
          <w:trHeight w:val="156"/>
        </w:trPr>
        <w:tc>
          <w:tcPr>
            <w:tcW w:w="20" w:type="dxa"/>
            <w:vAlign w:val="bottom"/>
          </w:tcPr>
          <w:p>
            <w:pPr>
              <w:spacing w:after="0"/>
              <w:rPr>
                <w:sz w:val="13"/>
                <w:szCs w:val="13"/>
                <w:color w:val="auto"/>
              </w:rPr>
            </w:pPr>
          </w:p>
        </w:tc>
        <w:tc>
          <w:tcPr>
            <w:tcW w:w="5420" w:type="dxa"/>
            <w:vAlign w:val="bottom"/>
          </w:tcPr>
          <w:p>
            <w:pPr>
              <w:spacing w:after="0"/>
              <w:rPr>
                <w:sz w:val="13"/>
                <w:szCs w:val="13"/>
                <w:color w:val="auto"/>
              </w:rPr>
            </w:pPr>
          </w:p>
        </w:tc>
        <w:tc>
          <w:tcPr>
            <w:tcW w:w="1060" w:type="dxa"/>
            <w:vAlign w:val="bottom"/>
          </w:tcPr>
          <w:p>
            <w:pPr>
              <w:jc w:val="right"/>
              <w:ind w:right="313"/>
              <w:spacing w:after="0" w:line="155" w:lineRule="exact"/>
              <w:rPr>
                <w:sz w:val="20"/>
                <w:szCs w:val="20"/>
                <w:color w:val="auto"/>
              </w:rPr>
            </w:pPr>
            <w:r>
              <w:rPr>
                <w:rFonts w:ascii="Arial" w:cs="Arial" w:eastAsia="Arial" w:hAnsi="Arial"/>
                <w:sz w:val="14"/>
                <w:szCs w:val="14"/>
                <w:b w:val="1"/>
                <w:bCs w:val="1"/>
                <w:color w:val="auto"/>
              </w:rPr>
              <w:t>2017</w:t>
            </w:r>
          </w:p>
        </w:tc>
        <w:tc>
          <w:tcPr>
            <w:tcW w:w="1280" w:type="dxa"/>
            <w:vAlign w:val="bottom"/>
            <w:gridSpan w:val="2"/>
          </w:tcPr>
          <w:p>
            <w:pPr>
              <w:jc w:val="right"/>
              <w:ind w:right="310"/>
              <w:spacing w:after="0" w:line="155" w:lineRule="exact"/>
              <w:rPr>
                <w:sz w:val="20"/>
                <w:szCs w:val="20"/>
                <w:color w:val="auto"/>
              </w:rPr>
            </w:pPr>
            <w:r>
              <w:rPr>
                <w:rFonts w:ascii="Arial" w:cs="Arial" w:eastAsia="Arial" w:hAnsi="Arial"/>
                <w:sz w:val="14"/>
                <w:szCs w:val="14"/>
                <w:b w:val="1"/>
                <w:bCs w:val="1"/>
                <w:color w:val="auto"/>
              </w:rPr>
              <w:t>2016</w:t>
            </w:r>
          </w:p>
        </w:tc>
        <w:tc>
          <w:tcPr>
            <w:tcW w:w="220" w:type="dxa"/>
            <w:vAlign w:val="bottom"/>
          </w:tcPr>
          <w:p>
            <w:pPr>
              <w:spacing w:after="0"/>
              <w:rPr>
                <w:sz w:val="13"/>
                <w:szCs w:val="13"/>
                <w:color w:val="auto"/>
              </w:rPr>
            </w:pPr>
          </w:p>
        </w:tc>
        <w:tc>
          <w:tcPr>
            <w:tcW w:w="1060" w:type="dxa"/>
            <w:vAlign w:val="bottom"/>
          </w:tcPr>
          <w:p>
            <w:pPr>
              <w:jc w:val="right"/>
              <w:ind w:right="313"/>
              <w:spacing w:after="0" w:line="155" w:lineRule="exact"/>
              <w:rPr>
                <w:sz w:val="20"/>
                <w:szCs w:val="20"/>
                <w:color w:val="auto"/>
              </w:rPr>
            </w:pPr>
            <w:r>
              <w:rPr>
                <w:rFonts w:ascii="Arial" w:cs="Arial" w:eastAsia="Arial" w:hAnsi="Arial"/>
                <w:sz w:val="14"/>
                <w:szCs w:val="14"/>
                <w:b w:val="1"/>
                <w:bCs w:val="1"/>
                <w:color w:val="auto"/>
              </w:rPr>
              <w:t>2015</w:t>
            </w:r>
          </w:p>
        </w:tc>
        <w:tc>
          <w:tcPr>
            <w:tcW w:w="80" w:type="dxa"/>
            <w:vAlign w:val="bottom"/>
          </w:tcPr>
          <w:p>
            <w:pPr>
              <w:spacing w:after="0"/>
              <w:rPr>
                <w:sz w:val="13"/>
                <w:szCs w:val="13"/>
                <w:color w:val="auto"/>
              </w:rPr>
            </w:pPr>
          </w:p>
        </w:tc>
      </w:tr>
      <w:tr>
        <w:trPr>
          <w:trHeight w:val="223"/>
        </w:trPr>
        <w:tc>
          <w:tcPr>
            <w:tcW w:w="20" w:type="dxa"/>
            <w:vAlign w:val="bottom"/>
          </w:tcPr>
          <w:p>
            <w:pPr>
              <w:spacing w:after="0"/>
              <w:rPr>
                <w:sz w:val="19"/>
                <w:szCs w:val="19"/>
                <w:color w:val="auto"/>
              </w:rPr>
            </w:pPr>
          </w:p>
        </w:tc>
        <w:tc>
          <w:tcPr>
            <w:tcW w:w="542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Options to purchase common stock</w:t>
            </w:r>
          </w:p>
        </w:tc>
        <w:tc>
          <w:tcPr>
            <w:tcW w:w="10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1,930,752</w:t>
            </w:r>
          </w:p>
        </w:tc>
        <w:tc>
          <w:tcPr>
            <w:tcW w:w="220" w:type="dxa"/>
            <w:vAlign w:val="bottom"/>
            <w:tcBorders>
              <w:top w:val="single" w:sz="8" w:color="CFF0FC"/>
            </w:tcBorders>
            <w:shd w:val="clear" w:color="auto" w:fill="CFF0FC"/>
          </w:tcPr>
          <w:p>
            <w:pPr>
              <w:spacing w:after="0"/>
              <w:rPr>
                <w:sz w:val="19"/>
                <w:szCs w:val="19"/>
                <w:color w:val="auto"/>
              </w:rPr>
            </w:pPr>
          </w:p>
        </w:tc>
        <w:tc>
          <w:tcPr>
            <w:tcW w:w="10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1,831,757</w:t>
            </w:r>
          </w:p>
        </w:tc>
        <w:tc>
          <w:tcPr>
            <w:tcW w:w="220" w:type="dxa"/>
            <w:vAlign w:val="bottom"/>
            <w:tcBorders>
              <w:top w:val="single" w:sz="8" w:color="CFF0FC"/>
            </w:tcBorders>
            <w:shd w:val="clear" w:color="auto" w:fill="CFF0FC"/>
          </w:tcPr>
          <w:p>
            <w:pPr>
              <w:spacing w:after="0"/>
              <w:rPr>
                <w:sz w:val="19"/>
                <w:szCs w:val="19"/>
                <w:color w:val="auto"/>
              </w:rPr>
            </w:pPr>
          </w:p>
        </w:tc>
        <w:tc>
          <w:tcPr>
            <w:tcW w:w="10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1,410,708</w:t>
            </w:r>
          </w:p>
        </w:tc>
        <w:tc>
          <w:tcPr>
            <w:tcW w:w="80" w:type="dxa"/>
            <w:vAlign w:val="bottom"/>
            <w:tcBorders>
              <w:top w:val="single" w:sz="8" w:color="CFF0FC"/>
            </w:tcBorders>
            <w:shd w:val="clear" w:color="auto" w:fill="CFF0FC"/>
          </w:tcPr>
          <w:p>
            <w:pPr>
              <w:spacing w:after="0"/>
              <w:rPr>
                <w:sz w:val="19"/>
                <w:szCs w:val="19"/>
                <w:color w:val="auto"/>
              </w:rPr>
            </w:pPr>
          </w:p>
        </w:tc>
      </w:tr>
      <w:tr>
        <w:trPr>
          <w:trHeight w:val="230"/>
        </w:trPr>
        <w:tc>
          <w:tcPr>
            <w:tcW w:w="20" w:type="dxa"/>
            <w:vAlign w:val="bottom"/>
          </w:tcPr>
          <w:p>
            <w:pPr>
              <w:spacing w:after="0"/>
              <w:rPr>
                <w:sz w:val="19"/>
                <w:szCs w:val="19"/>
                <w:color w:val="auto"/>
              </w:rPr>
            </w:pPr>
          </w:p>
        </w:tc>
        <w:tc>
          <w:tcPr>
            <w:tcW w:w="5420" w:type="dxa"/>
            <w:vAlign w:val="bottom"/>
          </w:tcPr>
          <w:p>
            <w:pPr>
              <w:spacing w:after="0"/>
              <w:rPr>
                <w:sz w:val="20"/>
                <w:szCs w:val="20"/>
                <w:color w:val="auto"/>
              </w:rPr>
            </w:pPr>
            <w:r>
              <w:rPr>
                <w:rFonts w:ascii="Arial" w:cs="Arial" w:eastAsia="Arial" w:hAnsi="Arial"/>
                <w:sz w:val="18"/>
                <w:szCs w:val="18"/>
                <w:color w:val="auto"/>
              </w:rPr>
              <w:t>Convertible preferred stock</w:t>
            </w:r>
          </w:p>
        </w:tc>
        <w:tc>
          <w:tcPr>
            <w:tcW w:w="1060" w:type="dxa"/>
            <w:vAlign w:val="bottom"/>
          </w:tcPr>
          <w:p>
            <w:pPr>
              <w:jc w:val="right"/>
              <w:spacing w:after="0"/>
              <w:rPr>
                <w:sz w:val="20"/>
                <w:szCs w:val="20"/>
                <w:color w:val="auto"/>
              </w:rPr>
            </w:pPr>
            <w:r>
              <w:rPr>
                <w:rFonts w:ascii="Arial" w:cs="Arial" w:eastAsia="Arial" w:hAnsi="Arial"/>
                <w:sz w:val="18"/>
                <w:szCs w:val="18"/>
                <w:color w:val="auto"/>
              </w:rPr>
              <w:t>—</w:t>
            </w:r>
          </w:p>
        </w:tc>
        <w:tc>
          <w:tcPr>
            <w:tcW w:w="1280" w:type="dxa"/>
            <w:vAlign w:val="bottom"/>
            <w:gridSpan w:val="2"/>
          </w:tcPr>
          <w:p>
            <w:pPr>
              <w:jc w:val="right"/>
              <w:spacing w:after="0"/>
              <w:rPr>
                <w:sz w:val="20"/>
                <w:szCs w:val="20"/>
                <w:color w:val="auto"/>
              </w:rPr>
            </w:pPr>
            <w:r>
              <w:rPr>
                <w:rFonts w:ascii="Arial" w:cs="Arial" w:eastAsia="Arial" w:hAnsi="Arial"/>
                <w:sz w:val="18"/>
                <w:szCs w:val="18"/>
                <w:color w:val="auto"/>
              </w:rPr>
              <w:t>21,142,295</w:t>
            </w:r>
          </w:p>
        </w:tc>
        <w:tc>
          <w:tcPr>
            <w:tcW w:w="2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19,336,777</w:t>
            </w:r>
          </w:p>
        </w:tc>
        <w:tc>
          <w:tcPr>
            <w:tcW w:w="80" w:type="dxa"/>
            <w:vAlign w:val="bottom"/>
          </w:tcPr>
          <w:p>
            <w:pPr>
              <w:spacing w:after="0"/>
              <w:rPr>
                <w:sz w:val="19"/>
                <w:szCs w:val="19"/>
                <w:color w:val="auto"/>
              </w:rPr>
            </w:pPr>
          </w:p>
        </w:tc>
      </w:tr>
      <w:tr>
        <w:trPr>
          <w:trHeight w:val="230"/>
        </w:trPr>
        <w:tc>
          <w:tcPr>
            <w:tcW w:w="20" w:type="dxa"/>
            <w:vAlign w:val="bottom"/>
          </w:tcPr>
          <w:p>
            <w:pPr>
              <w:spacing w:after="0"/>
              <w:rPr>
                <w:sz w:val="19"/>
                <w:szCs w:val="19"/>
                <w:color w:val="auto"/>
              </w:rPr>
            </w:pPr>
          </w:p>
        </w:tc>
        <w:tc>
          <w:tcPr>
            <w:tcW w:w="5420" w:type="dxa"/>
            <w:vAlign w:val="bottom"/>
            <w:shd w:val="clear" w:color="auto" w:fill="CFF0FC"/>
          </w:tcPr>
          <w:p>
            <w:pPr>
              <w:spacing w:after="0"/>
              <w:rPr>
                <w:sz w:val="20"/>
                <w:szCs w:val="20"/>
                <w:color w:val="auto"/>
              </w:rPr>
            </w:pPr>
            <w:r>
              <w:rPr>
                <w:rFonts w:ascii="Arial" w:cs="Arial" w:eastAsia="Arial" w:hAnsi="Arial"/>
                <w:sz w:val="18"/>
                <w:szCs w:val="18"/>
                <w:color w:val="auto"/>
              </w:rPr>
              <w:t>Warrants for preferred stock</w:t>
            </w:r>
          </w:p>
        </w:tc>
        <w:tc>
          <w:tcPr>
            <w:tcW w:w="10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28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385,126</w:t>
            </w:r>
          </w:p>
        </w:tc>
        <w:tc>
          <w:tcPr>
            <w:tcW w:w="220" w:type="dxa"/>
            <w:vAlign w:val="bottom"/>
            <w:shd w:val="clear" w:color="auto" w:fill="CFF0FC"/>
          </w:tcPr>
          <w:p>
            <w:pPr>
              <w:spacing w:after="0"/>
              <w:rPr>
                <w:sz w:val="19"/>
                <w:szCs w:val="19"/>
                <w:color w:val="auto"/>
              </w:rPr>
            </w:pPr>
          </w:p>
        </w:tc>
        <w:tc>
          <w:tcPr>
            <w:tcW w:w="10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385,126</w:t>
            </w:r>
          </w:p>
        </w:tc>
        <w:tc>
          <w:tcPr>
            <w:tcW w:w="80" w:type="dxa"/>
            <w:vAlign w:val="bottom"/>
            <w:shd w:val="clear" w:color="auto" w:fill="CFF0FC"/>
          </w:tcPr>
          <w:p>
            <w:pPr>
              <w:spacing w:after="0"/>
              <w:rPr>
                <w:sz w:val="19"/>
                <w:szCs w:val="19"/>
                <w:color w:val="auto"/>
              </w:rPr>
            </w:pPr>
          </w:p>
        </w:tc>
      </w:tr>
      <w:tr>
        <w:trPr>
          <w:trHeight w:val="230"/>
        </w:trPr>
        <w:tc>
          <w:tcPr>
            <w:tcW w:w="20" w:type="dxa"/>
            <w:vAlign w:val="bottom"/>
          </w:tcPr>
          <w:p>
            <w:pPr>
              <w:spacing w:after="0"/>
              <w:rPr>
                <w:sz w:val="19"/>
                <w:szCs w:val="19"/>
                <w:color w:val="auto"/>
              </w:rPr>
            </w:pPr>
          </w:p>
        </w:tc>
        <w:tc>
          <w:tcPr>
            <w:tcW w:w="5420" w:type="dxa"/>
            <w:vAlign w:val="bottom"/>
          </w:tcPr>
          <w:p>
            <w:pPr>
              <w:spacing w:after="0"/>
              <w:rPr>
                <w:sz w:val="20"/>
                <w:szCs w:val="20"/>
                <w:color w:val="auto"/>
              </w:rPr>
            </w:pPr>
            <w:r>
              <w:rPr>
                <w:rFonts w:ascii="Arial" w:cs="Arial" w:eastAsia="Arial" w:hAnsi="Arial"/>
                <w:sz w:val="18"/>
                <w:szCs w:val="18"/>
                <w:color w:val="auto"/>
              </w:rPr>
              <w:t>Warrants for common stock</w:t>
            </w:r>
          </w:p>
        </w:tc>
        <w:tc>
          <w:tcPr>
            <w:tcW w:w="1060" w:type="dxa"/>
            <w:vAlign w:val="bottom"/>
          </w:tcPr>
          <w:p>
            <w:pPr>
              <w:jc w:val="right"/>
              <w:spacing w:after="0"/>
              <w:rPr>
                <w:sz w:val="20"/>
                <w:szCs w:val="20"/>
                <w:color w:val="auto"/>
              </w:rPr>
            </w:pPr>
            <w:r>
              <w:rPr>
                <w:rFonts w:ascii="Arial" w:cs="Arial" w:eastAsia="Arial" w:hAnsi="Arial"/>
                <w:sz w:val="18"/>
                <w:szCs w:val="18"/>
                <w:color w:val="auto"/>
              </w:rPr>
              <w:t>306,456</w:t>
            </w:r>
          </w:p>
        </w:tc>
        <w:tc>
          <w:tcPr>
            <w:tcW w:w="220" w:type="dxa"/>
            <w:vAlign w:val="bottom"/>
          </w:tcPr>
          <w:p>
            <w:pPr>
              <w:spacing w:after="0"/>
              <w:rPr>
                <w:sz w:val="19"/>
                <w:szCs w:val="19"/>
                <w:color w:val="auto"/>
              </w:rPr>
            </w:pPr>
          </w:p>
        </w:tc>
        <w:tc>
          <w:tcPr>
            <w:tcW w:w="128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223"/>
        </w:trPr>
        <w:tc>
          <w:tcPr>
            <w:tcW w:w="20" w:type="dxa"/>
            <w:vAlign w:val="bottom"/>
          </w:tcPr>
          <w:p>
            <w:pPr>
              <w:spacing w:after="0"/>
              <w:rPr>
                <w:sz w:val="19"/>
                <w:szCs w:val="19"/>
                <w:color w:val="auto"/>
              </w:rPr>
            </w:pPr>
          </w:p>
        </w:tc>
        <w:tc>
          <w:tcPr>
            <w:tcW w:w="5420" w:type="dxa"/>
            <w:vAlign w:val="bottom"/>
            <w:tcBorders>
              <w:top w:val="single" w:sz="8" w:color="CFF0FC"/>
              <w:bottom w:val="single" w:sz="8" w:color="CFF0FC"/>
            </w:tcBorders>
            <w:shd w:val="clear" w:color="auto" w:fill="CFF0FC"/>
          </w:tcPr>
          <w:p>
            <w:pPr>
              <w:ind w:left="120"/>
              <w:spacing w:after="0"/>
              <w:rPr>
                <w:sz w:val="20"/>
                <w:szCs w:val="20"/>
                <w:color w:val="auto"/>
              </w:rPr>
            </w:pPr>
            <w:r>
              <w:rPr>
                <w:rFonts w:ascii="Arial" w:cs="Arial" w:eastAsia="Arial" w:hAnsi="Arial"/>
                <w:sz w:val="18"/>
                <w:szCs w:val="18"/>
                <w:color w:val="auto"/>
              </w:rPr>
              <w:t>Total potential dilutive shares</w:t>
            </w:r>
          </w:p>
        </w:tc>
        <w:tc>
          <w:tcPr>
            <w:tcW w:w="10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2,237,208</w:t>
            </w:r>
          </w:p>
        </w:tc>
        <w:tc>
          <w:tcPr>
            <w:tcW w:w="220" w:type="dxa"/>
            <w:vAlign w:val="bottom"/>
            <w:tcBorders>
              <w:top w:val="single" w:sz="8" w:color="CFF0FC"/>
              <w:bottom w:val="single" w:sz="8" w:color="CFF0FC"/>
            </w:tcBorders>
            <w:shd w:val="clear" w:color="auto" w:fill="CFF0FC"/>
          </w:tcPr>
          <w:p>
            <w:pPr>
              <w:spacing w:after="0"/>
              <w:rPr>
                <w:sz w:val="19"/>
                <w:szCs w:val="19"/>
                <w:color w:val="auto"/>
              </w:rPr>
            </w:pPr>
          </w:p>
        </w:tc>
        <w:tc>
          <w:tcPr>
            <w:tcW w:w="10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23,359,178</w:t>
            </w:r>
          </w:p>
        </w:tc>
        <w:tc>
          <w:tcPr>
            <w:tcW w:w="220" w:type="dxa"/>
            <w:vAlign w:val="bottom"/>
            <w:tcBorders>
              <w:top w:val="single" w:sz="8" w:color="CFF0FC"/>
              <w:bottom w:val="single" w:sz="8" w:color="CFF0FC"/>
            </w:tcBorders>
            <w:shd w:val="clear" w:color="auto" w:fill="CFF0FC"/>
          </w:tcPr>
          <w:p>
            <w:pPr>
              <w:spacing w:after="0"/>
              <w:rPr>
                <w:sz w:val="19"/>
                <w:szCs w:val="19"/>
                <w:color w:val="auto"/>
              </w:rPr>
            </w:pPr>
          </w:p>
        </w:tc>
        <w:tc>
          <w:tcPr>
            <w:tcW w:w="10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21,132,611</w:t>
            </w:r>
          </w:p>
        </w:tc>
        <w:tc>
          <w:tcPr>
            <w:tcW w:w="80" w:type="dxa"/>
            <w:vAlign w:val="bottom"/>
            <w:tcBorders>
              <w:top w:val="single" w:sz="8" w:color="CFF0FC"/>
              <w:bottom w:val="single" w:sz="8" w:color="CFF0FC"/>
            </w:tcBorders>
            <w:shd w:val="clear" w:color="auto" w:fill="CFF0FC"/>
          </w:tcPr>
          <w:p>
            <w:pPr>
              <w:spacing w:after="0"/>
              <w:rPr>
                <w:sz w:val="19"/>
                <w:szCs w:val="19"/>
                <w:color w:val="auto"/>
              </w:rPr>
            </w:pPr>
          </w:p>
        </w:tc>
      </w:tr>
      <w:tr>
        <w:trPr>
          <w:trHeight w:val="20"/>
        </w:trPr>
        <w:tc>
          <w:tcPr>
            <w:tcW w:w="20" w:type="dxa"/>
            <w:vAlign w:val="bottom"/>
          </w:tcPr>
          <w:p>
            <w:pPr>
              <w:spacing w:after="0" w:line="20" w:lineRule="exact"/>
              <w:rPr>
                <w:sz w:val="1"/>
                <w:szCs w:val="1"/>
                <w:color w:val="auto"/>
              </w:rPr>
            </w:pPr>
          </w:p>
        </w:tc>
        <w:tc>
          <w:tcPr>
            <w:tcW w:w="5420" w:type="dxa"/>
            <w:vAlign w:val="bottom"/>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13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4. FAIR VALUE MEASUREMENTS</w:t>
      </w:r>
    </w:p>
    <w:p>
      <w:pPr>
        <w:spacing w:after="0" w:line="121" w:lineRule="exact"/>
        <w:rPr>
          <w:sz w:val="20"/>
          <w:szCs w:val="20"/>
          <w:color w:val="auto"/>
        </w:rPr>
      </w:pPr>
    </w:p>
    <w:p>
      <w:pPr>
        <w:jc w:val="both"/>
        <w:ind w:right="40"/>
        <w:spacing w:after="0" w:line="264" w:lineRule="auto"/>
        <w:rPr>
          <w:sz w:val="20"/>
          <w:szCs w:val="20"/>
          <w:color w:val="auto"/>
        </w:rPr>
      </w:pPr>
      <w:r>
        <w:rPr>
          <w:rFonts w:ascii="Arial" w:cs="Arial" w:eastAsia="Arial" w:hAnsi="Arial"/>
          <w:sz w:val="18"/>
          <w:szCs w:val="18"/>
          <w:color w:val="auto"/>
        </w:rPr>
        <w:t>Cash and cash equivalents, restricted cash, accounts receivable, accounts payable, and accrued liabilities approximate fair market value because of the short-term nature of those instruments. Management believes that the long-term note bearing variable interest represents the prevailing market rates for instruments with similar characteristics; accordingly, the carrying value of this instrument approximates its fair value.</w:t>
      </w:r>
    </w:p>
    <w:p>
      <w:pPr>
        <w:spacing w:after="0" w:line="73" w:lineRule="exact"/>
        <w:rPr>
          <w:sz w:val="20"/>
          <w:szCs w:val="20"/>
          <w:color w:val="auto"/>
        </w:rPr>
      </w:pPr>
    </w:p>
    <w:p>
      <w:pPr>
        <w:ind w:right="240"/>
        <w:spacing w:after="0" w:line="257" w:lineRule="auto"/>
        <w:rPr>
          <w:sz w:val="20"/>
          <w:szCs w:val="20"/>
          <w:color w:val="auto"/>
        </w:rPr>
      </w:pPr>
      <w:r>
        <w:rPr>
          <w:rFonts w:ascii="Arial" w:cs="Arial" w:eastAsia="Arial" w:hAnsi="Arial"/>
          <w:sz w:val="18"/>
          <w:szCs w:val="18"/>
          <w:color w:val="auto"/>
        </w:rPr>
        <w:t>U.S. GAAP established a framework for measuring fair value and a fair value hierarchy based on the inputs used to measure fair value. This framework maximizes the use of observable inputs and minimizes the use of unobservable inputs by requiring that the observable inputs be used when available. Fair value is defined as the price that would be received to sell an asset or paid to transfer a liability in an orderly transaction between market participants at the measurement date. It applies to both items recognized and reported at fair value in the consolidated financial statements and items disclosed at fair value in the notes to the consolidated financial statements.</w:t>
      </w:r>
    </w:p>
    <w:p>
      <w:pPr>
        <w:spacing w:after="0" w:line="80" w:lineRule="exact"/>
        <w:rPr>
          <w:sz w:val="20"/>
          <w:szCs w:val="20"/>
          <w:color w:val="auto"/>
        </w:rPr>
      </w:pPr>
    </w:p>
    <w:p>
      <w:pPr>
        <w:jc w:val="both"/>
        <w:ind w:right="420"/>
        <w:spacing w:after="0" w:line="286" w:lineRule="auto"/>
        <w:rPr>
          <w:sz w:val="20"/>
          <w:szCs w:val="20"/>
          <w:color w:val="auto"/>
        </w:rPr>
      </w:pPr>
      <w:r>
        <w:rPr>
          <w:rFonts w:ascii="Arial" w:cs="Arial" w:eastAsia="Arial" w:hAnsi="Arial"/>
          <w:sz w:val="17"/>
          <w:szCs w:val="17"/>
          <w:color w:val="auto"/>
        </w:rPr>
        <w:t>Observable inputs are inputs that market participants would use in pricing the asset or liability based on market data obtained from independent sources. Unobservable inputs reflect assumptions that market participants would use in pricing the asset or liability based on the best information available in the circumstances. The hierarchy is broken down into three levels based on the transparency of inputs as follows:</w:t>
      </w:r>
    </w:p>
    <w:p>
      <w:pPr>
        <w:spacing w:after="0" w:line="57"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i w:val="1"/>
          <w:iCs w:val="1"/>
          <w:color w:val="auto"/>
        </w:rPr>
        <w:t xml:space="preserve">Level 1 </w:t>
      </w:r>
      <w:r>
        <w:rPr>
          <w:rFonts w:ascii="Arial" w:cs="Arial" w:eastAsia="Arial" w:hAnsi="Arial"/>
          <w:sz w:val="18"/>
          <w:szCs w:val="18"/>
          <w:color w:val="auto"/>
        </w:rPr>
        <w:t>- Quoted prices are available in active markets for identical assets or liabilities as of the report date. A quoted price for an identical asset or liability in</w:t>
      </w:r>
      <w:r>
        <w:rPr>
          <w:rFonts w:ascii="Arial" w:cs="Arial" w:eastAsia="Arial" w:hAnsi="Arial"/>
          <w:sz w:val="18"/>
          <w:szCs w:val="18"/>
          <w:i w:val="1"/>
          <w:iCs w:val="1"/>
          <w:color w:val="auto"/>
        </w:rPr>
        <w:t xml:space="preserve"> </w:t>
      </w:r>
      <w:r>
        <w:rPr>
          <w:rFonts w:ascii="Arial" w:cs="Arial" w:eastAsia="Arial" w:hAnsi="Arial"/>
          <w:sz w:val="18"/>
          <w:szCs w:val="18"/>
          <w:color w:val="auto"/>
        </w:rPr>
        <w:t>an active market provides the most reliable fair value measurement because it is directly observable to the market.</w:t>
      </w:r>
    </w:p>
    <w:p>
      <w:pPr>
        <w:spacing w:after="0" w:line="62" w:lineRule="exact"/>
        <w:rPr>
          <w:sz w:val="20"/>
          <w:szCs w:val="20"/>
          <w:color w:val="auto"/>
        </w:rPr>
      </w:pPr>
    </w:p>
    <w:p>
      <w:pPr>
        <w:spacing w:after="0" w:line="264" w:lineRule="auto"/>
        <w:rPr>
          <w:sz w:val="20"/>
          <w:szCs w:val="20"/>
          <w:color w:val="auto"/>
        </w:rPr>
      </w:pPr>
      <w:r>
        <w:rPr>
          <w:rFonts w:ascii="Arial" w:cs="Arial" w:eastAsia="Arial" w:hAnsi="Arial"/>
          <w:sz w:val="18"/>
          <w:szCs w:val="18"/>
          <w:i w:val="1"/>
          <w:iCs w:val="1"/>
          <w:color w:val="auto"/>
        </w:rPr>
        <w:t xml:space="preserve">Level 2 </w:t>
      </w:r>
      <w:r>
        <w:rPr>
          <w:rFonts w:ascii="Arial" w:cs="Arial" w:eastAsia="Arial" w:hAnsi="Arial"/>
          <w:sz w:val="18"/>
          <w:szCs w:val="18"/>
          <w:color w:val="auto"/>
        </w:rPr>
        <w:t>- Pricing inputs are other than quoted prices in active markets, which are either directly or indirectly observable as of the report date. The nature of</w:t>
      </w:r>
      <w:r>
        <w:rPr>
          <w:rFonts w:ascii="Arial" w:cs="Arial" w:eastAsia="Arial" w:hAnsi="Arial"/>
          <w:sz w:val="18"/>
          <w:szCs w:val="18"/>
          <w:i w:val="1"/>
          <w:iCs w:val="1"/>
          <w:color w:val="auto"/>
        </w:rPr>
        <w:t xml:space="preserve"> </w:t>
      </w:r>
      <w:r>
        <w:rPr>
          <w:rFonts w:ascii="Arial" w:cs="Arial" w:eastAsia="Arial" w:hAnsi="Arial"/>
          <w:sz w:val="18"/>
          <w:szCs w:val="18"/>
          <w:color w:val="auto"/>
        </w:rPr>
        <w:t>these securities include investments for which quoted prices are available but traded less frequently and investments that are fair valued using other securities, the parameters of which can be directly observed.</w:t>
      </w:r>
    </w:p>
    <w:p>
      <w:pPr>
        <w:spacing w:after="0" w:line="73" w:lineRule="exact"/>
        <w:rPr>
          <w:sz w:val="20"/>
          <w:szCs w:val="20"/>
          <w:color w:val="auto"/>
        </w:rPr>
      </w:pPr>
    </w:p>
    <w:p>
      <w:pPr>
        <w:ind w:right="260"/>
        <w:spacing w:after="0" w:line="342" w:lineRule="auto"/>
        <w:rPr>
          <w:sz w:val="20"/>
          <w:szCs w:val="20"/>
          <w:color w:val="auto"/>
        </w:rPr>
      </w:pPr>
      <w:r>
        <w:rPr>
          <w:rFonts w:ascii="Arial" w:cs="Arial" w:eastAsia="Arial" w:hAnsi="Arial"/>
          <w:sz w:val="16"/>
          <w:szCs w:val="16"/>
          <w:i w:val="1"/>
          <w:iCs w:val="1"/>
          <w:color w:val="auto"/>
        </w:rPr>
        <w:t xml:space="preserve">Level 3 </w:t>
      </w:r>
      <w:r>
        <w:rPr>
          <w:rFonts w:ascii="Arial" w:cs="Arial" w:eastAsia="Arial" w:hAnsi="Arial"/>
          <w:sz w:val="16"/>
          <w:szCs w:val="16"/>
          <w:color w:val="auto"/>
        </w:rPr>
        <w:t>- Securities that have little to no pricing observability as of the report date. These securities are measured using management’s best estimate of fair</w:t>
      </w:r>
      <w:r>
        <w:rPr>
          <w:rFonts w:ascii="Arial" w:cs="Arial" w:eastAsia="Arial" w:hAnsi="Arial"/>
          <w:sz w:val="16"/>
          <w:szCs w:val="16"/>
          <w:i w:val="1"/>
          <w:iCs w:val="1"/>
          <w:color w:val="auto"/>
        </w:rPr>
        <w:t xml:space="preserve"> </w:t>
      </w:r>
      <w:r>
        <w:rPr>
          <w:rFonts w:ascii="Arial" w:cs="Arial" w:eastAsia="Arial" w:hAnsi="Arial"/>
          <w:sz w:val="16"/>
          <w:szCs w:val="16"/>
          <w:color w:val="auto"/>
        </w:rPr>
        <w:t>value, where the inputs into the determination of fair value are not observable and require significant management judgment or estimation.</w:t>
      </w:r>
    </w:p>
    <w:p>
      <w:pPr>
        <w:spacing w:after="0" w:line="12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449" w:right="259" w:bottom="1440" w:gutter="0" w:footer="0" w:header="0"/>
        </w:sectPr>
      </w:pPr>
    </w:p>
    <w:bookmarkStart w:id="88" w:name="page89"/>
    <w:bookmarkEnd w:id="88"/>
    <w:p>
      <w:pPr>
        <w:ind w:right="360"/>
        <w:spacing w:after="0" w:line="257" w:lineRule="auto"/>
        <w:rPr>
          <w:sz w:val="20"/>
          <w:szCs w:val="20"/>
          <w:color w:val="auto"/>
        </w:rPr>
      </w:pPr>
      <w:r>
        <w:rPr>
          <w:rFonts w:ascii="Arial" w:cs="Arial" w:eastAsia="Arial" w:hAnsi="Arial"/>
          <w:sz w:val="18"/>
          <w:szCs w:val="18"/>
          <w:color w:val="auto"/>
        </w:rPr>
        <w:t>A financial instrument’s level within the fair value hierarchy is based on the lowest level of any input that is significant to the fair value measurement. However, the determination of what constitutes “observable” requires significant judgment by the Company. The categorization of a financial instrument within the hierarchy is based upon the pricing transparency of the instrument and does not necessarily correspond to the Company’s perceived risk of that instrument. The following tables summarize the levels of fair value measurements of the Company’s cash equivalents, investments and preferred stock warrants liabilities:</w:t>
      </w:r>
    </w:p>
    <w:p>
      <w:pPr>
        <w:spacing w:after="0" w:line="247"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4140" w:type="dxa"/>
            <w:vAlign w:val="bottom"/>
          </w:tcPr>
          <w:p>
            <w:pPr>
              <w:spacing w:after="0"/>
              <w:rPr>
                <w:sz w:val="14"/>
                <w:szCs w:val="14"/>
                <w:color w:val="auto"/>
              </w:rPr>
            </w:pPr>
          </w:p>
        </w:tc>
        <w:tc>
          <w:tcPr>
            <w:tcW w:w="176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4280" w:type="dxa"/>
            <w:vAlign w:val="bottom"/>
            <w:tcBorders>
              <w:bottom w:val="single" w:sz="8" w:color="auto"/>
            </w:tcBorders>
            <w:gridSpan w:val="9"/>
          </w:tcPr>
          <w:p>
            <w:pPr>
              <w:jc w:val="right"/>
              <w:ind w:right="150"/>
              <w:spacing w:after="0"/>
              <w:rPr>
                <w:sz w:val="20"/>
                <w:szCs w:val="20"/>
                <w:color w:val="auto"/>
              </w:rPr>
            </w:pPr>
            <w:r>
              <w:rPr>
                <w:rFonts w:ascii="Arial" w:cs="Arial" w:eastAsia="Arial" w:hAnsi="Arial"/>
                <w:sz w:val="14"/>
                <w:szCs w:val="14"/>
                <w:b w:val="1"/>
                <w:bCs w:val="1"/>
                <w:color w:val="auto"/>
              </w:rPr>
              <w:t>Fair Value Measurements as of December 31, 2017</w:t>
            </w:r>
          </w:p>
        </w:tc>
        <w:tc>
          <w:tcPr>
            <w:tcW w:w="92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4140" w:type="dxa"/>
            <w:vAlign w:val="bottom"/>
          </w:tcPr>
          <w:p>
            <w:pPr>
              <w:spacing w:after="0"/>
              <w:rPr>
                <w:sz w:val="11"/>
                <w:szCs w:val="11"/>
                <w:color w:val="auto"/>
              </w:rPr>
            </w:pPr>
          </w:p>
        </w:tc>
        <w:tc>
          <w:tcPr>
            <w:tcW w:w="17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20" w:type="dxa"/>
            <w:vAlign w:val="bottom"/>
            <w:gridSpan w:val="2"/>
          </w:tcPr>
          <w:p>
            <w:pPr>
              <w:jc w:val="center"/>
              <w:ind w:right="440"/>
              <w:spacing w:after="0" w:line="133" w:lineRule="exact"/>
              <w:rPr>
                <w:sz w:val="20"/>
                <w:szCs w:val="20"/>
                <w:color w:val="auto"/>
              </w:rPr>
            </w:pPr>
            <w:r>
              <w:rPr>
                <w:rFonts w:ascii="Arial" w:cs="Arial" w:eastAsia="Arial" w:hAnsi="Arial"/>
                <w:sz w:val="14"/>
                <w:szCs w:val="14"/>
                <w:b w:val="1"/>
                <w:bCs w:val="1"/>
                <w:color w:val="auto"/>
                <w:w w:val="93"/>
              </w:rPr>
              <w:t>Quoted</w:t>
            </w:r>
          </w:p>
        </w:tc>
        <w:tc>
          <w:tcPr>
            <w:tcW w:w="16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4140" w:type="dxa"/>
            <w:vAlign w:val="bottom"/>
          </w:tcPr>
          <w:p>
            <w:pPr>
              <w:spacing w:after="0"/>
              <w:rPr>
                <w:sz w:val="12"/>
                <w:szCs w:val="12"/>
                <w:color w:val="auto"/>
              </w:rPr>
            </w:pPr>
          </w:p>
        </w:tc>
        <w:tc>
          <w:tcPr>
            <w:tcW w:w="17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20" w:type="dxa"/>
            <w:vAlign w:val="bottom"/>
            <w:gridSpan w:val="2"/>
          </w:tcPr>
          <w:p>
            <w:pPr>
              <w:jc w:val="center"/>
              <w:ind w:right="460"/>
              <w:spacing w:after="0" w:line="149" w:lineRule="exact"/>
              <w:rPr>
                <w:sz w:val="20"/>
                <w:szCs w:val="20"/>
                <w:color w:val="auto"/>
              </w:rPr>
            </w:pPr>
            <w:r>
              <w:rPr>
                <w:rFonts w:ascii="Arial" w:cs="Arial" w:eastAsia="Arial" w:hAnsi="Arial"/>
                <w:sz w:val="14"/>
                <w:szCs w:val="14"/>
                <w:b w:val="1"/>
                <w:bCs w:val="1"/>
                <w:color w:val="auto"/>
                <w:w w:val="89"/>
              </w:rPr>
              <w:t>Prices in</w:t>
            </w:r>
          </w:p>
        </w:tc>
        <w:tc>
          <w:tcPr>
            <w:tcW w:w="16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140" w:type="dxa"/>
            <w:vAlign w:val="bottom"/>
          </w:tcPr>
          <w:p>
            <w:pPr>
              <w:spacing w:after="0"/>
              <w:rPr>
                <w:sz w:val="12"/>
                <w:szCs w:val="12"/>
                <w:color w:val="auto"/>
              </w:rPr>
            </w:pPr>
          </w:p>
        </w:tc>
        <w:tc>
          <w:tcPr>
            <w:tcW w:w="17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20" w:type="dxa"/>
            <w:vAlign w:val="bottom"/>
            <w:gridSpan w:val="2"/>
          </w:tcPr>
          <w:p>
            <w:pPr>
              <w:jc w:val="center"/>
              <w:ind w:right="460"/>
              <w:spacing w:after="0" w:line="149" w:lineRule="exact"/>
              <w:rPr>
                <w:sz w:val="20"/>
                <w:szCs w:val="20"/>
                <w:color w:val="auto"/>
              </w:rPr>
            </w:pPr>
            <w:r>
              <w:rPr>
                <w:rFonts w:ascii="Arial" w:cs="Arial" w:eastAsia="Arial" w:hAnsi="Arial"/>
                <w:sz w:val="14"/>
                <w:szCs w:val="14"/>
                <w:b w:val="1"/>
                <w:bCs w:val="1"/>
                <w:color w:val="auto"/>
                <w:w w:val="95"/>
              </w:rPr>
              <w:t>Active</w:t>
            </w:r>
          </w:p>
        </w:tc>
        <w:tc>
          <w:tcPr>
            <w:tcW w:w="160" w:type="dxa"/>
            <w:vAlign w:val="bottom"/>
          </w:tcPr>
          <w:p>
            <w:pPr>
              <w:spacing w:after="0"/>
              <w:rPr>
                <w:sz w:val="12"/>
                <w:szCs w:val="12"/>
                <w:color w:val="auto"/>
              </w:rPr>
            </w:pPr>
          </w:p>
        </w:tc>
        <w:tc>
          <w:tcPr>
            <w:tcW w:w="1240" w:type="dxa"/>
            <w:vAlign w:val="bottom"/>
            <w:gridSpan w:val="2"/>
            <w:vMerge w:val="restart"/>
          </w:tcPr>
          <w:p>
            <w:pPr>
              <w:jc w:val="center"/>
              <w:ind w:right="420"/>
              <w:spacing w:after="0"/>
              <w:rPr>
                <w:sz w:val="20"/>
                <w:szCs w:val="20"/>
                <w:color w:val="auto"/>
              </w:rPr>
            </w:pPr>
            <w:r>
              <w:rPr>
                <w:rFonts w:ascii="Arial" w:cs="Arial" w:eastAsia="Arial" w:hAnsi="Arial"/>
                <w:sz w:val="14"/>
                <w:szCs w:val="14"/>
                <w:b w:val="1"/>
                <w:bCs w:val="1"/>
                <w:color w:val="auto"/>
                <w:w w:val="92"/>
              </w:rPr>
              <w:t>Significant</w:t>
            </w:r>
          </w:p>
        </w:tc>
        <w:tc>
          <w:tcPr>
            <w:tcW w:w="12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140" w:type="dxa"/>
            <w:vAlign w:val="bottom"/>
          </w:tcPr>
          <w:p>
            <w:pPr>
              <w:spacing w:after="0"/>
              <w:rPr>
                <w:sz w:val="12"/>
                <w:szCs w:val="12"/>
                <w:color w:val="auto"/>
              </w:rPr>
            </w:pPr>
          </w:p>
        </w:tc>
        <w:tc>
          <w:tcPr>
            <w:tcW w:w="17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20" w:type="dxa"/>
            <w:vAlign w:val="bottom"/>
            <w:gridSpan w:val="2"/>
          </w:tcPr>
          <w:p>
            <w:pPr>
              <w:jc w:val="center"/>
              <w:ind w:right="460"/>
              <w:spacing w:after="0" w:line="149" w:lineRule="exact"/>
              <w:rPr>
                <w:sz w:val="20"/>
                <w:szCs w:val="20"/>
                <w:color w:val="auto"/>
              </w:rPr>
            </w:pPr>
            <w:r>
              <w:rPr>
                <w:rFonts w:ascii="Arial" w:cs="Arial" w:eastAsia="Arial" w:hAnsi="Arial"/>
                <w:sz w:val="14"/>
                <w:szCs w:val="14"/>
                <w:b w:val="1"/>
                <w:bCs w:val="1"/>
                <w:color w:val="auto"/>
                <w:w w:val="98"/>
              </w:rPr>
              <w:t>Markets</w:t>
            </w:r>
          </w:p>
        </w:tc>
        <w:tc>
          <w:tcPr>
            <w:tcW w:w="160" w:type="dxa"/>
            <w:vAlign w:val="bottom"/>
          </w:tcPr>
          <w:p>
            <w:pPr>
              <w:spacing w:after="0"/>
              <w:rPr>
                <w:sz w:val="12"/>
                <w:szCs w:val="12"/>
                <w:color w:val="auto"/>
              </w:rPr>
            </w:pPr>
          </w:p>
        </w:tc>
        <w:tc>
          <w:tcPr>
            <w:tcW w:w="124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1040" w:type="dxa"/>
            <w:vAlign w:val="bottom"/>
            <w:vMerge w:val="restart"/>
          </w:tcPr>
          <w:p>
            <w:pPr>
              <w:jc w:val="center"/>
              <w:ind w:right="60"/>
              <w:spacing w:after="0"/>
              <w:rPr>
                <w:sz w:val="20"/>
                <w:szCs w:val="20"/>
                <w:color w:val="auto"/>
              </w:rPr>
            </w:pPr>
            <w:r>
              <w:rPr>
                <w:rFonts w:ascii="Arial" w:cs="Arial" w:eastAsia="Arial" w:hAnsi="Arial"/>
                <w:sz w:val="14"/>
                <w:szCs w:val="14"/>
                <w:b w:val="1"/>
                <w:bCs w:val="1"/>
                <w:color w:val="auto"/>
                <w:w w:val="92"/>
              </w:rPr>
              <w:t>Significant</w:t>
            </w:r>
          </w:p>
        </w:tc>
        <w:tc>
          <w:tcPr>
            <w:tcW w:w="2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140" w:type="dxa"/>
            <w:vAlign w:val="bottom"/>
          </w:tcPr>
          <w:p>
            <w:pPr>
              <w:spacing w:after="0"/>
              <w:rPr>
                <w:sz w:val="12"/>
                <w:szCs w:val="12"/>
                <w:color w:val="auto"/>
              </w:rPr>
            </w:pPr>
          </w:p>
        </w:tc>
        <w:tc>
          <w:tcPr>
            <w:tcW w:w="17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20" w:type="dxa"/>
            <w:vAlign w:val="bottom"/>
            <w:gridSpan w:val="2"/>
          </w:tcPr>
          <w:p>
            <w:pPr>
              <w:jc w:val="center"/>
              <w:ind w:right="460"/>
              <w:spacing w:after="0" w:line="149" w:lineRule="exact"/>
              <w:rPr>
                <w:sz w:val="20"/>
                <w:szCs w:val="20"/>
                <w:color w:val="auto"/>
              </w:rPr>
            </w:pPr>
            <w:r>
              <w:rPr>
                <w:rFonts w:ascii="Arial" w:cs="Arial" w:eastAsia="Arial" w:hAnsi="Arial"/>
                <w:sz w:val="14"/>
                <w:szCs w:val="14"/>
                <w:b w:val="1"/>
                <w:bCs w:val="1"/>
                <w:color w:val="auto"/>
                <w:w w:val="85"/>
              </w:rPr>
              <w:t>using</w:t>
            </w:r>
          </w:p>
        </w:tc>
        <w:tc>
          <w:tcPr>
            <w:tcW w:w="160" w:type="dxa"/>
            <w:vAlign w:val="bottom"/>
          </w:tcPr>
          <w:p>
            <w:pPr>
              <w:spacing w:after="0"/>
              <w:rPr>
                <w:sz w:val="12"/>
                <w:szCs w:val="12"/>
                <w:color w:val="auto"/>
              </w:rPr>
            </w:pPr>
          </w:p>
        </w:tc>
        <w:tc>
          <w:tcPr>
            <w:tcW w:w="1240" w:type="dxa"/>
            <w:vAlign w:val="bottom"/>
            <w:gridSpan w:val="2"/>
          </w:tcPr>
          <w:p>
            <w:pPr>
              <w:jc w:val="center"/>
              <w:ind w:right="420"/>
              <w:spacing w:after="0" w:line="149" w:lineRule="exact"/>
              <w:rPr>
                <w:sz w:val="20"/>
                <w:szCs w:val="20"/>
                <w:color w:val="auto"/>
              </w:rPr>
            </w:pPr>
            <w:r>
              <w:rPr>
                <w:rFonts w:ascii="Arial" w:cs="Arial" w:eastAsia="Arial" w:hAnsi="Arial"/>
                <w:sz w:val="14"/>
                <w:szCs w:val="14"/>
                <w:b w:val="1"/>
                <w:bCs w:val="1"/>
                <w:color w:val="auto"/>
              </w:rPr>
              <w:t>Other</w:t>
            </w:r>
          </w:p>
        </w:tc>
        <w:tc>
          <w:tcPr>
            <w:tcW w:w="120" w:type="dxa"/>
            <w:vAlign w:val="bottom"/>
          </w:tcPr>
          <w:p>
            <w:pPr>
              <w:spacing w:after="0"/>
              <w:rPr>
                <w:sz w:val="12"/>
                <w:szCs w:val="12"/>
                <w:color w:val="auto"/>
              </w:rPr>
            </w:pPr>
          </w:p>
        </w:tc>
        <w:tc>
          <w:tcPr>
            <w:tcW w:w="1040" w:type="dxa"/>
            <w:vAlign w:val="bottom"/>
            <w:vMerge w:val="continue"/>
          </w:tcPr>
          <w:p>
            <w:pPr>
              <w:spacing w:after="0"/>
              <w:rPr>
                <w:sz w:val="12"/>
                <w:szCs w:val="12"/>
                <w:color w:val="auto"/>
              </w:rPr>
            </w:pPr>
          </w:p>
        </w:tc>
        <w:tc>
          <w:tcPr>
            <w:tcW w:w="2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140" w:type="dxa"/>
            <w:vAlign w:val="bottom"/>
          </w:tcPr>
          <w:p>
            <w:pPr>
              <w:spacing w:after="0"/>
              <w:rPr>
                <w:sz w:val="12"/>
                <w:szCs w:val="12"/>
                <w:color w:val="auto"/>
              </w:rPr>
            </w:pPr>
          </w:p>
        </w:tc>
        <w:tc>
          <w:tcPr>
            <w:tcW w:w="17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20" w:type="dxa"/>
            <w:vAlign w:val="bottom"/>
            <w:gridSpan w:val="2"/>
          </w:tcPr>
          <w:p>
            <w:pPr>
              <w:jc w:val="center"/>
              <w:ind w:right="440"/>
              <w:spacing w:after="0" w:line="149" w:lineRule="exact"/>
              <w:rPr>
                <w:sz w:val="20"/>
                <w:szCs w:val="20"/>
                <w:color w:val="auto"/>
              </w:rPr>
            </w:pPr>
            <w:r>
              <w:rPr>
                <w:rFonts w:ascii="Arial" w:cs="Arial" w:eastAsia="Arial" w:hAnsi="Arial"/>
                <w:sz w:val="14"/>
                <w:szCs w:val="14"/>
                <w:b w:val="1"/>
                <w:bCs w:val="1"/>
                <w:color w:val="auto"/>
                <w:w w:val="94"/>
              </w:rPr>
              <w:t>Identical</w:t>
            </w:r>
          </w:p>
        </w:tc>
        <w:tc>
          <w:tcPr>
            <w:tcW w:w="160" w:type="dxa"/>
            <w:vAlign w:val="bottom"/>
          </w:tcPr>
          <w:p>
            <w:pPr>
              <w:spacing w:after="0"/>
              <w:rPr>
                <w:sz w:val="12"/>
                <w:szCs w:val="12"/>
                <w:color w:val="auto"/>
              </w:rPr>
            </w:pPr>
          </w:p>
        </w:tc>
        <w:tc>
          <w:tcPr>
            <w:tcW w:w="1240" w:type="dxa"/>
            <w:vAlign w:val="bottom"/>
            <w:gridSpan w:val="2"/>
          </w:tcPr>
          <w:p>
            <w:pPr>
              <w:jc w:val="center"/>
              <w:ind w:right="420"/>
              <w:spacing w:after="0" w:line="149" w:lineRule="exact"/>
              <w:rPr>
                <w:sz w:val="20"/>
                <w:szCs w:val="20"/>
                <w:color w:val="auto"/>
              </w:rPr>
            </w:pPr>
            <w:r>
              <w:rPr>
                <w:rFonts w:ascii="Arial" w:cs="Arial" w:eastAsia="Arial" w:hAnsi="Arial"/>
                <w:sz w:val="14"/>
                <w:szCs w:val="14"/>
                <w:b w:val="1"/>
                <w:bCs w:val="1"/>
                <w:color w:val="auto"/>
                <w:w w:val="91"/>
              </w:rPr>
              <w:t>Observable</w:t>
            </w:r>
          </w:p>
        </w:tc>
        <w:tc>
          <w:tcPr>
            <w:tcW w:w="120" w:type="dxa"/>
            <w:vAlign w:val="bottom"/>
          </w:tcPr>
          <w:p>
            <w:pPr>
              <w:spacing w:after="0"/>
              <w:rPr>
                <w:sz w:val="12"/>
                <w:szCs w:val="12"/>
                <w:color w:val="auto"/>
              </w:rPr>
            </w:pPr>
          </w:p>
        </w:tc>
        <w:tc>
          <w:tcPr>
            <w:tcW w:w="1040" w:type="dxa"/>
            <w:vAlign w:val="bottom"/>
          </w:tcPr>
          <w:p>
            <w:pPr>
              <w:jc w:val="center"/>
              <w:ind w:right="60"/>
              <w:spacing w:after="0" w:line="149" w:lineRule="exact"/>
              <w:rPr>
                <w:sz w:val="20"/>
                <w:szCs w:val="20"/>
                <w:color w:val="auto"/>
              </w:rPr>
            </w:pPr>
            <w:r>
              <w:rPr>
                <w:rFonts w:ascii="Arial" w:cs="Arial" w:eastAsia="Arial" w:hAnsi="Arial"/>
                <w:sz w:val="14"/>
                <w:szCs w:val="14"/>
                <w:b w:val="1"/>
                <w:bCs w:val="1"/>
                <w:color w:val="auto"/>
                <w:w w:val="92"/>
              </w:rPr>
              <w:t>Unobservable</w:t>
            </w:r>
          </w:p>
        </w:tc>
        <w:tc>
          <w:tcPr>
            <w:tcW w:w="2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140" w:type="dxa"/>
            <w:vAlign w:val="bottom"/>
          </w:tcPr>
          <w:p>
            <w:pPr>
              <w:spacing w:after="0"/>
              <w:rPr>
                <w:sz w:val="12"/>
                <w:szCs w:val="12"/>
                <w:color w:val="auto"/>
              </w:rPr>
            </w:pPr>
          </w:p>
        </w:tc>
        <w:tc>
          <w:tcPr>
            <w:tcW w:w="17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20" w:type="dxa"/>
            <w:vAlign w:val="bottom"/>
            <w:gridSpan w:val="2"/>
          </w:tcPr>
          <w:p>
            <w:pPr>
              <w:jc w:val="center"/>
              <w:ind w:right="440"/>
              <w:spacing w:after="0" w:line="149" w:lineRule="exact"/>
              <w:rPr>
                <w:sz w:val="20"/>
                <w:szCs w:val="20"/>
                <w:color w:val="auto"/>
              </w:rPr>
            </w:pPr>
            <w:r>
              <w:rPr>
                <w:rFonts w:ascii="Arial" w:cs="Arial" w:eastAsia="Arial" w:hAnsi="Arial"/>
                <w:sz w:val="14"/>
                <w:szCs w:val="14"/>
                <w:b w:val="1"/>
                <w:bCs w:val="1"/>
                <w:color w:val="auto"/>
                <w:w w:val="82"/>
              </w:rPr>
              <w:t>Assets</w:t>
            </w:r>
          </w:p>
        </w:tc>
        <w:tc>
          <w:tcPr>
            <w:tcW w:w="160" w:type="dxa"/>
            <w:vAlign w:val="bottom"/>
          </w:tcPr>
          <w:p>
            <w:pPr>
              <w:spacing w:after="0"/>
              <w:rPr>
                <w:sz w:val="12"/>
                <w:szCs w:val="12"/>
                <w:color w:val="auto"/>
              </w:rPr>
            </w:pPr>
          </w:p>
        </w:tc>
        <w:tc>
          <w:tcPr>
            <w:tcW w:w="1240" w:type="dxa"/>
            <w:vAlign w:val="bottom"/>
            <w:gridSpan w:val="2"/>
          </w:tcPr>
          <w:p>
            <w:pPr>
              <w:jc w:val="center"/>
              <w:ind w:right="440"/>
              <w:spacing w:after="0" w:line="149" w:lineRule="exact"/>
              <w:rPr>
                <w:sz w:val="20"/>
                <w:szCs w:val="20"/>
                <w:color w:val="auto"/>
              </w:rPr>
            </w:pPr>
            <w:r>
              <w:rPr>
                <w:rFonts w:ascii="Arial" w:cs="Arial" w:eastAsia="Arial" w:hAnsi="Arial"/>
                <w:sz w:val="14"/>
                <w:szCs w:val="14"/>
                <w:b w:val="1"/>
                <w:bCs w:val="1"/>
                <w:color w:val="auto"/>
                <w:w w:val="95"/>
              </w:rPr>
              <w:t>Inputs</w:t>
            </w:r>
          </w:p>
        </w:tc>
        <w:tc>
          <w:tcPr>
            <w:tcW w:w="120" w:type="dxa"/>
            <w:vAlign w:val="bottom"/>
          </w:tcPr>
          <w:p>
            <w:pPr>
              <w:spacing w:after="0"/>
              <w:rPr>
                <w:sz w:val="12"/>
                <w:szCs w:val="12"/>
                <w:color w:val="auto"/>
              </w:rPr>
            </w:pPr>
          </w:p>
        </w:tc>
        <w:tc>
          <w:tcPr>
            <w:tcW w:w="1040" w:type="dxa"/>
            <w:vAlign w:val="bottom"/>
          </w:tcPr>
          <w:p>
            <w:pPr>
              <w:jc w:val="center"/>
              <w:ind w:right="40"/>
              <w:spacing w:after="0" w:line="149" w:lineRule="exact"/>
              <w:rPr>
                <w:sz w:val="20"/>
                <w:szCs w:val="20"/>
                <w:color w:val="auto"/>
              </w:rPr>
            </w:pPr>
            <w:r>
              <w:rPr>
                <w:rFonts w:ascii="Arial" w:cs="Arial" w:eastAsia="Arial" w:hAnsi="Arial"/>
                <w:sz w:val="14"/>
                <w:szCs w:val="14"/>
                <w:b w:val="1"/>
                <w:bCs w:val="1"/>
                <w:color w:val="auto"/>
                <w:w w:val="95"/>
              </w:rPr>
              <w:t>Inputs</w:t>
            </w:r>
          </w:p>
        </w:tc>
        <w:tc>
          <w:tcPr>
            <w:tcW w:w="2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040" w:type="dxa"/>
            <w:vAlign w:val="bottom"/>
            <w:gridSpan w:val="2"/>
            <w:vMerge w:val="restart"/>
          </w:tcPr>
          <w:p>
            <w:pPr>
              <w:ind w:left="160"/>
              <w:spacing w:after="0"/>
              <w:rPr>
                <w:sz w:val="20"/>
                <w:szCs w:val="20"/>
                <w:color w:val="auto"/>
              </w:rPr>
            </w:pPr>
            <w:r>
              <w:rPr>
                <w:rFonts w:ascii="Arial" w:cs="Arial" w:eastAsia="Arial" w:hAnsi="Arial"/>
                <w:sz w:val="14"/>
                <w:szCs w:val="14"/>
                <w:b w:val="1"/>
                <w:bCs w:val="1"/>
                <w:color w:val="auto"/>
              </w:rPr>
              <w:t>Total</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4140" w:type="dxa"/>
            <w:vAlign w:val="bottom"/>
          </w:tcPr>
          <w:p>
            <w:pPr>
              <w:spacing w:after="0"/>
              <w:rPr>
                <w:sz w:val="14"/>
                <w:szCs w:val="14"/>
                <w:color w:val="auto"/>
              </w:rPr>
            </w:pPr>
          </w:p>
        </w:tc>
        <w:tc>
          <w:tcPr>
            <w:tcW w:w="17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20" w:type="dxa"/>
            <w:vAlign w:val="bottom"/>
            <w:gridSpan w:val="2"/>
          </w:tcPr>
          <w:p>
            <w:pPr>
              <w:jc w:val="center"/>
              <w:ind w:right="440"/>
              <w:spacing w:after="0"/>
              <w:rPr>
                <w:sz w:val="20"/>
                <w:szCs w:val="20"/>
                <w:color w:val="auto"/>
              </w:rPr>
            </w:pPr>
            <w:r>
              <w:rPr>
                <w:rFonts w:ascii="Arial" w:cs="Arial" w:eastAsia="Arial" w:hAnsi="Arial"/>
                <w:sz w:val="14"/>
                <w:szCs w:val="14"/>
                <w:b w:val="1"/>
                <w:bCs w:val="1"/>
                <w:color w:val="auto"/>
                <w:w w:val="94"/>
              </w:rPr>
              <w:t>(Level 1)</w:t>
            </w:r>
          </w:p>
        </w:tc>
        <w:tc>
          <w:tcPr>
            <w:tcW w:w="160" w:type="dxa"/>
            <w:vAlign w:val="bottom"/>
          </w:tcPr>
          <w:p>
            <w:pPr>
              <w:spacing w:after="0"/>
              <w:rPr>
                <w:sz w:val="14"/>
                <w:szCs w:val="14"/>
                <w:color w:val="auto"/>
              </w:rPr>
            </w:pPr>
          </w:p>
        </w:tc>
        <w:tc>
          <w:tcPr>
            <w:tcW w:w="1240" w:type="dxa"/>
            <w:vAlign w:val="bottom"/>
            <w:gridSpan w:val="2"/>
          </w:tcPr>
          <w:p>
            <w:pPr>
              <w:jc w:val="center"/>
              <w:ind w:right="420"/>
              <w:spacing w:after="0"/>
              <w:rPr>
                <w:sz w:val="20"/>
                <w:szCs w:val="20"/>
                <w:color w:val="auto"/>
              </w:rPr>
            </w:pPr>
            <w:r>
              <w:rPr>
                <w:rFonts w:ascii="Arial" w:cs="Arial" w:eastAsia="Arial" w:hAnsi="Arial"/>
                <w:sz w:val="14"/>
                <w:szCs w:val="14"/>
                <w:b w:val="1"/>
                <w:bCs w:val="1"/>
                <w:color w:val="auto"/>
                <w:w w:val="94"/>
              </w:rPr>
              <w:t>(Level 2)</w:t>
            </w:r>
          </w:p>
        </w:tc>
        <w:tc>
          <w:tcPr>
            <w:tcW w:w="120" w:type="dxa"/>
            <w:vAlign w:val="bottom"/>
          </w:tcPr>
          <w:p>
            <w:pPr>
              <w:spacing w:after="0"/>
              <w:rPr>
                <w:sz w:val="14"/>
                <w:szCs w:val="14"/>
                <w:color w:val="auto"/>
              </w:rPr>
            </w:pPr>
          </w:p>
        </w:tc>
        <w:tc>
          <w:tcPr>
            <w:tcW w:w="1040" w:type="dxa"/>
            <w:vAlign w:val="bottom"/>
          </w:tcPr>
          <w:p>
            <w:pPr>
              <w:jc w:val="center"/>
              <w:ind w:right="60"/>
              <w:spacing w:after="0"/>
              <w:rPr>
                <w:sz w:val="20"/>
                <w:szCs w:val="20"/>
                <w:color w:val="auto"/>
              </w:rPr>
            </w:pPr>
            <w:r>
              <w:rPr>
                <w:rFonts w:ascii="Arial" w:cs="Arial" w:eastAsia="Arial" w:hAnsi="Arial"/>
                <w:sz w:val="14"/>
                <w:szCs w:val="14"/>
                <w:b w:val="1"/>
                <w:bCs w:val="1"/>
                <w:color w:val="auto"/>
                <w:w w:val="94"/>
              </w:rPr>
              <w:t>(Level 3)</w:t>
            </w:r>
          </w:p>
        </w:tc>
        <w:tc>
          <w:tcPr>
            <w:tcW w:w="2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40" w:type="dxa"/>
            <w:vAlign w:val="bottom"/>
            <w:gridSpan w:val="2"/>
            <w:vMerge w:val="continue"/>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3"/>
        </w:trPr>
        <w:tc>
          <w:tcPr>
            <w:tcW w:w="414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b w:val="1"/>
                <w:bCs w:val="1"/>
                <w:color w:val="auto"/>
              </w:rPr>
              <w:t>Assets</w:t>
            </w:r>
          </w:p>
        </w:tc>
        <w:tc>
          <w:tcPr>
            <w:tcW w:w="1760" w:type="dxa"/>
            <w:vAlign w:val="bottom"/>
            <w:tcBorders>
              <w:top w:val="single" w:sz="8" w:color="CFF0FC"/>
            </w:tcBorders>
            <w:shd w:val="clear" w:color="auto" w:fill="CFF0FC"/>
          </w:tcPr>
          <w:p>
            <w:pPr>
              <w:spacing w:after="0"/>
              <w:rPr>
                <w:sz w:val="19"/>
                <w:szCs w:val="19"/>
                <w:color w:val="auto"/>
              </w:rPr>
            </w:pPr>
          </w:p>
        </w:tc>
        <w:tc>
          <w:tcPr>
            <w:tcW w:w="200" w:type="dxa"/>
            <w:vAlign w:val="bottom"/>
            <w:tcBorders>
              <w:top w:val="single" w:sz="8" w:color="auto"/>
            </w:tcBorders>
            <w:shd w:val="clear" w:color="auto" w:fill="CFF0FC"/>
          </w:tcPr>
          <w:p>
            <w:pPr>
              <w:spacing w:after="0"/>
              <w:rPr>
                <w:sz w:val="19"/>
                <w:szCs w:val="19"/>
                <w:color w:val="auto"/>
              </w:rPr>
            </w:pPr>
          </w:p>
        </w:tc>
        <w:tc>
          <w:tcPr>
            <w:tcW w:w="980" w:type="dxa"/>
            <w:vAlign w:val="bottom"/>
            <w:tcBorders>
              <w:top w:val="single" w:sz="8" w:color="auto"/>
            </w:tcBorders>
            <w:shd w:val="clear" w:color="auto" w:fill="CFF0FC"/>
          </w:tcPr>
          <w:p>
            <w:pPr>
              <w:spacing w:after="0"/>
              <w:rPr>
                <w:sz w:val="19"/>
                <w:szCs w:val="19"/>
                <w:color w:val="auto"/>
              </w:rPr>
            </w:pPr>
          </w:p>
        </w:tc>
        <w:tc>
          <w:tcPr>
            <w:tcW w:w="240" w:type="dxa"/>
            <w:vAlign w:val="bottom"/>
            <w:tcBorders>
              <w:top w:val="single" w:sz="8" w:color="CFF0FC"/>
            </w:tcBorders>
            <w:shd w:val="clear" w:color="auto" w:fill="CFF0FC"/>
          </w:tcPr>
          <w:p>
            <w:pPr>
              <w:spacing w:after="0"/>
              <w:rPr>
                <w:sz w:val="19"/>
                <w:szCs w:val="19"/>
                <w:color w:val="auto"/>
              </w:rPr>
            </w:pPr>
          </w:p>
        </w:tc>
        <w:tc>
          <w:tcPr>
            <w:tcW w:w="160" w:type="dxa"/>
            <w:vAlign w:val="bottom"/>
            <w:tcBorders>
              <w:top w:val="single" w:sz="8" w:color="auto"/>
            </w:tcBorders>
            <w:shd w:val="clear" w:color="auto" w:fill="CFF0FC"/>
          </w:tcPr>
          <w:p>
            <w:pPr>
              <w:spacing w:after="0"/>
              <w:rPr>
                <w:sz w:val="19"/>
                <w:szCs w:val="19"/>
                <w:color w:val="auto"/>
              </w:rPr>
            </w:pPr>
          </w:p>
        </w:tc>
        <w:tc>
          <w:tcPr>
            <w:tcW w:w="1000" w:type="dxa"/>
            <w:vAlign w:val="bottom"/>
            <w:tcBorders>
              <w:top w:val="single" w:sz="8" w:color="auto"/>
            </w:tcBorders>
            <w:shd w:val="clear" w:color="auto" w:fill="CFF0FC"/>
          </w:tcPr>
          <w:p>
            <w:pPr>
              <w:spacing w:after="0"/>
              <w:rPr>
                <w:sz w:val="19"/>
                <w:szCs w:val="19"/>
                <w:color w:val="auto"/>
              </w:rPr>
            </w:pPr>
          </w:p>
        </w:tc>
        <w:tc>
          <w:tcPr>
            <w:tcW w:w="24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auto"/>
            </w:tcBorders>
            <w:shd w:val="clear" w:color="auto" w:fill="CFF0FC"/>
          </w:tcPr>
          <w:p>
            <w:pPr>
              <w:spacing w:after="0"/>
              <w:rPr>
                <w:sz w:val="19"/>
                <w:szCs w:val="19"/>
                <w:color w:val="auto"/>
              </w:rPr>
            </w:pPr>
          </w:p>
        </w:tc>
        <w:tc>
          <w:tcPr>
            <w:tcW w:w="1040" w:type="dxa"/>
            <w:vAlign w:val="bottom"/>
            <w:tcBorders>
              <w:top w:val="single" w:sz="8" w:color="auto"/>
            </w:tcBorders>
            <w:shd w:val="clear" w:color="auto" w:fill="CFF0FC"/>
          </w:tcPr>
          <w:p>
            <w:pPr>
              <w:spacing w:after="0"/>
              <w:rPr>
                <w:sz w:val="19"/>
                <w:szCs w:val="19"/>
                <w:color w:val="auto"/>
              </w:rPr>
            </w:pPr>
          </w:p>
        </w:tc>
        <w:tc>
          <w:tcPr>
            <w:tcW w:w="240" w:type="dxa"/>
            <w:vAlign w:val="bottom"/>
            <w:tcBorders>
              <w:top w:val="single" w:sz="8" w:color="CFF0FC"/>
            </w:tcBorders>
            <w:shd w:val="clear" w:color="auto" w:fill="CFF0FC"/>
          </w:tcPr>
          <w:p>
            <w:pPr>
              <w:spacing w:after="0"/>
              <w:rPr>
                <w:sz w:val="19"/>
                <w:szCs w:val="19"/>
                <w:color w:val="auto"/>
              </w:rPr>
            </w:pPr>
          </w:p>
        </w:tc>
        <w:tc>
          <w:tcPr>
            <w:tcW w:w="260" w:type="dxa"/>
            <w:vAlign w:val="bottom"/>
            <w:tcBorders>
              <w:top w:val="single" w:sz="8" w:color="auto"/>
            </w:tcBorders>
            <w:shd w:val="clear" w:color="auto" w:fill="CFF0FC"/>
          </w:tcPr>
          <w:p>
            <w:pPr>
              <w:spacing w:after="0"/>
              <w:rPr>
                <w:sz w:val="19"/>
                <w:szCs w:val="19"/>
                <w:color w:val="auto"/>
              </w:rPr>
            </w:pPr>
          </w:p>
        </w:tc>
        <w:tc>
          <w:tcPr>
            <w:tcW w:w="920" w:type="dxa"/>
            <w:vAlign w:val="bottom"/>
            <w:tcBorders>
              <w:top w:val="single" w:sz="8" w:color="auto"/>
            </w:tcBorders>
            <w:shd w:val="clear" w:color="auto" w:fill="CFF0FC"/>
          </w:tcPr>
          <w:p>
            <w:pPr>
              <w:spacing w:after="0"/>
              <w:rPr>
                <w:sz w:val="19"/>
                <w:szCs w:val="19"/>
                <w:color w:val="auto"/>
              </w:rPr>
            </w:pPr>
          </w:p>
        </w:tc>
        <w:tc>
          <w:tcPr>
            <w:tcW w:w="120" w:type="dxa"/>
            <w:vAlign w:val="bottom"/>
            <w:tcBorders>
              <w:top w:val="single" w:sz="8" w:color="CFF0FC"/>
            </w:tcBorders>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140" w:type="dxa"/>
            <w:vAlign w:val="bottom"/>
          </w:tcPr>
          <w:p>
            <w:pPr>
              <w:spacing w:after="0"/>
              <w:rPr>
                <w:sz w:val="20"/>
                <w:szCs w:val="20"/>
                <w:color w:val="auto"/>
              </w:rPr>
            </w:pPr>
            <w:r>
              <w:rPr>
                <w:rFonts w:ascii="Arial" w:cs="Arial" w:eastAsia="Arial" w:hAnsi="Arial"/>
                <w:sz w:val="18"/>
                <w:szCs w:val="18"/>
                <w:color w:val="auto"/>
              </w:rPr>
              <w:t>Cash Equivalents:</w:t>
            </w:r>
          </w:p>
        </w:tc>
        <w:tc>
          <w:tcPr>
            <w:tcW w:w="17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140" w:type="dxa"/>
            <w:vAlign w:val="bottom"/>
            <w:shd w:val="clear" w:color="auto" w:fill="CFF0FC"/>
          </w:tcPr>
          <w:p>
            <w:pPr>
              <w:ind w:left="260"/>
              <w:spacing w:after="0"/>
              <w:rPr>
                <w:sz w:val="20"/>
                <w:szCs w:val="20"/>
                <w:color w:val="auto"/>
              </w:rPr>
            </w:pPr>
            <w:r>
              <w:rPr>
                <w:rFonts w:ascii="Arial" w:cs="Arial" w:eastAsia="Arial" w:hAnsi="Arial"/>
                <w:sz w:val="18"/>
                <w:szCs w:val="18"/>
                <w:color w:val="auto"/>
              </w:rPr>
              <w:t>Money market accounts</w:t>
            </w:r>
          </w:p>
        </w:tc>
        <w:tc>
          <w:tcPr>
            <w:tcW w:w="1960" w:type="dxa"/>
            <w:vAlign w:val="bottom"/>
            <w:gridSpan w:val="2"/>
            <w:shd w:val="clear" w:color="auto" w:fill="CFF0FC"/>
          </w:tcPr>
          <w:p>
            <w:pPr>
              <w:jc w:val="right"/>
              <w:ind w:right="10"/>
              <w:spacing w:after="0"/>
              <w:rPr>
                <w:sz w:val="20"/>
                <w:szCs w:val="20"/>
                <w:color w:val="auto"/>
              </w:rPr>
            </w:pPr>
            <w:r>
              <w:rPr>
                <w:rFonts w:ascii="Arial" w:cs="Arial" w:eastAsia="Arial" w:hAnsi="Arial"/>
                <w:sz w:val="18"/>
                <w:szCs w:val="18"/>
                <w:color w:val="auto"/>
              </w:rPr>
              <w:t>$</w:t>
            </w: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23,545</w:t>
            </w:r>
          </w:p>
        </w:tc>
        <w:tc>
          <w:tcPr>
            <w:tcW w:w="240" w:type="dxa"/>
            <w:vAlign w:val="bottom"/>
            <w:shd w:val="clear" w:color="auto" w:fill="CFF0FC"/>
          </w:tcPr>
          <w:p>
            <w:pPr>
              <w:spacing w:after="0"/>
              <w:rPr>
                <w:sz w:val="19"/>
                <w:szCs w:val="19"/>
                <w:color w:val="auto"/>
              </w:rPr>
            </w:pPr>
          </w:p>
        </w:tc>
        <w:tc>
          <w:tcPr>
            <w:tcW w:w="160" w:type="dxa"/>
            <w:vAlign w:val="bottom"/>
            <w:shd w:val="clear" w:color="auto" w:fill="CFF0FC"/>
          </w:tcPr>
          <w:p>
            <w:pPr>
              <w:jc w:val="right"/>
              <w:ind w:right="5"/>
              <w:spacing w:after="0"/>
              <w:rPr>
                <w:sz w:val="20"/>
                <w:szCs w:val="20"/>
                <w:color w:val="auto"/>
              </w:rPr>
            </w:pPr>
            <w:r>
              <w:rPr>
                <w:rFonts w:ascii="Arial" w:cs="Arial" w:eastAsia="Arial" w:hAnsi="Arial"/>
                <w:sz w:val="15"/>
                <w:szCs w:val="15"/>
                <w:color w:val="auto"/>
                <w:w w:val="71"/>
              </w:rPr>
              <w:t>$</w:t>
            </w:r>
          </w:p>
        </w:tc>
        <w:tc>
          <w:tcPr>
            <w:tcW w:w="1240" w:type="dxa"/>
            <w:vAlign w:val="bottom"/>
            <w:gridSpan w:val="2"/>
            <w:shd w:val="clear" w:color="auto" w:fill="CFF0FC"/>
          </w:tcPr>
          <w:p>
            <w:pPr>
              <w:ind w:left="8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500" w:type="dxa"/>
            <w:vAlign w:val="bottom"/>
            <w:gridSpan w:val="2"/>
            <w:shd w:val="clear" w:color="auto" w:fill="CFF0FC"/>
          </w:tcPr>
          <w:p>
            <w:pPr>
              <w:jc w:val="right"/>
              <w:ind w:right="70"/>
              <w:spacing w:after="0"/>
              <w:rPr>
                <w:sz w:val="20"/>
                <w:szCs w:val="20"/>
                <w:color w:val="auto"/>
              </w:rPr>
            </w:pPr>
            <w:r>
              <w:rPr>
                <w:rFonts w:ascii="Arial" w:cs="Arial" w:eastAsia="Arial" w:hAnsi="Arial"/>
                <w:sz w:val="18"/>
                <w:szCs w:val="18"/>
                <w:color w:val="auto"/>
              </w:rPr>
              <w:t>$</w:t>
            </w: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23,545</w:t>
            </w:r>
          </w:p>
        </w:tc>
        <w:tc>
          <w:tcPr>
            <w:tcW w:w="12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140" w:type="dxa"/>
            <w:vAlign w:val="bottom"/>
          </w:tcPr>
          <w:p>
            <w:pPr>
              <w:ind w:left="260"/>
              <w:spacing w:after="0"/>
              <w:rPr>
                <w:sz w:val="20"/>
                <w:szCs w:val="20"/>
                <w:color w:val="auto"/>
              </w:rPr>
            </w:pPr>
            <w:r>
              <w:rPr>
                <w:rFonts w:ascii="Arial" w:cs="Arial" w:eastAsia="Arial" w:hAnsi="Arial"/>
                <w:sz w:val="18"/>
                <w:szCs w:val="18"/>
                <w:color w:val="auto"/>
              </w:rPr>
              <w:t>Restricted cash</w:t>
            </w:r>
          </w:p>
        </w:tc>
        <w:tc>
          <w:tcPr>
            <w:tcW w:w="17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100</w:t>
            </w:r>
          </w:p>
        </w:tc>
        <w:tc>
          <w:tcPr>
            <w:tcW w:w="2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40" w:type="dxa"/>
            <w:vAlign w:val="bottom"/>
            <w:gridSpan w:val="2"/>
          </w:tcPr>
          <w:p>
            <w:pPr>
              <w:ind w:left="8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100</w:t>
            </w: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140" w:type="dxa"/>
            <w:vAlign w:val="bottom"/>
            <w:tcBorders>
              <w:top w:val="single" w:sz="8" w:color="CFF0FC"/>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Total assets</w:t>
            </w:r>
          </w:p>
        </w:tc>
        <w:tc>
          <w:tcPr>
            <w:tcW w:w="1760" w:type="dxa"/>
            <w:vAlign w:val="bottom"/>
            <w:tcBorders>
              <w:top w:val="single" w:sz="8" w:color="CFF0FC"/>
              <w:bottom w:val="single" w:sz="8" w:color="CFF0FC"/>
            </w:tcBorders>
            <w:shd w:val="clear" w:color="auto" w:fill="CFF0FC"/>
          </w:tcPr>
          <w:p>
            <w:pPr>
              <w:spacing w:after="0"/>
              <w:rPr>
                <w:sz w:val="19"/>
                <w:szCs w:val="19"/>
                <w:color w:val="auto"/>
              </w:rPr>
            </w:pPr>
          </w:p>
        </w:tc>
        <w:tc>
          <w:tcPr>
            <w:tcW w:w="200" w:type="dxa"/>
            <w:vAlign w:val="bottom"/>
            <w:tcBorders>
              <w:top w:val="single" w:sz="8" w:color="auto"/>
              <w:bottom w:val="single" w:sz="8" w:color="auto"/>
            </w:tcBorders>
            <w:shd w:val="clear" w:color="auto" w:fill="CFF0FC"/>
          </w:tcPr>
          <w:p>
            <w:pPr>
              <w:jc w:val="right"/>
              <w:ind w:right="10"/>
              <w:spacing w:after="0"/>
              <w:rPr>
                <w:sz w:val="20"/>
                <w:szCs w:val="20"/>
                <w:color w:val="auto"/>
              </w:rPr>
            </w:pPr>
            <w:r>
              <w:rPr>
                <w:rFonts w:ascii="Arial" w:cs="Arial" w:eastAsia="Arial" w:hAnsi="Arial"/>
                <w:sz w:val="18"/>
                <w:szCs w:val="18"/>
                <w:color w:val="auto"/>
                <w:w w:val="79"/>
              </w:rPr>
              <w:t>$</w:t>
            </w:r>
          </w:p>
        </w:tc>
        <w:tc>
          <w:tcPr>
            <w:tcW w:w="9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23,645</w:t>
            </w:r>
          </w:p>
        </w:tc>
        <w:tc>
          <w:tcPr>
            <w:tcW w:w="240" w:type="dxa"/>
            <w:vAlign w:val="bottom"/>
            <w:tcBorders>
              <w:top w:val="single" w:sz="8" w:color="CFF0FC"/>
              <w:bottom w:val="single" w:sz="8" w:color="CFF0FC"/>
            </w:tcBorders>
            <w:shd w:val="clear" w:color="auto" w:fill="CFF0FC"/>
          </w:tcPr>
          <w:p>
            <w:pPr>
              <w:spacing w:after="0"/>
              <w:rPr>
                <w:sz w:val="19"/>
                <w:szCs w:val="19"/>
                <w:color w:val="auto"/>
              </w:rPr>
            </w:pPr>
          </w:p>
        </w:tc>
        <w:tc>
          <w:tcPr>
            <w:tcW w:w="160" w:type="dxa"/>
            <w:vAlign w:val="bottom"/>
            <w:tcBorders>
              <w:top w:val="single" w:sz="8" w:color="auto"/>
              <w:bottom w:val="single" w:sz="8" w:color="auto"/>
            </w:tcBorders>
            <w:shd w:val="clear" w:color="auto" w:fill="CFF0FC"/>
          </w:tcPr>
          <w:p>
            <w:pPr>
              <w:jc w:val="right"/>
              <w:ind w:right="5"/>
              <w:spacing w:after="0"/>
              <w:rPr>
                <w:sz w:val="20"/>
                <w:szCs w:val="20"/>
                <w:color w:val="auto"/>
              </w:rPr>
            </w:pPr>
            <w:r>
              <w:rPr>
                <w:rFonts w:ascii="Arial" w:cs="Arial" w:eastAsia="Arial" w:hAnsi="Arial"/>
                <w:sz w:val="15"/>
                <w:szCs w:val="15"/>
                <w:color w:val="auto"/>
                <w:w w:val="71"/>
              </w:rPr>
              <w:t>$</w:t>
            </w:r>
          </w:p>
        </w:tc>
        <w:tc>
          <w:tcPr>
            <w:tcW w:w="1000" w:type="dxa"/>
            <w:vAlign w:val="bottom"/>
            <w:tcBorders>
              <w:top w:val="single" w:sz="8" w:color="auto"/>
              <w:bottom w:val="single" w:sz="8" w:color="auto"/>
            </w:tcBorders>
            <w:shd w:val="clear" w:color="auto" w:fill="CFF0FC"/>
          </w:tcPr>
          <w:p>
            <w:pPr>
              <w:ind w:left="800"/>
              <w:spacing w:after="0"/>
              <w:rPr>
                <w:sz w:val="20"/>
                <w:szCs w:val="20"/>
                <w:color w:val="auto"/>
              </w:rPr>
            </w:pPr>
            <w:r>
              <w:rPr>
                <w:rFonts w:ascii="Arial" w:cs="Arial" w:eastAsia="Arial" w:hAnsi="Arial"/>
                <w:sz w:val="18"/>
                <w:szCs w:val="18"/>
                <w:color w:val="auto"/>
                <w:w w:val="99"/>
              </w:rPr>
              <w:t>—</w:t>
            </w:r>
          </w:p>
        </w:tc>
        <w:tc>
          <w:tcPr>
            <w:tcW w:w="240" w:type="dxa"/>
            <w:vAlign w:val="bottom"/>
            <w:tcBorders>
              <w:top w:val="single" w:sz="8" w:color="CFF0FC"/>
              <w:bottom w:val="single" w:sz="8" w:color="CFF0FC"/>
            </w:tcBorders>
            <w:shd w:val="clear" w:color="auto" w:fill="CFF0FC"/>
          </w:tcPr>
          <w:p>
            <w:pPr>
              <w:spacing w:after="0"/>
              <w:rPr>
                <w:sz w:val="19"/>
                <w:szCs w:val="19"/>
                <w:color w:val="auto"/>
              </w:rPr>
            </w:pPr>
          </w:p>
        </w:tc>
        <w:tc>
          <w:tcPr>
            <w:tcW w:w="1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0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40" w:type="dxa"/>
            <w:vAlign w:val="bottom"/>
            <w:tcBorders>
              <w:top w:val="single" w:sz="8" w:color="CFF0FC"/>
              <w:bottom w:val="single" w:sz="8" w:color="CFF0FC"/>
            </w:tcBorders>
            <w:shd w:val="clear" w:color="auto" w:fill="CFF0FC"/>
          </w:tcPr>
          <w:p>
            <w:pPr>
              <w:spacing w:after="0"/>
              <w:rPr>
                <w:sz w:val="19"/>
                <w:szCs w:val="19"/>
                <w:color w:val="auto"/>
              </w:rPr>
            </w:pPr>
          </w:p>
        </w:tc>
        <w:tc>
          <w:tcPr>
            <w:tcW w:w="260" w:type="dxa"/>
            <w:vAlign w:val="bottom"/>
            <w:tcBorders>
              <w:top w:val="single" w:sz="8" w:color="auto"/>
              <w:bottom w:val="single" w:sz="8" w:color="auto"/>
            </w:tcBorders>
            <w:shd w:val="clear" w:color="auto" w:fill="CFF0FC"/>
          </w:tcPr>
          <w:p>
            <w:pPr>
              <w:jc w:val="right"/>
              <w:ind w:right="70"/>
              <w:spacing w:after="0"/>
              <w:rPr>
                <w:sz w:val="20"/>
                <w:szCs w:val="20"/>
                <w:color w:val="auto"/>
              </w:rPr>
            </w:pPr>
            <w:r>
              <w:rPr>
                <w:rFonts w:ascii="Arial" w:cs="Arial" w:eastAsia="Arial" w:hAnsi="Arial"/>
                <w:sz w:val="18"/>
                <w:szCs w:val="18"/>
                <w:color w:val="auto"/>
                <w:w w:val="79"/>
              </w:rPr>
              <w:t>$</w:t>
            </w:r>
          </w:p>
        </w:tc>
        <w:tc>
          <w:tcPr>
            <w:tcW w:w="9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23,645</w:t>
            </w:r>
          </w:p>
        </w:tc>
        <w:tc>
          <w:tcPr>
            <w:tcW w:w="120" w:type="dxa"/>
            <w:vAlign w:val="bottom"/>
            <w:tcBorders>
              <w:top w:val="single" w:sz="8" w:color="CFF0FC"/>
              <w:bottom w:val="single" w:sz="8" w:color="CFF0FC"/>
            </w:tcBorders>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140" w:type="dxa"/>
            <w:vAlign w:val="bottom"/>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160" w:type="dxa"/>
            <w:vAlign w:val="bottom"/>
            <w:tcBorders>
              <w:bottom w:val="single" w:sz="8" w:color="auto"/>
            </w:tcBorders>
            <w:gridSpan w:val="2"/>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160" w:type="dxa"/>
            <w:vAlign w:val="bottom"/>
            <w:tcBorders>
              <w:bottom w:val="single" w:sz="8" w:color="auto"/>
            </w:tcBorders>
            <w:gridSpan w:val="2"/>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45"/>
        </w:trPr>
        <w:tc>
          <w:tcPr>
            <w:tcW w:w="4140" w:type="dxa"/>
            <w:vAlign w:val="bottom"/>
          </w:tcPr>
          <w:p>
            <w:pPr>
              <w:spacing w:after="0"/>
              <w:rPr>
                <w:sz w:val="24"/>
                <w:szCs w:val="24"/>
                <w:color w:val="auto"/>
              </w:rPr>
            </w:pPr>
          </w:p>
        </w:tc>
        <w:tc>
          <w:tcPr>
            <w:tcW w:w="1760" w:type="dxa"/>
            <w:vAlign w:val="bottom"/>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4280" w:type="dxa"/>
            <w:vAlign w:val="bottom"/>
            <w:tcBorders>
              <w:bottom w:val="single" w:sz="8" w:color="auto"/>
            </w:tcBorders>
            <w:gridSpan w:val="9"/>
          </w:tcPr>
          <w:p>
            <w:pPr>
              <w:jc w:val="right"/>
              <w:ind w:right="150"/>
              <w:spacing w:after="0"/>
              <w:rPr>
                <w:sz w:val="20"/>
                <w:szCs w:val="20"/>
                <w:color w:val="auto"/>
              </w:rPr>
            </w:pPr>
            <w:r>
              <w:rPr>
                <w:rFonts w:ascii="Arial" w:cs="Arial" w:eastAsia="Arial" w:hAnsi="Arial"/>
                <w:sz w:val="14"/>
                <w:szCs w:val="14"/>
                <w:b w:val="1"/>
                <w:bCs w:val="1"/>
                <w:color w:val="auto"/>
              </w:rPr>
              <w:t>Fair Value Measurements as of December 31, 2016</w:t>
            </w:r>
          </w:p>
        </w:tc>
        <w:tc>
          <w:tcPr>
            <w:tcW w:w="920" w:type="dxa"/>
            <w:vAlign w:val="bottom"/>
            <w:tcBorders>
              <w:bottom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3"/>
        </w:trPr>
        <w:tc>
          <w:tcPr>
            <w:tcW w:w="4140" w:type="dxa"/>
            <w:vAlign w:val="bottom"/>
          </w:tcPr>
          <w:p>
            <w:pPr>
              <w:spacing w:after="0"/>
              <w:rPr>
                <w:sz w:val="11"/>
                <w:szCs w:val="11"/>
                <w:color w:val="auto"/>
              </w:rPr>
            </w:pPr>
          </w:p>
        </w:tc>
        <w:tc>
          <w:tcPr>
            <w:tcW w:w="17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20" w:type="dxa"/>
            <w:vAlign w:val="bottom"/>
            <w:gridSpan w:val="2"/>
          </w:tcPr>
          <w:p>
            <w:pPr>
              <w:jc w:val="center"/>
              <w:ind w:right="440"/>
              <w:spacing w:after="0" w:line="133" w:lineRule="exact"/>
              <w:rPr>
                <w:sz w:val="20"/>
                <w:szCs w:val="20"/>
                <w:color w:val="auto"/>
              </w:rPr>
            </w:pPr>
            <w:r>
              <w:rPr>
                <w:rFonts w:ascii="Arial" w:cs="Arial" w:eastAsia="Arial" w:hAnsi="Arial"/>
                <w:sz w:val="14"/>
                <w:szCs w:val="14"/>
                <w:b w:val="1"/>
                <w:bCs w:val="1"/>
                <w:color w:val="auto"/>
                <w:w w:val="93"/>
              </w:rPr>
              <w:t>Quoted</w:t>
            </w:r>
          </w:p>
        </w:tc>
        <w:tc>
          <w:tcPr>
            <w:tcW w:w="16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4140" w:type="dxa"/>
            <w:vAlign w:val="bottom"/>
          </w:tcPr>
          <w:p>
            <w:pPr>
              <w:spacing w:after="0"/>
              <w:rPr>
                <w:sz w:val="12"/>
                <w:szCs w:val="12"/>
                <w:color w:val="auto"/>
              </w:rPr>
            </w:pPr>
          </w:p>
        </w:tc>
        <w:tc>
          <w:tcPr>
            <w:tcW w:w="17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20" w:type="dxa"/>
            <w:vAlign w:val="bottom"/>
            <w:gridSpan w:val="2"/>
          </w:tcPr>
          <w:p>
            <w:pPr>
              <w:jc w:val="center"/>
              <w:ind w:right="460"/>
              <w:spacing w:after="0" w:line="149" w:lineRule="exact"/>
              <w:rPr>
                <w:sz w:val="20"/>
                <w:szCs w:val="20"/>
                <w:color w:val="auto"/>
              </w:rPr>
            </w:pPr>
            <w:r>
              <w:rPr>
                <w:rFonts w:ascii="Arial" w:cs="Arial" w:eastAsia="Arial" w:hAnsi="Arial"/>
                <w:sz w:val="14"/>
                <w:szCs w:val="14"/>
                <w:b w:val="1"/>
                <w:bCs w:val="1"/>
                <w:color w:val="auto"/>
                <w:w w:val="89"/>
              </w:rPr>
              <w:t>Prices in</w:t>
            </w:r>
          </w:p>
        </w:tc>
        <w:tc>
          <w:tcPr>
            <w:tcW w:w="16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140" w:type="dxa"/>
            <w:vAlign w:val="bottom"/>
          </w:tcPr>
          <w:p>
            <w:pPr>
              <w:spacing w:after="0"/>
              <w:rPr>
                <w:sz w:val="12"/>
                <w:szCs w:val="12"/>
                <w:color w:val="auto"/>
              </w:rPr>
            </w:pPr>
          </w:p>
        </w:tc>
        <w:tc>
          <w:tcPr>
            <w:tcW w:w="17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20" w:type="dxa"/>
            <w:vAlign w:val="bottom"/>
            <w:gridSpan w:val="2"/>
          </w:tcPr>
          <w:p>
            <w:pPr>
              <w:jc w:val="center"/>
              <w:ind w:right="460"/>
              <w:spacing w:after="0" w:line="149" w:lineRule="exact"/>
              <w:rPr>
                <w:sz w:val="20"/>
                <w:szCs w:val="20"/>
                <w:color w:val="auto"/>
              </w:rPr>
            </w:pPr>
            <w:r>
              <w:rPr>
                <w:rFonts w:ascii="Arial" w:cs="Arial" w:eastAsia="Arial" w:hAnsi="Arial"/>
                <w:sz w:val="14"/>
                <w:szCs w:val="14"/>
                <w:b w:val="1"/>
                <w:bCs w:val="1"/>
                <w:color w:val="auto"/>
                <w:w w:val="95"/>
              </w:rPr>
              <w:t>Active</w:t>
            </w:r>
          </w:p>
        </w:tc>
        <w:tc>
          <w:tcPr>
            <w:tcW w:w="160" w:type="dxa"/>
            <w:vAlign w:val="bottom"/>
          </w:tcPr>
          <w:p>
            <w:pPr>
              <w:spacing w:after="0"/>
              <w:rPr>
                <w:sz w:val="12"/>
                <w:szCs w:val="12"/>
                <w:color w:val="auto"/>
              </w:rPr>
            </w:pPr>
          </w:p>
        </w:tc>
        <w:tc>
          <w:tcPr>
            <w:tcW w:w="1240" w:type="dxa"/>
            <w:vAlign w:val="bottom"/>
            <w:gridSpan w:val="2"/>
            <w:vMerge w:val="restart"/>
          </w:tcPr>
          <w:p>
            <w:pPr>
              <w:jc w:val="center"/>
              <w:ind w:right="420"/>
              <w:spacing w:after="0"/>
              <w:rPr>
                <w:sz w:val="20"/>
                <w:szCs w:val="20"/>
                <w:color w:val="auto"/>
              </w:rPr>
            </w:pPr>
            <w:r>
              <w:rPr>
                <w:rFonts w:ascii="Arial" w:cs="Arial" w:eastAsia="Arial" w:hAnsi="Arial"/>
                <w:sz w:val="14"/>
                <w:szCs w:val="14"/>
                <w:b w:val="1"/>
                <w:bCs w:val="1"/>
                <w:color w:val="auto"/>
                <w:w w:val="92"/>
              </w:rPr>
              <w:t>Significant</w:t>
            </w:r>
          </w:p>
        </w:tc>
        <w:tc>
          <w:tcPr>
            <w:tcW w:w="12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140" w:type="dxa"/>
            <w:vAlign w:val="bottom"/>
          </w:tcPr>
          <w:p>
            <w:pPr>
              <w:spacing w:after="0"/>
              <w:rPr>
                <w:sz w:val="12"/>
                <w:szCs w:val="12"/>
                <w:color w:val="auto"/>
              </w:rPr>
            </w:pPr>
          </w:p>
        </w:tc>
        <w:tc>
          <w:tcPr>
            <w:tcW w:w="17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20" w:type="dxa"/>
            <w:vAlign w:val="bottom"/>
            <w:gridSpan w:val="2"/>
          </w:tcPr>
          <w:p>
            <w:pPr>
              <w:jc w:val="center"/>
              <w:ind w:right="460"/>
              <w:spacing w:after="0" w:line="149" w:lineRule="exact"/>
              <w:rPr>
                <w:sz w:val="20"/>
                <w:szCs w:val="20"/>
                <w:color w:val="auto"/>
              </w:rPr>
            </w:pPr>
            <w:r>
              <w:rPr>
                <w:rFonts w:ascii="Arial" w:cs="Arial" w:eastAsia="Arial" w:hAnsi="Arial"/>
                <w:sz w:val="14"/>
                <w:szCs w:val="14"/>
                <w:b w:val="1"/>
                <w:bCs w:val="1"/>
                <w:color w:val="auto"/>
                <w:w w:val="98"/>
              </w:rPr>
              <w:t>Markets</w:t>
            </w:r>
          </w:p>
        </w:tc>
        <w:tc>
          <w:tcPr>
            <w:tcW w:w="160" w:type="dxa"/>
            <w:vAlign w:val="bottom"/>
          </w:tcPr>
          <w:p>
            <w:pPr>
              <w:spacing w:after="0"/>
              <w:rPr>
                <w:sz w:val="12"/>
                <w:szCs w:val="12"/>
                <w:color w:val="auto"/>
              </w:rPr>
            </w:pPr>
          </w:p>
        </w:tc>
        <w:tc>
          <w:tcPr>
            <w:tcW w:w="124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1040" w:type="dxa"/>
            <w:vAlign w:val="bottom"/>
            <w:vMerge w:val="restart"/>
          </w:tcPr>
          <w:p>
            <w:pPr>
              <w:jc w:val="center"/>
              <w:ind w:right="60"/>
              <w:spacing w:after="0"/>
              <w:rPr>
                <w:sz w:val="20"/>
                <w:szCs w:val="20"/>
                <w:color w:val="auto"/>
              </w:rPr>
            </w:pPr>
            <w:r>
              <w:rPr>
                <w:rFonts w:ascii="Arial" w:cs="Arial" w:eastAsia="Arial" w:hAnsi="Arial"/>
                <w:sz w:val="14"/>
                <w:szCs w:val="14"/>
                <w:b w:val="1"/>
                <w:bCs w:val="1"/>
                <w:color w:val="auto"/>
                <w:w w:val="92"/>
              </w:rPr>
              <w:t>Significant</w:t>
            </w:r>
          </w:p>
        </w:tc>
        <w:tc>
          <w:tcPr>
            <w:tcW w:w="2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140" w:type="dxa"/>
            <w:vAlign w:val="bottom"/>
          </w:tcPr>
          <w:p>
            <w:pPr>
              <w:spacing w:after="0"/>
              <w:rPr>
                <w:sz w:val="12"/>
                <w:szCs w:val="12"/>
                <w:color w:val="auto"/>
              </w:rPr>
            </w:pPr>
          </w:p>
        </w:tc>
        <w:tc>
          <w:tcPr>
            <w:tcW w:w="17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20" w:type="dxa"/>
            <w:vAlign w:val="bottom"/>
            <w:gridSpan w:val="2"/>
          </w:tcPr>
          <w:p>
            <w:pPr>
              <w:jc w:val="center"/>
              <w:ind w:right="460"/>
              <w:spacing w:after="0" w:line="149" w:lineRule="exact"/>
              <w:rPr>
                <w:sz w:val="20"/>
                <w:szCs w:val="20"/>
                <w:color w:val="auto"/>
              </w:rPr>
            </w:pPr>
            <w:r>
              <w:rPr>
                <w:rFonts w:ascii="Arial" w:cs="Arial" w:eastAsia="Arial" w:hAnsi="Arial"/>
                <w:sz w:val="14"/>
                <w:szCs w:val="14"/>
                <w:b w:val="1"/>
                <w:bCs w:val="1"/>
                <w:color w:val="auto"/>
                <w:w w:val="85"/>
              </w:rPr>
              <w:t>using</w:t>
            </w:r>
          </w:p>
        </w:tc>
        <w:tc>
          <w:tcPr>
            <w:tcW w:w="160" w:type="dxa"/>
            <w:vAlign w:val="bottom"/>
          </w:tcPr>
          <w:p>
            <w:pPr>
              <w:spacing w:after="0"/>
              <w:rPr>
                <w:sz w:val="12"/>
                <w:szCs w:val="12"/>
                <w:color w:val="auto"/>
              </w:rPr>
            </w:pPr>
          </w:p>
        </w:tc>
        <w:tc>
          <w:tcPr>
            <w:tcW w:w="1240" w:type="dxa"/>
            <w:vAlign w:val="bottom"/>
            <w:gridSpan w:val="2"/>
          </w:tcPr>
          <w:p>
            <w:pPr>
              <w:jc w:val="center"/>
              <w:ind w:right="420"/>
              <w:spacing w:after="0" w:line="149" w:lineRule="exact"/>
              <w:rPr>
                <w:sz w:val="20"/>
                <w:szCs w:val="20"/>
                <w:color w:val="auto"/>
              </w:rPr>
            </w:pPr>
            <w:r>
              <w:rPr>
                <w:rFonts w:ascii="Arial" w:cs="Arial" w:eastAsia="Arial" w:hAnsi="Arial"/>
                <w:sz w:val="14"/>
                <w:szCs w:val="14"/>
                <w:b w:val="1"/>
                <w:bCs w:val="1"/>
                <w:color w:val="auto"/>
              </w:rPr>
              <w:t>Other</w:t>
            </w:r>
          </w:p>
        </w:tc>
        <w:tc>
          <w:tcPr>
            <w:tcW w:w="120" w:type="dxa"/>
            <w:vAlign w:val="bottom"/>
          </w:tcPr>
          <w:p>
            <w:pPr>
              <w:spacing w:after="0"/>
              <w:rPr>
                <w:sz w:val="12"/>
                <w:szCs w:val="12"/>
                <w:color w:val="auto"/>
              </w:rPr>
            </w:pPr>
          </w:p>
        </w:tc>
        <w:tc>
          <w:tcPr>
            <w:tcW w:w="1040" w:type="dxa"/>
            <w:vAlign w:val="bottom"/>
            <w:vMerge w:val="continue"/>
          </w:tcPr>
          <w:p>
            <w:pPr>
              <w:spacing w:after="0"/>
              <w:rPr>
                <w:sz w:val="12"/>
                <w:szCs w:val="12"/>
                <w:color w:val="auto"/>
              </w:rPr>
            </w:pPr>
          </w:p>
        </w:tc>
        <w:tc>
          <w:tcPr>
            <w:tcW w:w="2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140" w:type="dxa"/>
            <w:vAlign w:val="bottom"/>
          </w:tcPr>
          <w:p>
            <w:pPr>
              <w:spacing w:after="0"/>
              <w:rPr>
                <w:sz w:val="12"/>
                <w:szCs w:val="12"/>
                <w:color w:val="auto"/>
              </w:rPr>
            </w:pPr>
          </w:p>
        </w:tc>
        <w:tc>
          <w:tcPr>
            <w:tcW w:w="17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20" w:type="dxa"/>
            <w:vAlign w:val="bottom"/>
            <w:gridSpan w:val="2"/>
          </w:tcPr>
          <w:p>
            <w:pPr>
              <w:jc w:val="center"/>
              <w:ind w:right="440"/>
              <w:spacing w:after="0" w:line="149" w:lineRule="exact"/>
              <w:rPr>
                <w:sz w:val="20"/>
                <w:szCs w:val="20"/>
                <w:color w:val="auto"/>
              </w:rPr>
            </w:pPr>
            <w:r>
              <w:rPr>
                <w:rFonts w:ascii="Arial" w:cs="Arial" w:eastAsia="Arial" w:hAnsi="Arial"/>
                <w:sz w:val="14"/>
                <w:szCs w:val="14"/>
                <w:b w:val="1"/>
                <w:bCs w:val="1"/>
                <w:color w:val="auto"/>
                <w:w w:val="94"/>
              </w:rPr>
              <w:t>Identical</w:t>
            </w:r>
          </w:p>
        </w:tc>
        <w:tc>
          <w:tcPr>
            <w:tcW w:w="160" w:type="dxa"/>
            <w:vAlign w:val="bottom"/>
          </w:tcPr>
          <w:p>
            <w:pPr>
              <w:spacing w:after="0"/>
              <w:rPr>
                <w:sz w:val="12"/>
                <w:szCs w:val="12"/>
                <w:color w:val="auto"/>
              </w:rPr>
            </w:pPr>
          </w:p>
        </w:tc>
        <w:tc>
          <w:tcPr>
            <w:tcW w:w="1240" w:type="dxa"/>
            <w:vAlign w:val="bottom"/>
            <w:gridSpan w:val="2"/>
          </w:tcPr>
          <w:p>
            <w:pPr>
              <w:jc w:val="center"/>
              <w:ind w:right="420"/>
              <w:spacing w:after="0" w:line="149" w:lineRule="exact"/>
              <w:rPr>
                <w:sz w:val="20"/>
                <w:szCs w:val="20"/>
                <w:color w:val="auto"/>
              </w:rPr>
            </w:pPr>
            <w:r>
              <w:rPr>
                <w:rFonts w:ascii="Arial" w:cs="Arial" w:eastAsia="Arial" w:hAnsi="Arial"/>
                <w:sz w:val="14"/>
                <w:szCs w:val="14"/>
                <w:b w:val="1"/>
                <w:bCs w:val="1"/>
                <w:color w:val="auto"/>
                <w:w w:val="91"/>
              </w:rPr>
              <w:t>Observable</w:t>
            </w:r>
          </w:p>
        </w:tc>
        <w:tc>
          <w:tcPr>
            <w:tcW w:w="120" w:type="dxa"/>
            <w:vAlign w:val="bottom"/>
          </w:tcPr>
          <w:p>
            <w:pPr>
              <w:spacing w:after="0"/>
              <w:rPr>
                <w:sz w:val="12"/>
                <w:szCs w:val="12"/>
                <w:color w:val="auto"/>
              </w:rPr>
            </w:pPr>
          </w:p>
        </w:tc>
        <w:tc>
          <w:tcPr>
            <w:tcW w:w="1040" w:type="dxa"/>
            <w:vAlign w:val="bottom"/>
          </w:tcPr>
          <w:p>
            <w:pPr>
              <w:jc w:val="center"/>
              <w:ind w:right="60"/>
              <w:spacing w:after="0" w:line="149" w:lineRule="exact"/>
              <w:rPr>
                <w:sz w:val="20"/>
                <w:szCs w:val="20"/>
                <w:color w:val="auto"/>
              </w:rPr>
            </w:pPr>
            <w:r>
              <w:rPr>
                <w:rFonts w:ascii="Arial" w:cs="Arial" w:eastAsia="Arial" w:hAnsi="Arial"/>
                <w:sz w:val="14"/>
                <w:szCs w:val="14"/>
                <w:b w:val="1"/>
                <w:bCs w:val="1"/>
                <w:color w:val="auto"/>
                <w:w w:val="92"/>
              </w:rPr>
              <w:t>Unobservable</w:t>
            </w:r>
          </w:p>
        </w:tc>
        <w:tc>
          <w:tcPr>
            <w:tcW w:w="2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140" w:type="dxa"/>
            <w:vAlign w:val="bottom"/>
          </w:tcPr>
          <w:p>
            <w:pPr>
              <w:spacing w:after="0"/>
              <w:rPr>
                <w:sz w:val="12"/>
                <w:szCs w:val="12"/>
                <w:color w:val="auto"/>
              </w:rPr>
            </w:pPr>
          </w:p>
        </w:tc>
        <w:tc>
          <w:tcPr>
            <w:tcW w:w="17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20" w:type="dxa"/>
            <w:vAlign w:val="bottom"/>
            <w:gridSpan w:val="2"/>
          </w:tcPr>
          <w:p>
            <w:pPr>
              <w:jc w:val="center"/>
              <w:ind w:right="440"/>
              <w:spacing w:after="0" w:line="149" w:lineRule="exact"/>
              <w:rPr>
                <w:sz w:val="20"/>
                <w:szCs w:val="20"/>
                <w:color w:val="auto"/>
              </w:rPr>
            </w:pPr>
            <w:r>
              <w:rPr>
                <w:rFonts w:ascii="Arial" w:cs="Arial" w:eastAsia="Arial" w:hAnsi="Arial"/>
                <w:sz w:val="14"/>
                <w:szCs w:val="14"/>
                <w:b w:val="1"/>
                <w:bCs w:val="1"/>
                <w:color w:val="auto"/>
                <w:w w:val="82"/>
              </w:rPr>
              <w:t>Assets</w:t>
            </w:r>
          </w:p>
        </w:tc>
        <w:tc>
          <w:tcPr>
            <w:tcW w:w="160" w:type="dxa"/>
            <w:vAlign w:val="bottom"/>
          </w:tcPr>
          <w:p>
            <w:pPr>
              <w:spacing w:after="0"/>
              <w:rPr>
                <w:sz w:val="12"/>
                <w:szCs w:val="12"/>
                <w:color w:val="auto"/>
              </w:rPr>
            </w:pPr>
          </w:p>
        </w:tc>
        <w:tc>
          <w:tcPr>
            <w:tcW w:w="1240" w:type="dxa"/>
            <w:vAlign w:val="bottom"/>
            <w:gridSpan w:val="2"/>
          </w:tcPr>
          <w:p>
            <w:pPr>
              <w:jc w:val="center"/>
              <w:ind w:right="440"/>
              <w:spacing w:after="0" w:line="149" w:lineRule="exact"/>
              <w:rPr>
                <w:sz w:val="20"/>
                <w:szCs w:val="20"/>
                <w:color w:val="auto"/>
              </w:rPr>
            </w:pPr>
            <w:r>
              <w:rPr>
                <w:rFonts w:ascii="Arial" w:cs="Arial" w:eastAsia="Arial" w:hAnsi="Arial"/>
                <w:sz w:val="14"/>
                <w:szCs w:val="14"/>
                <w:b w:val="1"/>
                <w:bCs w:val="1"/>
                <w:color w:val="auto"/>
                <w:w w:val="95"/>
              </w:rPr>
              <w:t>Inputs</w:t>
            </w:r>
          </w:p>
        </w:tc>
        <w:tc>
          <w:tcPr>
            <w:tcW w:w="120" w:type="dxa"/>
            <w:vAlign w:val="bottom"/>
          </w:tcPr>
          <w:p>
            <w:pPr>
              <w:spacing w:after="0"/>
              <w:rPr>
                <w:sz w:val="12"/>
                <w:szCs w:val="12"/>
                <w:color w:val="auto"/>
              </w:rPr>
            </w:pPr>
          </w:p>
        </w:tc>
        <w:tc>
          <w:tcPr>
            <w:tcW w:w="1040" w:type="dxa"/>
            <w:vAlign w:val="bottom"/>
          </w:tcPr>
          <w:p>
            <w:pPr>
              <w:jc w:val="center"/>
              <w:ind w:right="40"/>
              <w:spacing w:after="0" w:line="149" w:lineRule="exact"/>
              <w:rPr>
                <w:sz w:val="20"/>
                <w:szCs w:val="20"/>
                <w:color w:val="auto"/>
              </w:rPr>
            </w:pPr>
            <w:r>
              <w:rPr>
                <w:rFonts w:ascii="Arial" w:cs="Arial" w:eastAsia="Arial" w:hAnsi="Arial"/>
                <w:sz w:val="14"/>
                <w:szCs w:val="14"/>
                <w:b w:val="1"/>
                <w:bCs w:val="1"/>
                <w:color w:val="auto"/>
                <w:w w:val="95"/>
              </w:rPr>
              <w:t>Inputs</w:t>
            </w:r>
          </w:p>
        </w:tc>
        <w:tc>
          <w:tcPr>
            <w:tcW w:w="2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040" w:type="dxa"/>
            <w:vAlign w:val="bottom"/>
            <w:gridSpan w:val="2"/>
            <w:vMerge w:val="restart"/>
          </w:tcPr>
          <w:p>
            <w:pPr>
              <w:ind w:left="160"/>
              <w:spacing w:after="0"/>
              <w:rPr>
                <w:sz w:val="20"/>
                <w:szCs w:val="20"/>
                <w:color w:val="auto"/>
              </w:rPr>
            </w:pPr>
            <w:r>
              <w:rPr>
                <w:rFonts w:ascii="Arial" w:cs="Arial" w:eastAsia="Arial" w:hAnsi="Arial"/>
                <w:sz w:val="14"/>
                <w:szCs w:val="14"/>
                <w:b w:val="1"/>
                <w:bCs w:val="1"/>
                <w:color w:val="auto"/>
              </w:rPr>
              <w:t>Total</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4140" w:type="dxa"/>
            <w:vAlign w:val="bottom"/>
          </w:tcPr>
          <w:p>
            <w:pPr>
              <w:spacing w:after="0"/>
              <w:rPr>
                <w:sz w:val="14"/>
                <w:szCs w:val="14"/>
                <w:color w:val="auto"/>
              </w:rPr>
            </w:pPr>
          </w:p>
        </w:tc>
        <w:tc>
          <w:tcPr>
            <w:tcW w:w="17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20" w:type="dxa"/>
            <w:vAlign w:val="bottom"/>
            <w:gridSpan w:val="2"/>
          </w:tcPr>
          <w:p>
            <w:pPr>
              <w:jc w:val="center"/>
              <w:ind w:right="440"/>
              <w:spacing w:after="0"/>
              <w:rPr>
                <w:sz w:val="20"/>
                <w:szCs w:val="20"/>
                <w:color w:val="auto"/>
              </w:rPr>
            </w:pPr>
            <w:r>
              <w:rPr>
                <w:rFonts w:ascii="Arial" w:cs="Arial" w:eastAsia="Arial" w:hAnsi="Arial"/>
                <w:sz w:val="14"/>
                <w:szCs w:val="14"/>
                <w:b w:val="1"/>
                <w:bCs w:val="1"/>
                <w:color w:val="auto"/>
                <w:w w:val="94"/>
              </w:rPr>
              <w:t>(Level 1)</w:t>
            </w:r>
          </w:p>
        </w:tc>
        <w:tc>
          <w:tcPr>
            <w:tcW w:w="160" w:type="dxa"/>
            <w:vAlign w:val="bottom"/>
          </w:tcPr>
          <w:p>
            <w:pPr>
              <w:spacing w:after="0"/>
              <w:rPr>
                <w:sz w:val="14"/>
                <w:szCs w:val="14"/>
                <w:color w:val="auto"/>
              </w:rPr>
            </w:pPr>
          </w:p>
        </w:tc>
        <w:tc>
          <w:tcPr>
            <w:tcW w:w="1240" w:type="dxa"/>
            <w:vAlign w:val="bottom"/>
            <w:gridSpan w:val="2"/>
          </w:tcPr>
          <w:p>
            <w:pPr>
              <w:jc w:val="center"/>
              <w:ind w:right="420"/>
              <w:spacing w:after="0"/>
              <w:rPr>
                <w:sz w:val="20"/>
                <w:szCs w:val="20"/>
                <w:color w:val="auto"/>
              </w:rPr>
            </w:pPr>
            <w:r>
              <w:rPr>
                <w:rFonts w:ascii="Arial" w:cs="Arial" w:eastAsia="Arial" w:hAnsi="Arial"/>
                <w:sz w:val="14"/>
                <w:szCs w:val="14"/>
                <w:b w:val="1"/>
                <w:bCs w:val="1"/>
                <w:color w:val="auto"/>
                <w:w w:val="94"/>
              </w:rPr>
              <w:t>(Level 2)</w:t>
            </w:r>
          </w:p>
        </w:tc>
        <w:tc>
          <w:tcPr>
            <w:tcW w:w="120" w:type="dxa"/>
            <w:vAlign w:val="bottom"/>
          </w:tcPr>
          <w:p>
            <w:pPr>
              <w:spacing w:after="0"/>
              <w:rPr>
                <w:sz w:val="14"/>
                <w:szCs w:val="14"/>
                <w:color w:val="auto"/>
              </w:rPr>
            </w:pPr>
          </w:p>
        </w:tc>
        <w:tc>
          <w:tcPr>
            <w:tcW w:w="1040" w:type="dxa"/>
            <w:vAlign w:val="bottom"/>
          </w:tcPr>
          <w:p>
            <w:pPr>
              <w:jc w:val="center"/>
              <w:ind w:right="60"/>
              <w:spacing w:after="0"/>
              <w:rPr>
                <w:sz w:val="20"/>
                <w:szCs w:val="20"/>
                <w:color w:val="auto"/>
              </w:rPr>
            </w:pPr>
            <w:r>
              <w:rPr>
                <w:rFonts w:ascii="Arial" w:cs="Arial" w:eastAsia="Arial" w:hAnsi="Arial"/>
                <w:sz w:val="14"/>
                <w:szCs w:val="14"/>
                <w:b w:val="1"/>
                <w:bCs w:val="1"/>
                <w:color w:val="auto"/>
                <w:w w:val="94"/>
              </w:rPr>
              <w:t>(Level 3)</w:t>
            </w:r>
          </w:p>
        </w:tc>
        <w:tc>
          <w:tcPr>
            <w:tcW w:w="2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40" w:type="dxa"/>
            <w:vAlign w:val="bottom"/>
            <w:gridSpan w:val="2"/>
            <w:vMerge w:val="continue"/>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3"/>
        </w:trPr>
        <w:tc>
          <w:tcPr>
            <w:tcW w:w="414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b w:val="1"/>
                <w:bCs w:val="1"/>
                <w:color w:val="auto"/>
              </w:rPr>
              <w:t>Assets</w:t>
            </w:r>
          </w:p>
        </w:tc>
        <w:tc>
          <w:tcPr>
            <w:tcW w:w="1760" w:type="dxa"/>
            <w:vAlign w:val="bottom"/>
            <w:tcBorders>
              <w:top w:val="single" w:sz="8" w:color="CFF0FC"/>
            </w:tcBorders>
            <w:shd w:val="clear" w:color="auto" w:fill="CFF0FC"/>
          </w:tcPr>
          <w:p>
            <w:pPr>
              <w:spacing w:after="0"/>
              <w:rPr>
                <w:sz w:val="19"/>
                <w:szCs w:val="19"/>
                <w:color w:val="auto"/>
              </w:rPr>
            </w:pPr>
          </w:p>
        </w:tc>
        <w:tc>
          <w:tcPr>
            <w:tcW w:w="200" w:type="dxa"/>
            <w:vAlign w:val="bottom"/>
            <w:tcBorders>
              <w:top w:val="single" w:sz="8" w:color="auto"/>
            </w:tcBorders>
            <w:shd w:val="clear" w:color="auto" w:fill="CFF0FC"/>
          </w:tcPr>
          <w:p>
            <w:pPr>
              <w:spacing w:after="0"/>
              <w:rPr>
                <w:sz w:val="19"/>
                <w:szCs w:val="19"/>
                <w:color w:val="auto"/>
              </w:rPr>
            </w:pPr>
          </w:p>
        </w:tc>
        <w:tc>
          <w:tcPr>
            <w:tcW w:w="980" w:type="dxa"/>
            <w:vAlign w:val="bottom"/>
            <w:tcBorders>
              <w:top w:val="single" w:sz="8" w:color="auto"/>
            </w:tcBorders>
            <w:shd w:val="clear" w:color="auto" w:fill="CFF0FC"/>
          </w:tcPr>
          <w:p>
            <w:pPr>
              <w:spacing w:after="0"/>
              <w:rPr>
                <w:sz w:val="19"/>
                <w:szCs w:val="19"/>
                <w:color w:val="auto"/>
              </w:rPr>
            </w:pPr>
          </w:p>
        </w:tc>
        <w:tc>
          <w:tcPr>
            <w:tcW w:w="240" w:type="dxa"/>
            <w:vAlign w:val="bottom"/>
            <w:tcBorders>
              <w:top w:val="single" w:sz="8" w:color="CFF0FC"/>
            </w:tcBorders>
            <w:shd w:val="clear" w:color="auto" w:fill="CFF0FC"/>
          </w:tcPr>
          <w:p>
            <w:pPr>
              <w:spacing w:after="0"/>
              <w:rPr>
                <w:sz w:val="19"/>
                <w:szCs w:val="19"/>
                <w:color w:val="auto"/>
              </w:rPr>
            </w:pPr>
          </w:p>
        </w:tc>
        <w:tc>
          <w:tcPr>
            <w:tcW w:w="160" w:type="dxa"/>
            <w:vAlign w:val="bottom"/>
            <w:tcBorders>
              <w:top w:val="single" w:sz="8" w:color="auto"/>
            </w:tcBorders>
            <w:shd w:val="clear" w:color="auto" w:fill="CFF0FC"/>
          </w:tcPr>
          <w:p>
            <w:pPr>
              <w:spacing w:after="0"/>
              <w:rPr>
                <w:sz w:val="19"/>
                <w:szCs w:val="19"/>
                <w:color w:val="auto"/>
              </w:rPr>
            </w:pPr>
          </w:p>
        </w:tc>
        <w:tc>
          <w:tcPr>
            <w:tcW w:w="1000" w:type="dxa"/>
            <w:vAlign w:val="bottom"/>
            <w:tcBorders>
              <w:top w:val="single" w:sz="8" w:color="auto"/>
            </w:tcBorders>
            <w:shd w:val="clear" w:color="auto" w:fill="CFF0FC"/>
          </w:tcPr>
          <w:p>
            <w:pPr>
              <w:spacing w:after="0"/>
              <w:rPr>
                <w:sz w:val="19"/>
                <w:szCs w:val="19"/>
                <w:color w:val="auto"/>
              </w:rPr>
            </w:pPr>
          </w:p>
        </w:tc>
        <w:tc>
          <w:tcPr>
            <w:tcW w:w="24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auto"/>
            </w:tcBorders>
            <w:shd w:val="clear" w:color="auto" w:fill="CFF0FC"/>
          </w:tcPr>
          <w:p>
            <w:pPr>
              <w:spacing w:after="0"/>
              <w:rPr>
                <w:sz w:val="19"/>
                <w:szCs w:val="19"/>
                <w:color w:val="auto"/>
              </w:rPr>
            </w:pPr>
          </w:p>
        </w:tc>
        <w:tc>
          <w:tcPr>
            <w:tcW w:w="1040" w:type="dxa"/>
            <w:vAlign w:val="bottom"/>
            <w:tcBorders>
              <w:top w:val="single" w:sz="8" w:color="auto"/>
            </w:tcBorders>
            <w:shd w:val="clear" w:color="auto" w:fill="CFF0FC"/>
          </w:tcPr>
          <w:p>
            <w:pPr>
              <w:spacing w:after="0"/>
              <w:rPr>
                <w:sz w:val="19"/>
                <w:szCs w:val="19"/>
                <w:color w:val="auto"/>
              </w:rPr>
            </w:pPr>
          </w:p>
        </w:tc>
        <w:tc>
          <w:tcPr>
            <w:tcW w:w="240" w:type="dxa"/>
            <w:vAlign w:val="bottom"/>
            <w:tcBorders>
              <w:top w:val="single" w:sz="8" w:color="CFF0FC"/>
            </w:tcBorders>
            <w:shd w:val="clear" w:color="auto" w:fill="CFF0FC"/>
          </w:tcPr>
          <w:p>
            <w:pPr>
              <w:spacing w:after="0"/>
              <w:rPr>
                <w:sz w:val="19"/>
                <w:szCs w:val="19"/>
                <w:color w:val="auto"/>
              </w:rPr>
            </w:pPr>
          </w:p>
        </w:tc>
        <w:tc>
          <w:tcPr>
            <w:tcW w:w="260" w:type="dxa"/>
            <w:vAlign w:val="bottom"/>
            <w:tcBorders>
              <w:top w:val="single" w:sz="8" w:color="auto"/>
            </w:tcBorders>
            <w:shd w:val="clear" w:color="auto" w:fill="CFF0FC"/>
          </w:tcPr>
          <w:p>
            <w:pPr>
              <w:spacing w:after="0"/>
              <w:rPr>
                <w:sz w:val="19"/>
                <w:szCs w:val="19"/>
                <w:color w:val="auto"/>
              </w:rPr>
            </w:pPr>
          </w:p>
        </w:tc>
        <w:tc>
          <w:tcPr>
            <w:tcW w:w="920" w:type="dxa"/>
            <w:vAlign w:val="bottom"/>
            <w:tcBorders>
              <w:top w:val="single" w:sz="8" w:color="auto"/>
            </w:tcBorders>
            <w:shd w:val="clear" w:color="auto" w:fill="CFF0FC"/>
          </w:tcPr>
          <w:p>
            <w:pPr>
              <w:spacing w:after="0"/>
              <w:rPr>
                <w:sz w:val="19"/>
                <w:szCs w:val="19"/>
                <w:color w:val="auto"/>
              </w:rPr>
            </w:pPr>
          </w:p>
        </w:tc>
        <w:tc>
          <w:tcPr>
            <w:tcW w:w="120" w:type="dxa"/>
            <w:vAlign w:val="bottom"/>
            <w:tcBorders>
              <w:top w:val="single" w:sz="8" w:color="CFF0FC"/>
            </w:tcBorders>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140" w:type="dxa"/>
            <w:vAlign w:val="bottom"/>
          </w:tcPr>
          <w:p>
            <w:pPr>
              <w:spacing w:after="0"/>
              <w:rPr>
                <w:sz w:val="20"/>
                <w:szCs w:val="20"/>
                <w:color w:val="auto"/>
              </w:rPr>
            </w:pPr>
            <w:r>
              <w:rPr>
                <w:rFonts w:ascii="Arial" w:cs="Arial" w:eastAsia="Arial" w:hAnsi="Arial"/>
                <w:sz w:val="18"/>
                <w:szCs w:val="18"/>
                <w:color w:val="auto"/>
              </w:rPr>
              <w:t>Cash Equivalents:</w:t>
            </w:r>
          </w:p>
        </w:tc>
        <w:tc>
          <w:tcPr>
            <w:tcW w:w="17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140" w:type="dxa"/>
            <w:vAlign w:val="bottom"/>
            <w:shd w:val="clear" w:color="auto" w:fill="CFF0FC"/>
          </w:tcPr>
          <w:p>
            <w:pPr>
              <w:ind w:left="260"/>
              <w:spacing w:after="0"/>
              <w:rPr>
                <w:sz w:val="20"/>
                <w:szCs w:val="20"/>
                <w:color w:val="auto"/>
              </w:rPr>
            </w:pPr>
            <w:r>
              <w:rPr>
                <w:rFonts w:ascii="Arial" w:cs="Arial" w:eastAsia="Arial" w:hAnsi="Arial"/>
                <w:sz w:val="18"/>
                <w:szCs w:val="18"/>
                <w:color w:val="auto"/>
              </w:rPr>
              <w:t>Money market accounts</w:t>
            </w:r>
          </w:p>
        </w:tc>
        <w:tc>
          <w:tcPr>
            <w:tcW w:w="1960" w:type="dxa"/>
            <w:vAlign w:val="bottom"/>
            <w:gridSpan w:val="2"/>
            <w:shd w:val="clear" w:color="auto" w:fill="CFF0FC"/>
          </w:tcPr>
          <w:p>
            <w:pPr>
              <w:jc w:val="right"/>
              <w:ind w:right="10"/>
              <w:spacing w:after="0"/>
              <w:rPr>
                <w:sz w:val="20"/>
                <w:szCs w:val="20"/>
                <w:color w:val="auto"/>
              </w:rPr>
            </w:pPr>
            <w:r>
              <w:rPr>
                <w:rFonts w:ascii="Arial" w:cs="Arial" w:eastAsia="Arial" w:hAnsi="Arial"/>
                <w:sz w:val="18"/>
                <w:szCs w:val="18"/>
                <w:color w:val="auto"/>
              </w:rPr>
              <w:t>$</w:t>
            </w: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11,906</w:t>
            </w:r>
          </w:p>
        </w:tc>
        <w:tc>
          <w:tcPr>
            <w:tcW w:w="240" w:type="dxa"/>
            <w:vAlign w:val="bottom"/>
            <w:shd w:val="clear" w:color="auto" w:fill="CFF0FC"/>
          </w:tcPr>
          <w:p>
            <w:pPr>
              <w:spacing w:after="0"/>
              <w:rPr>
                <w:sz w:val="19"/>
                <w:szCs w:val="19"/>
                <w:color w:val="auto"/>
              </w:rPr>
            </w:pPr>
          </w:p>
        </w:tc>
        <w:tc>
          <w:tcPr>
            <w:tcW w:w="160" w:type="dxa"/>
            <w:vAlign w:val="bottom"/>
            <w:shd w:val="clear" w:color="auto" w:fill="CFF0FC"/>
          </w:tcPr>
          <w:p>
            <w:pPr>
              <w:jc w:val="right"/>
              <w:ind w:right="5"/>
              <w:spacing w:after="0"/>
              <w:rPr>
                <w:sz w:val="20"/>
                <w:szCs w:val="20"/>
                <w:color w:val="auto"/>
              </w:rPr>
            </w:pPr>
            <w:r>
              <w:rPr>
                <w:rFonts w:ascii="Arial" w:cs="Arial" w:eastAsia="Arial" w:hAnsi="Arial"/>
                <w:sz w:val="15"/>
                <w:szCs w:val="15"/>
                <w:color w:val="auto"/>
                <w:w w:val="71"/>
              </w:rPr>
              <w:t>$</w:t>
            </w:r>
          </w:p>
        </w:tc>
        <w:tc>
          <w:tcPr>
            <w:tcW w:w="1240" w:type="dxa"/>
            <w:vAlign w:val="bottom"/>
            <w:gridSpan w:val="2"/>
            <w:shd w:val="clear" w:color="auto" w:fill="CFF0FC"/>
          </w:tcPr>
          <w:p>
            <w:pPr>
              <w:ind w:left="8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500" w:type="dxa"/>
            <w:vAlign w:val="bottom"/>
            <w:gridSpan w:val="2"/>
            <w:shd w:val="clear" w:color="auto" w:fill="CFF0FC"/>
          </w:tcPr>
          <w:p>
            <w:pPr>
              <w:jc w:val="right"/>
              <w:ind w:right="70"/>
              <w:spacing w:after="0"/>
              <w:rPr>
                <w:sz w:val="20"/>
                <w:szCs w:val="20"/>
                <w:color w:val="auto"/>
              </w:rPr>
            </w:pPr>
            <w:r>
              <w:rPr>
                <w:rFonts w:ascii="Arial" w:cs="Arial" w:eastAsia="Arial" w:hAnsi="Arial"/>
                <w:sz w:val="18"/>
                <w:szCs w:val="18"/>
                <w:color w:val="auto"/>
              </w:rPr>
              <w:t>$</w:t>
            </w: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11,906</w:t>
            </w:r>
          </w:p>
        </w:tc>
        <w:tc>
          <w:tcPr>
            <w:tcW w:w="12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140" w:type="dxa"/>
            <w:vAlign w:val="bottom"/>
          </w:tcPr>
          <w:p>
            <w:pPr>
              <w:ind w:left="260"/>
              <w:spacing w:after="0"/>
              <w:rPr>
                <w:sz w:val="20"/>
                <w:szCs w:val="20"/>
                <w:color w:val="auto"/>
              </w:rPr>
            </w:pPr>
            <w:r>
              <w:rPr>
                <w:rFonts w:ascii="Arial" w:cs="Arial" w:eastAsia="Arial" w:hAnsi="Arial"/>
                <w:sz w:val="18"/>
                <w:szCs w:val="18"/>
                <w:color w:val="auto"/>
              </w:rPr>
              <w:t>Restricted cash</w:t>
            </w:r>
          </w:p>
        </w:tc>
        <w:tc>
          <w:tcPr>
            <w:tcW w:w="17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100</w:t>
            </w:r>
          </w:p>
        </w:tc>
        <w:tc>
          <w:tcPr>
            <w:tcW w:w="2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40" w:type="dxa"/>
            <w:vAlign w:val="bottom"/>
            <w:gridSpan w:val="2"/>
          </w:tcPr>
          <w:p>
            <w:pPr>
              <w:ind w:left="8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100</w:t>
            </w: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140" w:type="dxa"/>
            <w:vAlign w:val="bottom"/>
            <w:tcBorders>
              <w:top w:val="single" w:sz="8" w:color="CFF0FC"/>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Total assets</w:t>
            </w:r>
          </w:p>
        </w:tc>
        <w:tc>
          <w:tcPr>
            <w:tcW w:w="1760" w:type="dxa"/>
            <w:vAlign w:val="bottom"/>
            <w:tcBorders>
              <w:top w:val="single" w:sz="8" w:color="CFF0FC"/>
              <w:bottom w:val="single" w:sz="8" w:color="CFF0FC"/>
            </w:tcBorders>
            <w:shd w:val="clear" w:color="auto" w:fill="CFF0FC"/>
          </w:tcPr>
          <w:p>
            <w:pPr>
              <w:spacing w:after="0"/>
              <w:rPr>
                <w:sz w:val="19"/>
                <w:szCs w:val="19"/>
                <w:color w:val="auto"/>
              </w:rPr>
            </w:pPr>
          </w:p>
        </w:tc>
        <w:tc>
          <w:tcPr>
            <w:tcW w:w="200" w:type="dxa"/>
            <w:vAlign w:val="bottom"/>
            <w:tcBorders>
              <w:top w:val="single" w:sz="8" w:color="auto"/>
              <w:bottom w:val="single" w:sz="8" w:color="auto"/>
            </w:tcBorders>
            <w:shd w:val="clear" w:color="auto" w:fill="CFF0FC"/>
          </w:tcPr>
          <w:p>
            <w:pPr>
              <w:jc w:val="right"/>
              <w:ind w:right="10"/>
              <w:spacing w:after="0"/>
              <w:rPr>
                <w:sz w:val="20"/>
                <w:szCs w:val="20"/>
                <w:color w:val="auto"/>
              </w:rPr>
            </w:pPr>
            <w:r>
              <w:rPr>
                <w:rFonts w:ascii="Arial" w:cs="Arial" w:eastAsia="Arial" w:hAnsi="Arial"/>
                <w:sz w:val="18"/>
                <w:szCs w:val="18"/>
                <w:color w:val="auto"/>
                <w:w w:val="79"/>
              </w:rPr>
              <w:t>$</w:t>
            </w:r>
          </w:p>
        </w:tc>
        <w:tc>
          <w:tcPr>
            <w:tcW w:w="9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12,006</w:t>
            </w:r>
          </w:p>
        </w:tc>
        <w:tc>
          <w:tcPr>
            <w:tcW w:w="240" w:type="dxa"/>
            <w:vAlign w:val="bottom"/>
            <w:tcBorders>
              <w:top w:val="single" w:sz="8" w:color="CFF0FC"/>
              <w:bottom w:val="single" w:sz="8" w:color="CFF0FC"/>
            </w:tcBorders>
            <w:shd w:val="clear" w:color="auto" w:fill="CFF0FC"/>
          </w:tcPr>
          <w:p>
            <w:pPr>
              <w:spacing w:after="0"/>
              <w:rPr>
                <w:sz w:val="19"/>
                <w:szCs w:val="19"/>
                <w:color w:val="auto"/>
              </w:rPr>
            </w:pPr>
          </w:p>
        </w:tc>
        <w:tc>
          <w:tcPr>
            <w:tcW w:w="160" w:type="dxa"/>
            <w:vAlign w:val="bottom"/>
            <w:tcBorders>
              <w:top w:val="single" w:sz="8" w:color="auto"/>
              <w:bottom w:val="single" w:sz="8" w:color="auto"/>
            </w:tcBorders>
            <w:shd w:val="clear" w:color="auto" w:fill="CFF0FC"/>
          </w:tcPr>
          <w:p>
            <w:pPr>
              <w:jc w:val="right"/>
              <w:ind w:right="5"/>
              <w:spacing w:after="0"/>
              <w:rPr>
                <w:sz w:val="20"/>
                <w:szCs w:val="20"/>
                <w:color w:val="auto"/>
              </w:rPr>
            </w:pPr>
            <w:r>
              <w:rPr>
                <w:rFonts w:ascii="Arial" w:cs="Arial" w:eastAsia="Arial" w:hAnsi="Arial"/>
                <w:sz w:val="15"/>
                <w:szCs w:val="15"/>
                <w:color w:val="auto"/>
                <w:w w:val="71"/>
              </w:rPr>
              <w:t>$</w:t>
            </w:r>
          </w:p>
        </w:tc>
        <w:tc>
          <w:tcPr>
            <w:tcW w:w="1000" w:type="dxa"/>
            <w:vAlign w:val="bottom"/>
            <w:tcBorders>
              <w:top w:val="single" w:sz="8" w:color="auto"/>
              <w:bottom w:val="single" w:sz="8" w:color="auto"/>
            </w:tcBorders>
            <w:shd w:val="clear" w:color="auto" w:fill="CFF0FC"/>
          </w:tcPr>
          <w:p>
            <w:pPr>
              <w:ind w:left="800"/>
              <w:spacing w:after="0"/>
              <w:rPr>
                <w:sz w:val="20"/>
                <w:szCs w:val="20"/>
                <w:color w:val="auto"/>
              </w:rPr>
            </w:pPr>
            <w:r>
              <w:rPr>
                <w:rFonts w:ascii="Arial" w:cs="Arial" w:eastAsia="Arial" w:hAnsi="Arial"/>
                <w:sz w:val="18"/>
                <w:szCs w:val="18"/>
                <w:color w:val="auto"/>
                <w:w w:val="99"/>
              </w:rPr>
              <w:t>—</w:t>
            </w:r>
          </w:p>
        </w:tc>
        <w:tc>
          <w:tcPr>
            <w:tcW w:w="240" w:type="dxa"/>
            <w:vAlign w:val="bottom"/>
            <w:tcBorders>
              <w:top w:val="single" w:sz="8" w:color="CFF0FC"/>
              <w:bottom w:val="single" w:sz="8" w:color="CFF0FC"/>
            </w:tcBorders>
            <w:shd w:val="clear" w:color="auto" w:fill="CFF0FC"/>
          </w:tcPr>
          <w:p>
            <w:pPr>
              <w:spacing w:after="0"/>
              <w:rPr>
                <w:sz w:val="19"/>
                <w:szCs w:val="19"/>
                <w:color w:val="auto"/>
              </w:rPr>
            </w:pPr>
          </w:p>
        </w:tc>
        <w:tc>
          <w:tcPr>
            <w:tcW w:w="1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0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40" w:type="dxa"/>
            <w:vAlign w:val="bottom"/>
            <w:tcBorders>
              <w:top w:val="single" w:sz="8" w:color="CFF0FC"/>
              <w:bottom w:val="single" w:sz="8" w:color="CFF0FC"/>
            </w:tcBorders>
            <w:shd w:val="clear" w:color="auto" w:fill="CFF0FC"/>
          </w:tcPr>
          <w:p>
            <w:pPr>
              <w:spacing w:after="0"/>
              <w:rPr>
                <w:sz w:val="19"/>
                <w:szCs w:val="19"/>
                <w:color w:val="auto"/>
              </w:rPr>
            </w:pPr>
          </w:p>
        </w:tc>
        <w:tc>
          <w:tcPr>
            <w:tcW w:w="260" w:type="dxa"/>
            <w:vAlign w:val="bottom"/>
            <w:tcBorders>
              <w:top w:val="single" w:sz="8" w:color="auto"/>
              <w:bottom w:val="single" w:sz="8" w:color="auto"/>
            </w:tcBorders>
            <w:shd w:val="clear" w:color="auto" w:fill="CFF0FC"/>
          </w:tcPr>
          <w:p>
            <w:pPr>
              <w:jc w:val="right"/>
              <w:ind w:right="70"/>
              <w:spacing w:after="0"/>
              <w:rPr>
                <w:sz w:val="20"/>
                <w:szCs w:val="20"/>
                <w:color w:val="auto"/>
              </w:rPr>
            </w:pPr>
            <w:r>
              <w:rPr>
                <w:rFonts w:ascii="Arial" w:cs="Arial" w:eastAsia="Arial" w:hAnsi="Arial"/>
                <w:sz w:val="18"/>
                <w:szCs w:val="18"/>
                <w:color w:val="auto"/>
                <w:w w:val="79"/>
              </w:rPr>
              <w:t>$</w:t>
            </w:r>
          </w:p>
        </w:tc>
        <w:tc>
          <w:tcPr>
            <w:tcW w:w="9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12,006</w:t>
            </w:r>
          </w:p>
        </w:tc>
        <w:tc>
          <w:tcPr>
            <w:tcW w:w="120" w:type="dxa"/>
            <w:vAlign w:val="bottom"/>
            <w:tcBorders>
              <w:top w:val="single" w:sz="8" w:color="CFF0FC"/>
              <w:bottom w:val="single" w:sz="8" w:color="CFF0FC"/>
            </w:tcBorders>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140" w:type="dxa"/>
            <w:vAlign w:val="bottom"/>
            <w:vMerge w:val="restart"/>
          </w:tcPr>
          <w:p>
            <w:pPr>
              <w:spacing w:after="0"/>
              <w:rPr>
                <w:sz w:val="20"/>
                <w:szCs w:val="20"/>
                <w:color w:val="auto"/>
              </w:rPr>
            </w:pPr>
            <w:r>
              <w:rPr>
                <w:rFonts w:ascii="Arial" w:cs="Arial" w:eastAsia="Arial" w:hAnsi="Arial"/>
                <w:sz w:val="18"/>
                <w:szCs w:val="18"/>
                <w:b w:val="1"/>
                <w:bCs w:val="1"/>
                <w:color w:val="auto"/>
              </w:rPr>
              <w:t>Liabilities</w:t>
            </w:r>
          </w:p>
        </w:tc>
        <w:tc>
          <w:tcPr>
            <w:tcW w:w="17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4140" w:type="dxa"/>
            <w:vAlign w:val="bottom"/>
            <w:vMerge w:val="continue"/>
          </w:tcPr>
          <w:p>
            <w:pPr>
              <w:spacing w:after="0"/>
              <w:rPr>
                <w:sz w:val="18"/>
                <w:szCs w:val="18"/>
                <w:color w:val="auto"/>
              </w:rPr>
            </w:pPr>
          </w:p>
        </w:tc>
        <w:tc>
          <w:tcPr>
            <w:tcW w:w="17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140" w:type="dxa"/>
            <w:vAlign w:val="bottom"/>
            <w:shd w:val="clear" w:color="auto" w:fill="CFF0FC"/>
          </w:tcPr>
          <w:p>
            <w:pPr>
              <w:ind w:left="260"/>
              <w:spacing w:after="0"/>
              <w:rPr>
                <w:sz w:val="20"/>
                <w:szCs w:val="20"/>
                <w:color w:val="auto"/>
              </w:rPr>
            </w:pPr>
            <w:r>
              <w:rPr>
                <w:rFonts w:ascii="Arial" w:cs="Arial" w:eastAsia="Arial" w:hAnsi="Arial"/>
                <w:sz w:val="18"/>
                <w:szCs w:val="18"/>
                <w:color w:val="auto"/>
              </w:rPr>
              <w:t>Preferred stock warrant liabilities</w:t>
            </w:r>
          </w:p>
        </w:tc>
        <w:tc>
          <w:tcPr>
            <w:tcW w:w="1960" w:type="dxa"/>
            <w:vAlign w:val="bottom"/>
            <w:gridSpan w:val="2"/>
            <w:shd w:val="clear" w:color="auto" w:fill="CFF0FC"/>
          </w:tcPr>
          <w:p>
            <w:pPr>
              <w:jc w:val="right"/>
              <w:ind w:right="10"/>
              <w:spacing w:after="0"/>
              <w:rPr>
                <w:sz w:val="20"/>
                <w:szCs w:val="20"/>
                <w:color w:val="auto"/>
              </w:rPr>
            </w:pPr>
            <w:r>
              <w:rPr>
                <w:rFonts w:ascii="Arial" w:cs="Arial" w:eastAsia="Arial" w:hAnsi="Arial"/>
                <w:sz w:val="18"/>
                <w:szCs w:val="18"/>
                <w:color w:val="auto"/>
              </w:rPr>
              <w:t>$</w:t>
            </w:r>
          </w:p>
        </w:tc>
        <w:tc>
          <w:tcPr>
            <w:tcW w:w="1220" w:type="dxa"/>
            <w:vAlign w:val="bottom"/>
            <w:gridSpan w:val="2"/>
            <w:shd w:val="clear" w:color="auto" w:fill="CFF0FC"/>
          </w:tcPr>
          <w:p>
            <w:pPr>
              <w:jc w:val="right"/>
              <w:ind w:right="260"/>
              <w:spacing w:after="0"/>
              <w:rPr>
                <w:sz w:val="20"/>
                <w:szCs w:val="20"/>
                <w:color w:val="auto"/>
              </w:rPr>
            </w:pPr>
            <w:r>
              <w:rPr>
                <w:rFonts w:ascii="Arial" w:cs="Arial" w:eastAsia="Arial" w:hAnsi="Arial"/>
                <w:sz w:val="18"/>
                <w:szCs w:val="18"/>
                <w:color w:val="auto"/>
              </w:rPr>
              <w:t>—</w:t>
            </w:r>
          </w:p>
        </w:tc>
        <w:tc>
          <w:tcPr>
            <w:tcW w:w="160" w:type="dxa"/>
            <w:vAlign w:val="bottom"/>
            <w:shd w:val="clear" w:color="auto" w:fill="CFF0FC"/>
          </w:tcPr>
          <w:p>
            <w:pPr>
              <w:jc w:val="right"/>
              <w:ind w:right="5"/>
              <w:spacing w:after="0"/>
              <w:rPr>
                <w:sz w:val="20"/>
                <w:szCs w:val="20"/>
                <w:color w:val="auto"/>
              </w:rPr>
            </w:pPr>
            <w:r>
              <w:rPr>
                <w:rFonts w:ascii="Arial" w:cs="Arial" w:eastAsia="Arial" w:hAnsi="Arial"/>
                <w:sz w:val="15"/>
                <w:szCs w:val="15"/>
                <w:color w:val="auto"/>
                <w:w w:val="71"/>
              </w:rPr>
              <w:t>$</w:t>
            </w:r>
          </w:p>
        </w:tc>
        <w:tc>
          <w:tcPr>
            <w:tcW w:w="1240" w:type="dxa"/>
            <w:vAlign w:val="bottom"/>
            <w:gridSpan w:val="2"/>
            <w:shd w:val="clear" w:color="auto" w:fill="CFF0FC"/>
          </w:tcPr>
          <w:p>
            <w:pPr>
              <w:ind w:left="8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693</w:t>
            </w:r>
          </w:p>
        </w:tc>
        <w:tc>
          <w:tcPr>
            <w:tcW w:w="500" w:type="dxa"/>
            <w:vAlign w:val="bottom"/>
            <w:gridSpan w:val="2"/>
            <w:shd w:val="clear" w:color="auto" w:fill="CFF0FC"/>
          </w:tcPr>
          <w:p>
            <w:pPr>
              <w:jc w:val="right"/>
              <w:ind w:right="70"/>
              <w:spacing w:after="0"/>
              <w:rPr>
                <w:sz w:val="20"/>
                <w:szCs w:val="20"/>
                <w:color w:val="auto"/>
              </w:rPr>
            </w:pPr>
            <w:r>
              <w:rPr>
                <w:rFonts w:ascii="Arial" w:cs="Arial" w:eastAsia="Arial" w:hAnsi="Arial"/>
                <w:sz w:val="18"/>
                <w:szCs w:val="18"/>
                <w:color w:val="auto"/>
              </w:rPr>
              <w:t>$</w:t>
            </w: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693</w:t>
            </w:r>
          </w:p>
        </w:tc>
        <w:tc>
          <w:tcPr>
            <w:tcW w:w="12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140" w:type="dxa"/>
            <w:vAlign w:val="bottom"/>
            <w:tcBorders>
              <w:top w:val="single" w:sz="8" w:color="CFF0FC"/>
            </w:tcBorders>
          </w:tcPr>
          <w:p>
            <w:pPr>
              <w:spacing w:after="0" w:line="20" w:lineRule="exact"/>
              <w:rPr>
                <w:sz w:val="1"/>
                <w:szCs w:val="1"/>
                <w:color w:val="auto"/>
              </w:rPr>
            </w:pPr>
          </w:p>
        </w:tc>
        <w:tc>
          <w:tcPr>
            <w:tcW w:w="1760" w:type="dxa"/>
            <w:vAlign w:val="bottom"/>
            <w:tcBorders>
              <w:top w:val="single" w:sz="8" w:color="CFF0FC"/>
              <w:bottom w:val="single" w:sz="8" w:color="CFF0FC"/>
            </w:tcBorders>
            <w:vMerge w:val="restart"/>
          </w:tcPr>
          <w:p>
            <w:pPr>
              <w:jc w:val="right"/>
              <w:ind w:right="10"/>
              <w:spacing w:after="0"/>
              <w:rPr>
                <w:sz w:val="20"/>
                <w:szCs w:val="20"/>
                <w:color w:val="auto"/>
              </w:rPr>
            </w:pPr>
            <w:r>
              <w:rPr>
                <w:rFonts w:ascii="Arial" w:cs="Arial" w:eastAsia="Arial" w:hAnsi="Arial"/>
                <w:sz w:val="18"/>
                <w:szCs w:val="18"/>
                <w:color w:val="auto"/>
              </w:rPr>
              <w:t>88</w:t>
            </w:r>
          </w:p>
        </w:tc>
        <w:tc>
          <w:tcPr>
            <w:tcW w:w="20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FF0FC"/>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FF0FC"/>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FF0FC"/>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FF0FC"/>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15"/>
        </w:trPr>
        <w:tc>
          <w:tcPr>
            <w:tcW w:w="4140" w:type="dxa"/>
            <w:vAlign w:val="bottom"/>
          </w:tcPr>
          <w:p>
            <w:pPr>
              <w:spacing w:after="0"/>
              <w:rPr>
                <w:sz w:val="24"/>
                <w:szCs w:val="24"/>
                <w:color w:val="auto"/>
              </w:rPr>
            </w:pPr>
          </w:p>
        </w:tc>
        <w:tc>
          <w:tcPr>
            <w:tcW w:w="1760" w:type="dxa"/>
            <w:vAlign w:val="bottom"/>
            <w:vMerge w:val="continue"/>
          </w:tcPr>
          <w:p>
            <w:pPr>
              <w:spacing w:after="0"/>
              <w:rPr>
                <w:sz w:val="24"/>
                <w:szCs w:val="24"/>
                <w:color w:val="auto"/>
              </w:rPr>
            </w:pPr>
          </w:p>
        </w:tc>
        <w:tc>
          <w:tcPr>
            <w:tcW w:w="2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4140" w:type="dxa"/>
            <w:vAlign w:val="bottom"/>
            <w:tcBorders>
              <w:bottom w:val="single" w:sz="8" w:color="9A9A9A"/>
            </w:tcBorders>
          </w:tcPr>
          <w:p>
            <w:pPr>
              <w:spacing w:after="0"/>
              <w:rPr>
                <w:sz w:val="10"/>
                <w:szCs w:val="10"/>
                <w:color w:val="auto"/>
              </w:rPr>
            </w:pPr>
          </w:p>
        </w:tc>
        <w:tc>
          <w:tcPr>
            <w:tcW w:w="1760" w:type="dxa"/>
            <w:vAlign w:val="bottom"/>
            <w:tcBorders>
              <w:bottom w:val="single" w:sz="8" w:color="9A9A9A"/>
            </w:tcBorders>
          </w:tcPr>
          <w:p>
            <w:pPr>
              <w:spacing w:after="0"/>
              <w:rPr>
                <w:sz w:val="10"/>
                <w:szCs w:val="10"/>
                <w:color w:val="auto"/>
              </w:rPr>
            </w:pPr>
          </w:p>
        </w:tc>
        <w:tc>
          <w:tcPr>
            <w:tcW w:w="200" w:type="dxa"/>
            <w:vAlign w:val="bottom"/>
            <w:tcBorders>
              <w:bottom w:val="single" w:sz="8" w:color="9A9A9A"/>
            </w:tcBorders>
          </w:tcPr>
          <w:p>
            <w:pPr>
              <w:spacing w:after="0"/>
              <w:rPr>
                <w:sz w:val="10"/>
                <w:szCs w:val="10"/>
                <w:color w:val="auto"/>
              </w:rPr>
            </w:pPr>
          </w:p>
        </w:tc>
        <w:tc>
          <w:tcPr>
            <w:tcW w:w="980" w:type="dxa"/>
            <w:vAlign w:val="bottom"/>
            <w:tcBorders>
              <w:bottom w:val="single" w:sz="8" w:color="9A9A9A"/>
            </w:tcBorders>
          </w:tcPr>
          <w:p>
            <w:pPr>
              <w:spacing w:after="0"/>
              <w:rPr>
                <w:sz w:val="10"/>
                <w:szCs w:val="10"/>
                <w:color w:val="auto"/>
              </w:rPr>
            </w:pPr>
          </w:p>
        </w:tc>
        <w:tc>
          <w:tcPr>
            <w:tcW w:w="240" w:type="dxa"/>
            <w:vAlign w:val="bottom"/>
            <w:tcBorders>
              <w:bottom w:val="single" w:sz="8" w:color="9A9A9A"/>
            </w:tcBorders>
          </w:tcPr>
          <w:p>
            <w:pPr>
              <w:spacing w:after="0"/>
              <w:rPr>
                <w:sz w:val="10"/>
                <w:szCs w:val="10"/>
                <w:color w:val="auto"/>
              </w:rPr>
            </w:pPr>
          </w:p>
        </w:tc>
        <w:tc>
          <w:tcPr>
            <w:tcW w:w="160" w:type="dxa"/>
            <w:vAlign w:val="bottom"/>
            <w:tcBorders>
              <w:bottom w:val="single" w:sz="8" w:color="9A9A9A"/>
            </w:tcBorders>
          </w:tcPr>
          <w:p>
            <w:pPr>
              <w:spacing w:after="0"/>
              <w:rPr>
                <w:sz w:val="10"/>
                <w:szCs w:val="10"/>
                <w:color w:val="auto"/>
              </w:rPr>
            </w:pPr>
          </w:p>
        </w:tc>
        <w:tc>
          <w:tcPr>
            <w:tcW w:w="1000" w:type="dxa"/>
            <w:vAlign w:val="bottom"/>
            <w:tcBorders>
              <w:bottom w:val="single" w:sz="8" w:color="9A9A9A"/>
            </w:tcBorders>
          </w:tcPr>
          <w:p>
            <w:pPr>
              <w:spacing w:after="0"/>
              <w:rPr>
                <w:sz w:val="10"/>
                <w:szCs w:val="10"/>
                <w:color w:val="auto"/>
              </w:rPr>
            </w:pPr>
          </w:p>
        </w:tc>
        <w:tc>
          <w:tcPr>
            <w:tcW w:w="24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1040" w:type="dxa"/>
            <w:vAlign w:val="bottom"/>
            <w:tcBorders>
              <w:bottom w:val="single" w:sz="8" w:color="9A9A9A"/>
            </w:tcBorders>
          </w:tcPr>
          <w:p>
            <w:pPr>
              <w:spacing w:after="0"/>
              <w:rPr>
                <w:sz w:val="10"/>
                <w:szCs w:val="10"/>
                <w:color w:val="auto"/>
              </w:rPr>
            </w:pPr>
          </w:p>
        </w:tc>
        <w:tc>
          <w:tcPr>
            <w:tcW w:w="240" w:type="dxa"/>
            <w:vAlign w:val="bottom"/>
            <w:tcBorders>
              <w:bottom w:val="single" w:sz="8" w:color="9A9A9A"/>
            </w:tcBorders>
          </w:tcPr>
          <w:p>
            <w:pPr>
              <w:spacing w:after="0"/>
              <w:rPr>
                <w:sz w:val="10"/>
                <w:szCs w:val="10"/>
                <w:color w:val="auto"/>
              </w:rPr>
            </w:pPr>
          </w:p>
        </w:tc>
        <w:tc>
          <w:tcPr>
            <w:tcW w:w="260" w:type="dxa"/>
            <w:vAlign w:val="bottom"/>
            <w:tcBorders>
              <w:bottom w:val="single" w:sz="8" w:color="9A9A9A"/>
            </w:tcBorders>
          </w:tcPr>
          <w:p>
            <w:pPr>
              <w:spacing w:after="0"/>
              <w:rPr>
                <w:sz w:val="10"/>
                <w:szCs w:val="10"/>
                <w:color w:val="auto"/>
              </w:rPr>
            </w:pPr>
          </w:p>
        </w:tc>
        <w:tc>
          <w:tcPr>
            <w:tcW w:w="92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7247255</wp:posOffset>
            </wp:positionH>
            <wp:positionV relativeFrom="paragraph">
              <wp:posOffset>-29210</wp:posOffset>
            </wp:positionV>
            <wp:extent cx="34290" cy="4254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440"/>
          </w:cols>
          <w:pgMar w:left="240" w:top="449" w:right="219" w:bottom="1440" w:gutter="0" w:footer="0" w:header="0"/>
        </w:sectPr>
      </w:pPr>
    </w:p>
    <w:bookmarkStart w:id="89" w:name="page90"/>
    <w:bookmarkEnd w:id="89"/>
    <w:p>
      <w:pPr>
        <w:spacing w:after="0" w:line="277" w:lineRule="auto"/>
        <w:rPr>
          <w:sz w:val="20"/>
          <w:szCs w:val="20"/>
          <w:color w:val="auto"/>
        </w:rPr>
      </w:pPr>
      <w:r>
        <w:rPr>
          <w:rFonts w:ascii="Arial" w:cs="Arial" w:eastAsia="Arial" w:hAnsi="Arial"/>
          <w:sz w:val="18"/>
          <w:szCs w:val="18"/>
          <w:color w:val="auto"/>
        </w:rPr>
        <w:t>The following table summarizes the preferred stock warrant liabilities activity subject to Level 3 inputs which are measured on a recurring basis until their exercises:</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720" w:type="dxa"/>
            <w:vAlign w:val="bottom"/>
          </w:tcPr>
          <w:p>
            <w:pPr>
              <w:spacing w:after="0"/>
              <w:rPr>
                <w:sz w:val="14"/>
                <w:szCs w:val="14"/>
                <w:color w:val="auto"/>
              </w:rPr>
            </w:pPr>
          </w:p>
        </w:tc>
        <w:tc>
          <w:tcPr>
            <w:tcW w:w="50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00" w:type="dxa"/>
            <w:vAlign w:val="bottom"/>
            <w:gridSpan w:val="3"/>
          </w:tcPr>
          <w:p>
            <w:pPr>
              <w:jc w:val="center"/>
              <w:ind w:right="440"/>
              <w:spacing w:after="0"/>
              <w:rPr>
                <w:sz w:val="20"/>
                <w:szCs w:val="20"/>
                <w:color w:val="auto"/>
              </w:rPr>
            </w:pPr>
            <w:r>
              <w:rPr>
                <w:rFonts w:ascii="Arial" w:cs="Arial" w:eastAsia="Arial" w:hAnsi="Arial"/>
                <w:sz w:val="14"/>
                <w:szCs w:val="14"/>
                <w:b w:val="1"/>
                <w:bCs w:val="1"/>
                <w:color w:val="auto"/>
                <w:w w:val="94"/>
              </w:rPr>
              <w:t>Fair value</w:t>
            </w:r>
          </w:p>
        </w:tc>
        <w:tc>
          <w:tcPr>
            <w:tcW w:w="0" w:type="dxa"/>
            <w:vAlign w:val="bottom"/>
          </w:tcPr>
          <w:p>
            <w:pPr>
              <w:spacing w:after="0"/>
              <w:rPr>
                <w:sz w:val="1"/>
                <w:szCs w:val="1"/>
                <w:color w:val="auto"/>
              </w:rPr>
            </w:pPr>
          </w:p>
        </w:tc>
      </w:tr>
      <w:tr>
        <w:trPr>
          <w:trHeight w:val="149"/>
        </w:trPr>
        <w:tc>
          <w:tcPr>
            <w:tcW w:w="1720" w:type="dxa"/>
            <w:vAlign w:val="bottom"/>
          </w:tcPr>
          <w:p>
            <w:pPr>
              <w:spacing w:after="0"/>
              <w:rPr>
                <w:sz w:val="12"/>
                <w:szCs w:val="12"/>
                <w:color w:val="auto"/>
              </w:rPr>
            </w:pPr>
          </w:p>
        </w:tc>
        <w:tc>
          <w:tcPr>
            <w:tcW w:w="500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220" w:type="dxa"/>
            <w:vAlign w:val="bottom"/>
            <w:gridSpan w:val="5"/>
          </w:tcPr>
          <w:p>
            <w:pPr>
              <w:jc w:val="center"/>
              <w:ind w:right="300"/>
              <w:spacing w:after="0" w:line="149" w:lineRule="exact"/>
              <w:rPr>
                <w:sz w:val="20"/>
                <w:szCs w:val="20"/>
                <w:color w:val="auto"/>
              </w:rPr>
            </w:pPr>
            <w:r>
              <w:rPr>
                <w:rFonts w:ascii="Arial" w:cs="Arial" w:eastAsia="Arial" w:hAnsi="Arial"/>
                <w:sz w:val="14"/>
                <w:szCs w:val="14"/>
                <w:b w:val="1"/>
                <w:bCs w:val="1"/>
                <w:color w:val="auto"/>
                <w:w w:val="89"/>
              </w:rPr>
              <w:t>measurements</w:t>
            </w:r>
          </w:p>
        </w:tc>
        <w:tc>
          <w:tcPr>
            <w:tcW w:w="0" w:type="dxa"/>
            <w:vAlign w:val="bottom"/>
          </w:tcPr>
          <w:p>
            <w:pPr>
              <w:spacing w:after="0"/>
              <w:rPr>
                <w:sz w:val="1"/>
                <w:szCs w:val="1"/>
                <w:color w:val="auto"/>
              </w:rPr>
            </w:pPr>
          </w:p>
        </w:tc>
      </w:tr>
      <w:tr>
        <w:trPr>
          <w:trHeight w:val="149"/>
        </w:trPr>
        <w:tc>
          <w:tcPr>
            <w:tcW w:w="1720" w:type="dxa"/>
            <w:vAlign w:val="bottom"/>
          </w:tcPr>
          <w:p>
            <w:pPr>
              <w:spacing w:after="0"/>
              <w:rPr>
                <w:sz w:val="12"/>
                <w:szCs w:val="12"/>
                <w:color w:val="auto"/>
              </w:rPr>
            </w:pPr>
          </w:p>
        </w:tc>
        <w:tc>
          <w:tcPr>
            <w:tcW w:w="500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00" w:type="dxa"/>
            <w:vAlign w:val="bottom"/>
            <w:gridSpan w:val="3"/>
          </w:tcPr>
          <w:p>
            <w:pPr>
              <w:jc w:val="center"/>
              <w:ind w:right="420"/>
              <w:spacing w:after="0" w:line="149" w:lineRule="exact"/>
              <w:rPr>
                <w:sz w:val="20"/>
                <w:szCs w:val="20"/>
                <w:color w:val="auto"/>
              </w:rPr>
            </w:pPr>
            <w:r>
              <w:rPr>
                <w:rFonts w:ascii="Arial" w:cs="Arial" w:eastAsia="Arial" w:hAnsi="Arial"/>
                <w:sz w:val="14"/>
                <w:szCs w:val="14"/>
                <w:b w:val="1"/>
                <w:bCs w:val="1"/>
                <w:color w:val="auto"/>
                <w:w w:val="90"/>
              </w:rPr>
              <w:t>of</w:t>
            </w:r>
          </w:p>
        </w:tc>
        <w:tc>
          <w:tcPr>
            <w:tcW w:w="0" w:type="dxa"/>
            <w:vAlign w:val="bottom"/>
          </w:tcPr>
          <w:p>
            <w:pPr>
              <w:spacing w:after="0"/>
              <w:rPr>
                <w:sz w:val="1"/>
                <w:szCs w:val="1"/>
                <w:color w:val="auto"/>
              </w:rPr>
            </w:pPr>
          </w:p>
        </w:tc>
      </w:tr>
      <w:tr>
        <w:trPr>
          <w:trHeight w:val="149"/>
        </w:trPr>
        <w:tc>
          <w:tcPr>
            <w:tcW w:w="1720" w:type="dxa"/>
            <w:vAlign w:val="bottom"/>
          </w:tcPr>
          <w:p>
            <w:pPr>
              <w:spacing w:after="0"/>
              <w:rPr>
                <w:sz w:val="12"/>
                <w:szCs w:val="12"/>
                <w:color w:val="auto"/>
              </w:rPr>
            </w:pPr>
          </w:p>
        </w:tc>
        <w:tc>
          <w:tcPr>
            <w:tcW w:w="500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80" w:type="dxa"/>
            <w:vAlign w:val="bottom"/>
            <w:gridSpan w:val="6"/>
          </w:tcPr>
          <w:p>
            <w:pPr>
              <w:jc w:val="center"/>
              <w:ind w:right="240"/>
              <w:spacing w:after="0" w:line="149" w:lineRule="exact"/>
              <w:rPr>
                <w:sz w:val="20"/>
                <w:szCs w:val="20"/>
                <w:color w:val="auto"/>
              </w:rPr>
            </w:pPr>
            <w:r>
              <w:rPr>
                <w:rFonts w:ascii="Arial" w:cs="Arial" w:eastAsia="Arial" w:hAnsi="Arial"/>
                <w:sz w:val="14"/>
                <w:szCs w:val="14"/>
                <w:b w:val="1"/>
                <w:bCs w:val="1"/>
                <w:color w:val="auto"/>
                <w:w w:val="92"/>
              </w:rPr>
              <w:t>warrants using</w:t>
            </w:r>
          </w:p>
        </w:tc>
        <w:tc>
          <w:tcPr>
            <w:tcW w:w="0" w:type="dxa"/>
            <w:vAlign w:val="bottom"/>
          </w:tcPr>
          <w:p>
            <w:pPr>
              <w:spacing w:after="0"/>
              <w:rPr>
                <w:sz w:val="1"/>
                <w:szCs w:val="1"/>
                <w:color w:val="auto"/>
              </w:rPr>
            </w:pPr>
          </w:p>
        </w:tc>
      </w:tr>
      <w:tr>
        <w:trPr>
          <w:trHeight w:val="149"/>
        </w:trPr>
        <w:tc>
          <w:tcPr>
            <w:tcW w:w="1720" w:type="dxa"/>
            <w:vAlign w:val="bottom"/>
          </w:tcPr>
          <w:p>
            <w:pPr>
              <w:spacing w:after="0"/>
              <w:rPr>
                <w:sz w:val="12"/>
                <w:szCs w:val="12"/>
                <w:color w:val="auto"/>
              </w:rPr>
            </w:pPr>
          </w:p>
        </w:tc>
        <w:tc>
          <w:tcPr>
            <w:tcW w:w="500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00" w:type="dxa"/>
            <w:vAlign w:val="bottom"/>
            <w:gridSpan w:val="3"/>
          </w:tcPr>
          <w:p>
            <w:pPr>
              <w:jc w:val="center"/>
              <w:ind w:right="420"/>
              <w:spacing w:after="0" w:line="149" w:lineRule="exact"/>
              <w:rPr>
                <w:sz w:val="20"/>
                <w:szCs w:val="20"/>
                <w:color w:val="auto"/>
              </w:rPr>
            </w:pPr>
            <w:r>
              <w:rPr>
                <w:rFonts w:ascii="Arial" w:cs="Arial" w:eastAsia="Arial" w:hAnsi="Arial"/>
                <w:sz w:val="14"/>
                <w:szCs w:val="14"/>
                <w:b w:val="1"/>
                <w:bCs w:val="1"/>
                <w:color w:val="auto"/>
                <w:w w:val="91"/>
              </w:rPr>
              <w:t>significant</w:t>
            </w:r>
          </w:p>
        </w:tc>
        <w:tc>
          <w:tcPr>
            <w:tcW w:w="0" w:type="dxa"/>
            <w:vAlign w:val="bottom"/>
          </w:tcPr>
          <w:p>
            <w:pPr>
              <w:spacing w:after="0"/>
              <w:rPr>
                <w:sz w:val="1"/>
                <w:szCs w:val="1"/>
                <w:color w:val="auto"/>
              </w:rPr>
            </w:pPr>
          </w:p>
        </w:tc>
      </w:tr>
      <w:tr>
        <w:trPr>
          <w:trHeight w:val="149"/>
        </w:trPr>
        <w:tc>
          <w:tcPr>
            <w:tcW w:w="1720" w:type="dxa"/>
            <w:vAlign w:val="bottom"/>
          </w:tcPr>
          <w:p>
            <w:pPr>
              <w:spacing w:after="0"/>
              <w:rPr>
                <w:sz w:val="12"/>
                <w:szCs w:val="12"/>
                <w:color w:val="auto"/>
              </w:rPr>
            </w:pPr>
          </w:p>
        </w:tc>
        <w:tc>
          <w:tcPr>
            <w:tcW w:w="500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0" w:type="dxa"/>
            <w:vAlign w:val="bottom"/>
            <w:gridSpan w:val="4"/>
          </w:tcPr>
          <w:p>
            <w:pPr>
              <w:jc w:val="center"/>
              <w:ind w:right="340"/>
              <w:spacing w:after="0" w:line="149" w:lineRule="exact"/>
              <w:rPr>
                <w:sz w:val="20"/>
                <w:szCs w:val="20"/>
                <w:color w:val="auto"/>
              </w:rPr>
            </w:pPr>
            <w:r>
              <w:rPr>
                <w:rFonts w:ascii="Arial" w:cs="Arial" w:eastAsia="Arial" w:hAnsi="Arial"/>
                <w:sz w:val="14"/>
                <w:szCs w:val="14"/>
                <w:b w:val="1"/>
                <w:bCs w:val="1"/>
                <w:color w:val="auto"/>
                <w:w w:val="90"/>
              </w:rPr>
              <w:t>unobservable</w:t>
            </w:r>
          </w:p>
        </w:tc>
        <w:tc>
          <w:tcPr>
            <w:tcW w:w="0" w:type="dxa"/>
            <w:vAlign w:val="bottom"/>
          </w:tcPr>
          <w:p>
            <w:pPr>
              <w:spacing w:after="0"/>
              <w:rPr>
                <w:sz w:val="1"/>
                <w:szCs w:val="1"/>
                <w:color w:val="auto"/>
              </w:rPr>
            </w:pPr>
          </w:p>
        </w:tc>
      </w:tr>
      <w:tr>
        <w:trPr>
          <w:trHeight w:val="149"/>
        </w:trPr>
        <w:tc>
          <w:tcPr>
            <w:tcW w:w="1720" w:type="dxa"/>
            <w:vAlign w:val="bottom"/>
          </w:tcPr>
          <w:p>
            <w:pPr>
              <w:spacing w:after="0"/>
              <w:rPr>
                <w:sz w:val="12"/>
                <w:szCs w:val="12"/>
                <w:color w:val="auto"/>
              </w:rPr>
            </w:pPr>
          </w:p>
        </w:tc>
        <w:tc>
          <w:tcPr>
            <w:tcW w:w="500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00" w:type="dxa"/>
            <w:vAlign w:val="bottom"/>
            <w:gridSpan w:val="3"/>
          </w:tcPr>
          <w:p>
            <w:pPr>
              <w:jc w:val="center"/>
              <w:ind w:right="440"/>
              <w:spacing w:after="0" w:line="149" w:lineRule="exact"/>
              <w:rPr>
                <w:sz w:val="20"/>
                <w:szCs w:val="20"/>
                <w:color w:val="auto"/>
              </w:rPr>
            </w:pPr>
            <w:r>
              <w:rPr>
                <w:rFonts w:ascii="Arial" w:cs="Arial" w:eastAsia="Arial" w:hAnsi="Arial"/>
                <w:sz w:val="14"/>
                <w:szCs w:val="14"/>
                <w:b w:val="1"/>
                <w:bCs w:val="1"/>
                <w:color w:val="auto"/>
                <w:w w:val="90"/>
              </w:rPr>
              <w:t>inputs</w:t>
            </w:r>
          </w:p>
        </w:tc>
        <w:tc>
          <w:tcPr>
            <w:tcW w:w="0" w:type="dxa"/>
            <w:vAlign w:val="bottom"/>
          </w:tcPr>
          <w:p>
            <w:pPr>
              <w:spacing w:after="0"/>
              <w:rPr>
                <w:sz w:val="1"/>
                <w:szCs w:val="1"/>
                <w:color w:val="auto"/>
              </w:rPr>
            </w:pPr>
          </w:p>
        </w:tc>
      </w:tr>
      <w:tr>
        <w:trPr>
          <w:trHeight w:val="171"/>
        </w:trPr>
        <w:tc>
          <w:tcPr>
            <w:tcW w:w="1720" w:type="dxa"/>
            <w:vAlign w:val="bottom"/>
          </w:tcPr>
          <w:p>
            <w:pPr>
              <w:spacing w:after="0"/>
              <w:rPr>
                <w:sz w:val="14"/>
                <w:szCs w:val="14"/>
                <w:color w:val="auto"/>
              </w:rPr>
            </w:pPr>
          </w:p>
        </w:tc>
        <w:tc>
          <w:tcPr>
            <w:tcW w:w="50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00" w:type="dxa"/>
            <w:vAlign w:val="bottom"/>
            <w:gridSpan w:val="3"/>
          </w:tcPr>
          <w:p>
            <w:pPr>
              <w:jc w:val="center"/>
              <w:ind w:right="440"/>
              <w:spacing w:after="0"/>
              <w:rPr>
                <w:sz w:val="20"/>
                <w:szCs w:val="20"/>
                <w:color w:val="auto"/>
              </w:rPr>
            </w:pPr>
            <w:r>
              <w:rPr>
                <w:rFonts w:ascii="Arial" w:cs="Arial" w:eastAsia="Arial" w:hAnsi="Arial"/>
                <w:sz w:val="14"/>
                <w:szCs w:val="14"/>
                <w:b w:val="1"/>
                <w:bCs w:val="1"/>
                <w:color w:val="auto"/>
                <w:w w:val="94"/>
              </w:rPr>
              <w:t>(Level 3)</w:t>
            </w:r>
          </w:p>
        </w:tc>
        <w:tc>
          <w:tcPr>
            <w:tcW w:w="0" w:type="dxa"/>
            <w:vAlign w:val="bottom"/>
          </w:tcPr>
          <w:p>
            <w:pPr>
              <w:spacing w:after="0"/>
              <w:rPr>
                <w:sz w:val="1"/>
                <w:szCs w:val="1"/>
                <w:color w:val="auto"/>
              </w:rPr>
            </w:pPr>
          </w:p>
        </w:tc>
      </w:tr>
      <w:tr>
        <w:trPr>
          <w:trHeight w:val="223"/>
        </w:trPr>
        <w:tc>
          <w:tcPr>
            <w:tcW w:w="1720" w:type="dxa"/>
            <w:vAlign w:val="bottom"/>
          </w:tcPr>
          <w:p>
            <w:pPr>
              <w:spacing w:after="0"/>
              <w:rPr>
                <w:sz w:val="19"/>
                <w:szCs w:val="19"/>
                <w:color w:val="auto"/>
              </w:rPr>
            </w:pPr>
          </w:p>
        </w:tc>
        <w:tc>
          <w:tcPr>
            <w:tcW w:w="500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Balance as of January 1, 2015</w:t>
            </w:r>
          </w:p>
        </w:tc>
        <w:tc>
          <w:tcPr>
            <w:tcW w:w="420" w:type="dxa"/>
            <w:vAlign w:val="bottom"/>
            <w:tcBorders>
              <w:top w:val="single" w:sz="8" w:color="CFF0FC"/>
            </w:tcBorders>
            <w:shd w:val="clear" w:color="auto" w:fill="CFF0FC"/>
          </w:tcPr>
          <w:p>
            <w:pPr>
              <w:spacing w:after="0"/>
              <w:rPr>
                <w:sz w:val="19"/>
                <w:szCs w:val="19"/>
                <w:color w:val="auto"/>
              </w:rPr>
            </w:pPr>
          </w:p>
        </w:tc>
        <w:tc>
          <w:tcPr>
            <w:tcW w:w="20" w:type="dxa"/>
            <w:vAlign w:val="bottom"/>
            <w:tcBorders>
              <w:top w:val="single" w:sz="8" w:color="CFF0FC"/>
            </w:tcBorders>
            <w:shd w:val="clear" w:color="auto" w:fill="CFF0FC"/>
          </w:tcPr>
          <w:p>
            <w:pPr>
              <w:spacing w:after="0"/>
              <w:rPr>
                <w:sz w:val="19"/>
                <w:szCs w:val="19"/>
                <w:color w:val="auto"/>
              </w:rPr>
            </w:pPr>
          </w:p>
        </w:tc>
        <w:tc>
          <w:tcPr>
            <w:tcW w:w="240" w:type="dxa"/>
            <w:vAlign w:val="bottom"/>
            <w:tcBorders>
              <w:top w:val="single" w:sz="8" w:color="CFF0FC"/>
            </w:tcBorders>
            <w:shd w:val="clear" w:color="auto" w:fill="CFF0FC"/>
          </w:tcPr>
          <w:p>
            <w:pPr>
              <w:spacing w:after="0"/>
              <w:rPr>
                <w:sz w:val="19"/>
                <w:szCs w:val="19"/>
                <w:color w:val="auto"/>
              </w:rPr>
            </w:pPr>
          </w:p>
        </w:tc>
        <w:tc>
          <w:tcPr>
            <w:tcW w:w="860" w:type="dxa"/>
            <w:vAlign w:val="bottom"/>
            <w:tcBorders>
              <w:top w:val="single" w:sz="8" w:color="CFF0FC"/>
            </w:tcBorders>
            <w:shd w:val="clear" w:color="auto" w:fill="CFF0FC"/>
          </w:tcPr>
          <w:p>
            <w:pPr>
              <w:spacing w:after="0"/>
              <w:rPr>
                <w:sz w:val="19"/>
                <w:szCs w:val="19"/>
                <w:color w:val="auto"/>
              </w:rPr>
            </w:pPr>
          </w:p>
        </w:tc>
        <w:tc>
          <w:tcPr>
            <w:tcW w:w="160" w:type="dxa"/>
            <w:vAlign w:val="bottom"/>
            <w:tcBorders>
              <w:top w:val="single" w:sz="8" w:color="auto"/>
            </w:tcBorders>
            <w:gridSpan w:val="3"/>
            <w:shd w:val="clear" w:color="auto" w:fill="CFF0FC"/>
          </w:tcPr>
          <w:p>
            <w:pPr>
              <w:jc w:val="right"/>
              <w:ind w:right="80"/>
              <w:spacing w:after="0"/>
              <w:rPr>
                <w:sz w:val="20"/>
                <w:szCs w:val="20"/>
                <w:color w:val="auto"/>
              </w:rPr>
            </w:pPr>
            <w:r>
              <w:rPr>
                <w:rFonts w:ascii="Arial" w:cs="Arial" w:eastAsia="Arial" w:hAnsi="Arial"/>
                <w:sz w:val="15"/>
                <w:szCs w:val="15"/>
                <w:color w:val="auto"/>
                <w:w w:val="71"/>
              </w:rPr>
              <w:t>$</w:t>
            </w:r>
          </w:p>
        </w:tc>
        <w:tc>
          <w:tcPr>
            <w:tcW w:w="60" w:type="dxa"/>
            <w:vAlign w:val="bottom"/>
            <w:tcBorders>
              <w:top w:val="single" w:sz="8" w:color="auto"/>
            </w:tcBorders>
            <w:shd w:val="clear" w:color="auto" w:fill="CFF0FC"/>
          </w:tcPr>
          <w:p>
            <w:pPr>
              <w:spacing w:after="0"/>
              <w:rPr>
                <w:sz w:val="19"/>
                <w:szCs w:val="19"/>
                <w:color w:val="auto"/>
              </w:rPr>
            </w:pPr>
          </w:p>
        </w:tc>
        <w:tc>
          <w:tcPr>
            <w:tcW w:w="20" w:type="dxa"/>
            <w:vAlign w:val="bottom"/>
            <w:tcBorders>
              <w:top w:val="single" w:sz="8" w:color="auto"/>
            </w:tcBorders>
            <w:shd w:val="clear" w:color="auto" w:fill="CFF0FC"/>
          </w:tcPr>
          <w:p>
            <w:pPr>
              <w:spacing w:after="0"/>
              <w:rPr>
                <w:sz w:val="19"/>
                <w:szCs w:val="19"/>
                <w:color w:val="auto"/>
              </w:rPr>
            </w:pPr>
          </w:p>
        </w:tc>
        <w:tc>
          <w:tcPr>
            <w:tcW w:w="100" w:type="dxa"/>
            <w:vAlign w:val="bottom"/>
            <w:tcBorders>
              <w:top w:val="single" w:sz="8" w:color="auto"/>
            </w:tcBorders>
            <w:shd w:val="clear" w:color="auto" w:fill="CFF0FC"/>
          </w:tcPr>
          <w:p>
            <w:pPr>
              <w:spacing w:after="0"/>
              <w:rPr>
                <w:sz w:val="19"/>
                <w:szCs w:val="19"/>
                <w:color w:val="auto"/>
              </w:rPr>
            </w:pPr>
          </w:p>
        </w:tc>
        <w:tc>
          <w:tcPr>
            <w:tcW w:w="10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659</w:t>
            </w:r>
          </w:p>
        </w:tc>
        <w:tc>
          <w:tcPr>
            <w:tcW w:w="20" w:type="dxa"/>
            <w:vAlign w:val="bottom"/>
            <w:tcBorders>
              <w:top w:val="single" w:sz="8" w:color="CFF0FC"/>
            </w:tcBorders>
            <w:shd w:val="clear" w:color="auto" w:fill="CFF0FC"/>
          </w:tcPr>
          <w:p>
            <w:pPr>
              <w:spacing w:after="0"/>
              <w:rPr>
                <w:sz w:val="19"/>
                <w:szCs w:val="19"/>
                <w:color w:val="auto"/>
              </w:rPr>
            </w:pPr>
          </w:p>
        </w:tc>
        <w:tc>
          <w:tcPr>
            <w:tcW w:w="6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720" w:type="dxa"/>
            <w:vAlign w:val="bottom"/>
          </w:tcPr>
          <w:p>
            <w:pPr>
              <w:spacing w:after="0"/>
              <w:rPr>
                <w:sz w:val="19"/>
                <w:szCs w:val="19"/>
                <w:color w:val="auto"/>
              </w:rPr>
            </w:pPr>
          </w:p>
        </w:tc>
        <w:tc>
          <w:tcPr>
            <w:tcW w:w="5000" w:type="dxa"/>
            <w:vAlign w:val="bottom"/>
          </w:tcPr>
          <w:p>
            <w:pPr>
              <w:ind w:left="240"/>
              <w:spacing w:after="0"/>
              <w:rPr>
                <w:sz w:val="20"/>
                <w:szCs w:val="20"/>
                <w:color w:val="auto"/>
              </w:rPr>
            </w:pPr>
            <w:r>
              <w:rPr>
                <w:rFonts w:ascii="Arial" w:cs="Arial" w:eastAsia="Arial" w:hAnsi="Arial"/>
                <w:sz w:val="18"/>
                <w:szCs w:val="18"/>
                <w:color w:val="auto"/>
              </w:rPr>
              <w:t>Change in fair value of preferred stock warrants</w:t>
            </w:r>
          </w:p>
        </w:tc>
        <w:tc>
          <w:tcPr>
            <w:tcW w:w="4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00" w:type="dxa"/>
            <w:vAlign w:val="bottom"/>
            <w:gridSpan w:val="3"/>
          </w:tcPr>
          <w:p>
            <w:pPr>
              <w:jc w:val="right"/>
              <w:ind w:right="20"/>
              <w:spacing w:after="0"/>
              <w:rPr>
                <w:sz w:val="20"/>
                <w:szCs w:val="20"/>
                <w:color w:val="auto"/>
              </w:rPr>
            </w:pPr>
            <w:r>
              <w:rPr>
                <w:rFonts w:ascii="Arial" w:cs="Arial" w:eastAsia="Arial" w:hAnsi="Arial"/>
                <w:sz w:val="18"/>
                <w:szCs w:val="18"/>
                <w:color w:val="auto"/>
              </w:rPr>
              <w:t>(578)</w:t>
            </w:r>
          </w:p>
        </w:tc>
        <w:tc>
          <w:tcPr>
            <w:tcW w:w="0" w:type="dxa"/>
            <w:vAlign w:val="bottom"/>
          </w:tcPr>
          <w:p>
            <w:pPr>
              <w:spacing w:after="0"/>
              <w:rPr>
                <w:sz w:val="1"/>
                <w:szCs w:val="1"/>
                <w:color w:val="auto"/>
              </w:rPr>
            </w:pPr>
          </w:p>
        </w:tc>
      </w:tr>
      <w:tr>
        <w:trPr>
          <w:trHeight w:val="230"/>
        </w:trPr>
        <w:tc>
          <w:tcPr>
            <w:tcW w:w="1720" w:type="dxa"/>
            <w:vAlign w:val="bottom"/>
          </w:tcPr>
          <w:p>
            <w:pPr>
              <w:spacing w:after="0"/>
              <w:rPr>
                <w:sz w:val="19"/>
                <w:szCs w:val="19"/>
                <w:color w:val="auto"/>
              </w:rPr>
            </w:pPr>
          </w:p>
        </w:tc>
        <w:tc>
          <w:tcPr>
            <w:tcW w:w="5000" w:type="dxa"/>
            <w:vAlign w:val="bottom"/>
            <w:shd w:val="clear" w:color="auto" w:fill="CFF0FC"/>
          </w:tcPr>
          <w:p>
            <w:pPr>
              <w:ind w:left="240"/>
              <w:spacing w:after="0"/>
              <w:rPr>
                <w:sz w:val="20"/>
                <w:szCs w:val="20"/>
                <w:color w:val="auto"/>
              </w:rPr>
            </w:pPr>
            <w:r>
              <w:rPr>
                <w:rFonts w:ascii="Arial" w:cs="Arial" w:eastAsia="Arial" w:hAnsi="Arial"/>
                <w:sz w:val="18"/>
                <w:szCs w:val="18"/>
                <w:color w:val="auto"/>
              </w:rPr>
              <w:t>Fair value of preferred stock warrants issued</w:t>
            </w:r>
          </w:p>
        </w:tc>
        <w:tc>
          <w:tcPr>
            <w:tcW w:w="42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860" w:type="dxa"/>
            <w:vAlign w:val="bottom"/>
            <w:shd w:val="clear" w:color="auto" w:fill="CFF0FC"/>
          </w:tcPr>
          <w:p>
            <w:pPr>
              <w:spacing w:after="0"/>
              <w:rPr>
                <w:sz w:val="19"/>
                <w:szCs w:val="19"/>
                <w:color w:val="auto"/>
              </w:rPr>
            </w:pPr>
          </w:p>
        </w:tc>
        <w:tc>
          <w:tcPr>
            <w:tcW w:w="20" w:type="dxa"/>
            <w:vAlign w:val="bottom"/>
            <w:tcBorders>
              <w:bottom w:val="single" w:sz="8" w:color="auto"/>
            </w:tcBorders>
            <w:shd w:val="clear" w:color="auto" w:fill="CFF0FC"/>
          </w:tcPr>
          <w:p>
            <w:pPr>
              <w:spacing w:after="0"/>
              <w:rPr>
                <w:sz w:val="19"/>
                <w:szCs w:val="19"/>
                <w:color w:val="auto"/>
              </w:rPr>
            </w:pPr>
          </w:p>
        </w:tc>
        <w:tc>
          <w:tcPr>
            <w:tcW w:w="20" w:type="dxa"/>
            <w:vAlign w:val="bottom"/>
            <w:tcBorders>
              <w:bottom w:val="single" w:sz="8" w:color="auto"/>
            </w:tcBorders>
            <w:shd w:val="clear" w:color="auto" w:fill="CFF0FC"/>
          </w:tcPr>
          <w:p>
            <w:pPr>
              <w:spacing w:after="0"/>
              <w:rPr>
                <w:sz w:val="19"/>
                <w:szCs w:val="19"/>
                <w:color w:val="auto"/>
              </w:rPr>
            </w:pPr>
          </w:p>
        </w:tc>
        <w:tc>
          <w:tcPr>
            <w:tcW w:w="120" w:type="dxa"/>
            <w:vAlign w:val="bottom"/>
            <w:tcBorders>
              <w:bottom w:val="single" w:sz="8" w:color="auto"/>
            </w:tcBorders>
            <w:shd w:val="clear" w:color="auto" w:fill="CFF0FC"/>
          </w:tcPr>
          <w:p>
            <w:pPr>
              <w:spacing w:after="0"/>
              <w:rPr>
                <w:sz w:val="19"/>
                <w:szCs w:val="19"/>
                <w:color w:val="auto"/>
              </w:rPr>
            </w:pPr>
          </w:p>
        </w:tc>
        <w:tc>
          <w:tcPr>
            <w:tcW w:w="60" w:type="dxa"/>
            <w:vAlign w:val="bottom"/>
            <w:tcBorders>
              <w:bottom w:val="single" w:sz="8" w:color="auto"/>
            </w:tcBorders>
            <w:shd w:val="clear" w:color="auto" w:fill="CFF0FC"/>
          </w:tcPr>
          <w:p>
            <w:pPr>
              <w:spacing w:after="0"/>
              <w:rPr>
                <w:sz w:val="19"/>
                <w:szCs w:val="19"/>
                <w:color w:val="auto"/>
              </w:rPr>
            </w:pPr>
          </w:p>
        </w:tc>
        <w:tc>
          <w:tcPr>
            <w:tcW w:w="20" w:type="dxa"/>
            <w:vAlign w:val="bottom"/>
            <w:tcBorders>
              <w:bottom w:val="single" w:sz="8" w:color="auto"/>
            </w:tcBorders>
            <w:shd w:val="clear" w:color="auto" w:fill="CFF0FC"/>
          </w:tcPr>
          <w:p>
            <w:pPr>
              <w:spacing w:after="0"/>
              <w:rPr>
                <w:sz w:val="19"/>
                <w:szCs w:val="19"/>
                <w:color w:val="auto"/>
              </w:rPr>
            </w:pPr>
          </w:p>
        </w:tc>
        <w:tc>
          <w:tcPr>
            <w:tcW w:w="100" w:type="dxa"/>
            <w:vAlign w:val="bottom"/>
            <w:tcBorders>
              <w:bottom w:val="single" w:sz="8" w:color="auto"/>
            </w:tcBorders>
            <w:shd w:val="clear" w:color="auto" w:fill="CFF0FC"/>
          </w:tcPr>
          <w:p>
            <w:pPr>
              <w:spacing w:after="0"/>
              <w:rPr>
                <w:sz w:val="19"/>
                <w:szCs w:val="19"/>
                <w:color w:val="auto"/>
              </w:rPr>
            </w:pPr>
          </w:p>
        </w:tc>
        <w:tc>
          <w:tcPr>
            <w:tcW w:w="10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266</w:t>
            </w:r>
          </w:p>
        </w:tc>
        <w:tc>
          <w:tcPr>
            <w:tcW w:w="2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6720" w:type="dxa"/>
            <w:vAlign w:val="bottom"/>
            <w:gridSpan w:val="2"/>
          </w:tcPr>
          <w:p>
            <w:pPr>
              <w:ind w:left="1720"/>
              <w:spacing w:after="0"/>
              <w:rPr>
                <w:sz w:val="20"/>
                <w:szCs w:val="20"/>
                <w:color w:val="auto"/>
              </w:rPr>
            </w:pPr>
            <w:r>
              <w:rPr>
                <w:rFonts w:ascii="Arial" w:cs="Arial" w:eastAsia="Arial" w:hAnsi="Arial"/>
                <w:sz w:val="18"/>
                <w:szCs w:val="18"/>
                <w:color w:val="auto"/>
              </w:rPr>
              <w:t>Balance as of December 31, 2015</w:t>
            </w:r>
          </w:p>
        </w:tc>
        <w:tc>
          <w:tcPr>
            <w:tcW w:w="4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347</w:t>
            </w: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720" w:type="dxa"/>
            <w:vAlign w:val="bottom"/>
          </w:tcPr>
          <w:p>
            <w:pPr>
              <w:spacing w:after="0"/>
              <w:rPr>
                <w:sz w:val="19"/>
                <w:szCs w:val="19"/>
                <w:color w:val="auto"/>
              </w:rPr>
            </w:pPr>
          </w:p>
        </w:tc>
        <w:tc>
          <w:tcPr>
            <w:tcW w:w="5000" w:type="dxa"/>
            <w:vAlign w:val="bottom"/>
            <w:shd w:val="clear" w:color="auto" w:fill="CFF0FC"/>
          </w:tcPr>
          <w:p>
            <w:pPr>
              <w:ind w:left="240"/>
              <w:spacing w:after="0"/>
              <w:rPr>
                <w:sz w:val="20"/>
                <w:szCs w:val="20"/>
                <w:color w:val="auto"/>
              </w:rPr>
            </w:pPr>
            <w:r>
              <w:rPr>
                <w:rFonts w:ascii="Arial" w:cs="Arial" w:eastAsia="Arial" w:hAnsi="Arial"/>
                <w:sz w:val="18"/>
                <w:szCs w:val="18"/>
                <w:color w:val="auto"/>
              </w:rPr>
              <w:t>Change in fair value of preferred stock warrants</w:t>
            </w:r>
          </w:p>
        </w:tc>
        <w:tc>
          <w:tcPr>
            <w:tcW w:w="42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860" w:type="dxa"/>
            <w:vAlign w:val="bottom"/>
            <w:shd w:val="clear" w:color="auto" w:fill="CFF0FC"/>
          </w:tcPr>
          <w:p>
            <w:pPr>
              <w:spacing w:after="0"/>
              <w:rPr>
                <w:sz w:val="19"/>
                <w:szCs w:val="19"/>
                <w:color w:val="auto"/>
              </w:rPr>
            </w:pPr>
          </w:p>
        </w:tc>
        <w:tc>
          <w:tcPr>
            <w:tcW w:w="20" w:type="dxa"/>
            <w:vAlign w:val="bottom"/>
            <w:tcBorders>
              <w:bottom w:val="single" w:sz="8" w:color="auto"/>
            </w:tcBorders>
            <w:shd w:val="clear" w:color="auto" w:fill="CFF0FC"/>
          </w:tcPr>
          <w:p>
            <w:pPr>
              <w:spacing w:after="0"/>
              <w:rPr>
                <w:sz w:val="19"/>
                <w:szCs w:val="19"/>
                <w:color w:val="auto"/>
              </w:rPr>
            </w:pPr>
          </w:p>
        </w:tc>
        <w:tc>
          <w:tcPr>
            <w:tcW w:w="20" w:type="dxa"/>
            <w:vAlign w:val="bottom"/>
            <w:tcBorders>
              <w:bottom w:val="single" w:sz="8" w:color="auto"/>
            </w:tcBorders>
            <w:shd w:val="clear" w:color="auto" w:fill="CFF0FC"/>
          </w:tcPr>
          <w:p>
            <w:pPr>
              <w:spacing w:after="0"/>
              <w:rPr>
                <w:sz w:val="19"/>
                <w:szCs w:val="19"/>
                <w:color w:val="auto"/>
              </w:rPr>
            </w:pPr>
          </w:p>
        </w:tc>
        <w:tc>
          <w:tcPr>
            <w:tcW w:w="120" w:type="dxa"/>
            <w:vAlign w:val="bottom"/>
            <w:tcBorders>
              <w:bottom w:val="single" w:sz="8" w:color="auto"/>
            </w:tcBorders>
            <w:shd w:val="clear" w:color="auto" w:fill="CFF0FC"/>
          </w:tcPr>
          <w:p>
            <w:pPr>
              <w:spacing w:after="0"/>
              <w:rPr>
                <w:sz w:val="19"/>
                <w:szCs w:val="19"/>
                <w:color w:val="auto"/>
              </w:rPr>
            </w:pPr>
          </w:p>
        </w:tc>
        <w:tc>
          <w:tcPr>
            <w:tcW w:w="60" w:type="dxa"/>
            <w:vAlign w:val="bottom"/>
            <w:tcBorders>
              <w:bottom w:val="single" w:sz="8" w:color="auto"/>
            </w:tcBorders>
            <w:shd w:val="clear" w:color="auto" w:fill="CFF0FC"/>
          </w:tcPr>
          <w:p>
            <w:pPr>
              <w:spacing w:after="0"/>
              <w:rPr>
                <w:sz w:val="19"/>
                <w:szCs w:val="19"/>
                <w:color w:val="auto"/>
              </w:rPr>
            </w:pPr>
          </w:p>
        </w:tc>
        <w:tc>
          <w:tcPr>
            <w:tcW w:w="20" w:type="dxa"/>
            <w:vAlign w:val="bottom"/>
            <w:tcBorders>
              <w:bottom w:val="single" w:sz="8" w:color="auto"/>
            </w:tcBorders>
            <w:shd w:val="clear" w:color="auto" w:fill="CFF0FC"/>
          </w:tcPr>
          <w:p>
            <w:pPr>
              <w:spacing w:after="0"/>
              <w:rPr>
                <w:sz w:val="19"/>
                <w:szCs w:val="19"/>
                <w:color w:val="auto"/>
              </w:rPr>
            </w:pPr>
          </w:p>
        </w:tc>
        <w:tc>
          <w:tcPr>
            <w:tcW w:w="100" w:type="dxa"/>
            <w:vAlign w:val="bottom"/>
            <w:tcBorders>
              <w:bottom w:val="single" w:sz="8" w:color="auto"/>
            </w:tcBorders>
            <w:shd w:val="clear" w:color="auto" w:fill="CFF0FC"/>
          </w:tcPr>
          <w:p>
            <w:pPr>
              <w:spacing w:after="0"/>
              <w:rPr>
                <w:sz w:val="19"/>
                <w:szCs w:val="19"/>
                <w:color w:val="auto"/>
              </w:rPr>
            </w:pPr>
          </w:p>
        </w:tc>
        <w:tc>
          <w:tcPr>
            <w:tcW w:w="10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346</w:t>
            </w:r>
          </w:p>
        </w:tc>
        <w:tc>
          <w:tcPr>
            <w:tcW w:w="2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6720" w:type="dxa"/>
            <w:vAlign w:val="bottom"/>
            <w:gridSpan w:val="2"/>
          </w:tcPr>
          <w:p>
            <w:pPr>
              <w:ind w:left="1720"/>
              <w:spacing w:after="0"/>
              <w:rPr>
                <w:sz w:val="20"/>
                <w:szCs w:val="20"/>
                <w:color w:val="auto"/>
              </w:rPr>
            </w:pPr>
            <w:r>
              <w:rPr>
                <w:rFonts w:ascii="Arial" w:cs="Arial" w:eastAsia="Arial" w:hAnsi="Arial"/>
                <w:sz w:val="18"/>
                <w:szCs w:val="18"/>
                <w:color w:val="auto"/>
              </w:rPr>
              <w:t>Balance as of December 31, 2016</w:t>
            </w:r>
          </w:p>
        </w:tc>
        <w:tc>
          <w:tcPr>
            <w:tcW w:w="4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693</w:t>
            </w: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720" w:type="dxa"/>
            <w:vAlign w:val="bottom"/>
          </w:tcPr>
          <w:p>
            <w:pPr>
              <w:spacing w:after="0"/>
              <w:rPr>
                <w:sz w:val="19"/>
                <w:szCs w:val="19"/>
                <w:color w:val="auto"/>
              </w:rPr>
            </w:pPr>
          </w:p>
        </w:tc>
        <w:tc>
          <w:tcPr>
            <w:tcW w:w="5000" w:type="dxa"/>
            <w:vAlign w:val="bottom"/>
            <w:shd w:val="clear" w:color="auto" w:fill="CFF0FC"/>
          </w:tcPr>
          <w:p>
            <w:pPr>
              <w:ind w:left="240"/>
              <w:spacing w:after="0"/>
              <w:rPr>
                <w:sz w:val="20"/>
                <w:szCs w:val="20"/>
                <w:color w:val="auto"/>
              </w:rPr>
            </w:pPr>
            <w:r>
              <w:rPr>
                <w:rFonts w:ascii="Arial" w:cs="Arial" w:eastAsia="Arial" w:hAnsi="Arial"/>
                <w:sz w:val="18"/>
                <w:szCs w:val="18"/>
                <w:color w:val="auto"/>
              </w:rPr>
              <w:t>Change in fair value of preferred stock warrants</w:t>
            </w:r>
          </w:p>
        </w:tc>
        <w:tc>
          <w:tcPr>
            <w:tcW w:w="42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86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387</w:t>
            </w:r>
          </w:p>
        </w:tc>
        <w:tc>
          <w:tcPr>
            <w:tcW w:w="2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5"/>
        </w:trPr>
        <w:tc>
          <w:tcPr>
            <w:tcW w:w="1720" w:type="dxa"/>
            <w:vAlign w:val="bottom"/>
          </w:tcPr>
          <w:p>
            <w:pPr>
              <w:spacing w:after="0"/>
              <w:rPr>
                <w:sz w:val="18"/>
                <w:szCs w:val="18"/>
                <w:color w:val="auto"/>
              </w:rPr>
            </w:pPr>
          </w:p>
        </w:tc>
        <w:tc>
          <w:tcPr>
            <w:tcW w:w="5000" w:type="dxa"/>
            <w:vAlign w:val="bottom"/>
          </w:tcPr>
          <w:p>
            <w:pPr>
              <w:ind w:left="240"/>
              <w:spacing w:after="0"/>
              <w:rPr>
                <w:sz w:val="20"/>
                <w:szCs w:val="20"/>
                <w:color w:val="auto"/>
              </w:rPr>
            </w:pPr>
            <w:r>
              <w:rPr>
                <w:rFonts w:ascii="Arial" w:cs="Arial" w:eastAsia="Arial" w:hAnsi="Arial"/>
                <w:sz w:val="18"/>
                <w:szCs w:val="18"/>
                <w:color w:val="auto"/>
                <w:w w:val="99"/>
              </w:rPr>
              <w:t>Fair value of preferred stock warrants converted to common</w:t>
            </w:r>
          </w:p>
        </w:tc>
        <w:tc>
          <w:tcPr>
            <w:tcW w:w="4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1720" w:type="dxa"/>
            <w:vAlign w:val="bottom"/>
          </w:tcPr>
          <w:p>
            <w:pPr>
              <w:spacing w:after="0"/>
              <w:rPr>
                <w:sz w:val="20"/>
                <w:szCs w:val="20"/>
                <w:color w:val="auto"/>
              </w:rPr>
            </w:pPr>
          </w:p>
        </w:tc>
        <w:tc>
          <w:tcPr>
            <w:tcW w:w="5000" w:type="dxa"/>
            <w:vAlign w:val="bottom"/>
          </w:tcPr>
          <w:p>
            <w:pPr>
              <w:ind w:left="380"/>
              <w:spacing w:after="0"/>
              <w:rPr>
                <w:sz w:val="20"/>
                <w:szCs w:val="20"/>
                <w:color w:val="auto"/>
              </w:rPr>
            </w:pPr>
            <w:r>
              <w:rPr>
                <w:rFonts w:ascii="Arial" w:cs="Arial" w:eastAsia="Arial" w:hAnsi="Arial"/>
                <w:sz w:val="18"/>
                <w:szCs w:val="18"/>
                <w:color w:val="auto"/>
              </w:rPr>
              <w:t>stock warrants</w:t>
            </w:r>
          </w:p>
        </w:tc>
        <w:tc>
          <w:tcPr>
            <w:tcW w:w="4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00" w:type="dxa"/>
            <w:vAlign w:val="bottom"/>
            <w:gridSpan w:val="3"/>
          </w:tcPr>
          <w:p>
            <w:pPr>
              <w:jc w:val="right"/>
              <w:ind w:right="20"/>
              <w:spacing w:after="0"/>
              <w:rPr>
                <w:sz w:val="20"/>
                <w:szCs w:val="20"/>
                <w:color w:val="auto"/>
              </w:rPr>
            </w:pPr>
            <w:r>
              <w:rPr>
                <w:rFonts w:ascii="Arial" w:cs="Arial" w:eastAsia="Arial" w:hAnsi="Arial"/>
                <w:sz w:val="18"/>
                <w:szCs w:val="18"/>
                <w:color w:val="auto"/>
              </w:rPr>
              <w:t>(1,080)</w:t>
            </w:r>
          </w:p>
        </w:tc>
        <w:tc>
          <w:tcPr>
            <w:tcW w:w="0" w:type="dxa"/>
            <w:vAlign w:val="bottom"/>
          </w:tcPr>
          <w:p>
            <w:pPr>
              <w:spacing w:after="0"/>
              <w:rPr>
                <w:sz w:val="1"/>
                <w:szCs w:val="1"/>
                <w:color w:val="auto"/>
              </w:rPr>
            </w:pPr>
          </w:p>
        </w:tc>
      </w:tr>
      <w:tr>
        <w:trPr>
          <w:trHeight w:val="223"/>
        </w:trPr>
        <w:tc>
          <w:tcPr>
            <w:tcW w:w="1720" w:type="dxa"/>
            <w:vAlign w:val="bottom"/>
          </w:tcPr>
          <w:p>
            <w:pPr>
              <w:spacing w:after="0"/>
              <w:rPr>
                <w:sz w:val="19"/>
                <w:szCs w:val="19"/>
                <w:color w:val="auto"/>
              </w:rPr>
            </w:pPr>
          </w:p>
        </w:tc>
        <w:tc>
          <w:tcPr>
            <w:tcW w:w="5000" w:type="dxa"/>
            <w:vAlign w:val="bottom"/>
            <w:tcBorders>
              <w:top w:val="single" w:sz="8" w:color="CFF0FC"/>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Balance as of December 31, 2017</w:t>
            </w:r>
          </w:p>
        </w:tc>
        <w:tc>
          <w:tcPr>
            <w:tcW w:w="420" w:type="dxa"/>
            <w:vAlign w:val="bottom"/>
            <w:tcBorders>
              <w:top w:val="single" w:sz="8" w:color="CFF0FC"/>
              <w:bottom w:val="single" w:sz="8" w:color="CFF0FC"/>
            </w:tcBorders>
            <w:shd w:val="clear" w:color="auto" w:fill="CFF0FC"/>
          </w:tcPr>
          <w:p>
            <w:pPr>
              <w:spacing w:after="0"/>
              <w:rPr>
                <w:sz w:val="19"/>
                <w:szCs w:val="19"/>
                <w:color w:val="auto"/>
              </w:rPr>
            </w:pPr>
          </w:p>
        </w:tc>
        <w:tc>
          <w:tcPr>
            <w:tcW w:w="20" w:type="dxa"/>
            <w:vAlign w:val="bottom"/>
            <w:tcBorders>
              <w:top w:val="single" w:sz="8" w:color="CFF0FC"/>
              <w:bottom w:val="single" w:sz="8" w:color="CFF0FC"/>
            </w:tcBorders>
            <w:shd w:val="clear" w:color="auto" w:fill="CFF0FC"/>
          </w:tcPr>
          <w:p>
            <w:pPr>
              <w:spacing w:after="0"/>
              <w:rPr>
                <w:sz w:val="19"/>
                <w:szCs w:val="19"/>
                <w:color w:val="auto"/>
              </w:rPr>
            </w:pPr>
          </w:p>
        </w:tc>
        <w:tc>
          <w:tcPr>
            <w:tcW w:w="240" w:type="dxa"/>
            <w:vAlign w:val="bottom"/>
            <w:tcBorders>
              <w:top w:val="single" w:sz="8" w:color="CFF0FC"/>
              <w:bottom w:val="single" w:sz="8" w:color="CFF0FC"/>
            </w:tcBorders>
            <w:shd w:val="clear" w:color="auto" w:fill="CFF0FC"/>
          </w:tcPr>
          <w:p>
            <w:pPr>
              <w:spacing w:after="0"/>
              <w:rPr>
                <w:sz w:val="19"/>
                <w:szCs w:val="19"/>
                <w:color w:val="auto"/>
              </w:rPr>
            </w:pPr>
          </w:p>
        </w:tc>
        <w:tc>
          <w:tcPr>
            <w:tcW w:w="860" w:type="dxa"/>
            <w:vAlign w:val="bottom"/>
            <w:tcBorders>
              <w:top w:val="single" w:sz="8" w:color="CFF0FC"/>
              <w:bottom w:val="single" w:sz="8" w:color="CFF0FC"/>
            </w:tcBorders>
            <w:shd w:val="clear" w:color="auto" w:fill="CFF0FC"/>
          </w:tcPr>
          <w:p>
            <w:pPr>
              <w:spacing w:after="0"/>
              <w:rPr>
                <w:sz w:val="19"/>
                <w:szCs w:val="19"/>
                <w:color w:val="auto"/>
              </w:rPr>
            </w:pPr>
          </w:p>
        </w:tc>
        <w:tc>
          <w:tcPr>
            <w:tcW w:w="160" w:type="dxa"/>
            <w:vAlign w:val="bottom"/>
            <w:tcBorders>
              <w:top w:val="single" w:sz="8" w:color="auto"/>
              <w:bottom w:val="single" w:sz="8" w:color="auto"/>
            </w:tcBorders>
            <w:gridSpan w:val="3"/>
            <w:shd w:val="clear" w:color="auto" w:fill="CFF0FC"/>
          </w:tcPr>
          <w:p>
            <w:pPr>
              <w:jc w:val="right"/>
              <w:ind w:right="80"/>
              <w:spacing w:after="0"/>
              <w:rPr>
                <w:sz w:val="20"/>
                <w:szCs w:val="20"/>
                <w:color w:val="auto"/>
              </w:rPr>
            </w:pPr>
            <w:r>
              <w:rPr>
                <w:rFonts w:ascii="Arial" w:cs="Arial" w:eastAsia="Arial" w:hAnsi="Arial"/>
                <w:sz w:val="15"/>
                <w:szCs w:val="15"/>
                <w:color w:val="auto"/>
                <w:w w:val="71"/>
              </w:rPr>
              <w:t>$</w:t>
            </w:r>
          </w:p>
        </w:tc>
        <w:tc>
          <w:tcPr>
            <w:tcW w:w="60" w:type="dxa"/>
            <w:vAlign w:val="bottom"/>
            <w:tcBorders>
              <w:top w:val="single" w:sz="8" w:color="auto"/>
              <w:bottom w:val="single" w:sz="8" w:color="auto"/>
            </w:tcBorders>
            <w:shd w:val="clear" w:color="auto" w:fill="CFF0FC"/>
          </w:tcPr>
          <w:p>
            <w:pPr>
              <w:spacing w:after="0"/>
              <w:rPr>
                <w:sz w:val="19"/>
                <w:szCs w:val="19"/>
                <w:color w:val="auto"/>
              </w:rPr>
            </w:pPr>
          </w:p>
        </w:tc>
        <w:tc>
          <w:tcPr>
            <w:tcW w:w="20" w:type="dxa"/>
            <w:vAlign w:val="bottom"/>
            <w:tcBorders>
              <w:top w:val="single" w:sz="8" w:color="auto"/>
              <w:bottom w:val="single" w:sz="8" w:color="auto"/>
            </w:tcBorders>
            <w:shd w:val="clear" w:color="auto" w:fill="CFF0FC"/>
          </w:tcPr>
          <w:p>
            <w:pPr>
              <w:spacing w:after="0"/>
              <w:rPr>
                <w:sz w:val="19"/>
                <w:szCs w:val="19"/>
                <w:color w:val="auto"/>
              </w:rPr>
            </w:pPr>
          </w:p>
        </w:tc>
        <w:tc>
          <w:tcPr>
            <w:tcW w:w="100" w:type="dxa"/>
            <w:vAlign w:val="bottom"/>
            <w:tcBorders>
              <w:top w:val="single" w:sz="8" w:color="auto"/>
              <w:bottom w:val="single" w:sz="8" w:color="auto"/>
            </w:tcBorders>
            <w:shd w:val="clear" w:color="auto" w:fill="CFF0FC"/>
          </w:tcPr>
          <w:p>
            <w:pPr>
              <w:spacing w:after="0"/>
              <w:rPr>
                <w:sz w:val="19"/>
                <w:szCs w:val="19"/>
                <w:color w:val="auto"/>
              </w:rPr>
            </w:pPr>
          </w:p>
        </w:tc>
        <w:tc>
          <w:tcPr>
            <w:tcW w:w="10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0" w:type="dxa"/>
            <w:vAlign w:val="bottom"/>
            <w:tcBorders>
              <w:top w:val="single" w:sz="8" w:color="CFF0FC"/>
              <w:bottom w:val="single" w:sz="8" w:color="CFF0FC"/>
            </w:tcBorders>
            <w:shd w:val="clear" w:color="auto" w:fill="CFF0FC"/>
          </w:tcPr>
          <w:p>
            <w:pPr>
              <w:spacing w:after="0"/>
              <w:rPr>
                <w:sz w:val="19"/>
                <w:szCs w:val="19"/>
                <w:color w:val="auto"/>
              </w:rPr>
            </w:pPr>
          </w:p>
        </w:tc>
        <w:tc>
          <w:tcPr>
            <w:tcW w:w="60" w:type="dxa"/>
            <w:vAlign w:val="bottom"/>
            <w:tcBorders>
              <w:top w:val="single" w:sz="8" w:color="CFF0FC"/>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72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5. BALANCE SHEET COMPONENTS</w:t>
            </w:r>
          </w:p>
        </w:tc>
        <w:tc>
          <w:tcPr>
            <w:tcW w:w="4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45"/>
        </w:trPr>
        <w:tc>
          <w:tcPr>
            <w:tcW w:w="6720" w:type="dxa"/>
            <w:vAlign w:val="bottom"/>
            <w:gridSpan w:val="2"/>
            <w:vMerge w:val="continue"/>
          </w:tcPr>
          <w:p>
            <w:pPr>
              <w:spacing w:after="0"/>
              <w:rPr>
                <w:sz w:val="24"/>
                <w:szCs w:val="24"/>
                <w:color w:val="auto"/>
              </w:rPr>
            </w:pPr>
          </w:p>
        </w:tc>
        <w:tc>
          <w:tcPr>
            <w:tcW w:w="4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6720" w:type="dxa"/>
            <w:vAlign w:val="bottom"/>
            <w:gridSpan w:val="2"/>
          </w:tcPr>
          <w:p>
            <w:pPr>
              <w:spacing w:after="0"/>
              <w:rPr>
                <w:sz w:val="20"/>
                <w:szCs w:val="20"/>
                <w:color w:val="auto"/>
              </w:rPr>
            </w:pPr>
            <w:r>
              <w:rPr>
                <w:rFonts w:ascii="Arial" w:cs="Arial" w:eastAsia="Arial" w:hAnsi="Arial"/>
                <w:sz w:val="18"/>
                <w:szCs w:val="18"/>
                <w:b w:val="1"/>
                <w:bCs w:val="1"/>
                <w:i w:val="1"/>
                <w:iCs w:val="1"/>
                <w:color w:val="auto"/>
              </w:rPr>
              <w:t>Inventory</w:t>
            </w:r>
          </w:p>
        </w:tc>
        <w:tc>
          <w:tcPr>
            <w:tcW w:w="4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6720" w:type="dxa"/>
            <w:vAlign w:val="bottom"/>
            <w:gridSpan w:val="2"/>
          </w:tcPr>
          <w:p>
            <w:pPr>
              <w:spacing w:after="0"/>
              <w:rPr>
                <w:sz w:val="20"/>
                <w:szCs w:val="20"/>
                <w:color w:val="auto"/>
              </w:rPr>
            </w:pPr>
            <w:r>
              <w:rPr>
                <w:rFonts w:ascii="Arial" w:cs="Arial" w:eastAsia="Arial" w:hAnsi="Arial"/>
                <w:sz w:val="18"/>
                <w:szCs w:val="18"/>
                <w:color w:val="auto"/>
              </w:rPr>
              <w:t>Inventory consists of the following:</w:t>
            </w:r>
          </w:p>
        </w:tc>
        <w:tc>
          <w:tcPr>
            <w:tcW w:w="4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1720" w:type="dxa"/>
            <w:vAlign w:val="bottom"/>
          </w:tcPr>
          <w:p>
            <w:pPr>
              <w:spacing w:after="0"/>
              <w:rPr>
                <w:sz w:val="24"/>
                <w:szCs w:val="24"/>
                <w:color w:val="auto"/>
              </w:rPr>
            </w:pPr>
          </w:p>
        </w:tc>
        <w:tc>
          <w:tcPr>
            <w:tcW w:w="50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300" w:type="dxa"/>
            <w:vAlign w:val="bottom"/>
            <w:gridSpan w:val="10"/>
          </w:tcPr>
          <w:p>
            <w:pPr>
              <w:jc w:val="right"/>
              <w:ind w:right="880"/>
              <w:spacing w:after="0"/>
              <w:rPr>
                <w:sz w:val="20"/>
                <w:szCs w:val="20"/>
                <w:color w:val="auto"/>
              </w:rPr>
            </w:pPr>
            <w:r>
              <w:rPr>
                <w:rFonts w:ascii="Arial" w:cs="Arial" w:eastAsia="Arial" w:hAnsi="Arial"/>
                <w:sz w:val="14"/>
                <w:szCs w:val="14"/>
                <w:b w:val="1"/>
                <w:bCs w:val="1"/>
                <w:color w:val="auto"/>
              </w:rPr>
              <w:t>December 31,</w:t>
            </w:r>
          </w:p>
        </w:tc>
        <w:tc>
          <w:tcPr>
            <w:tcW w:w="0" w:type="dxa"/>
            <w:vAlign w:val="bottom"/>
          </w:tcPr>
          <w:p>
            <w:pPr>
              <w:spacing w:after="0"/>
              <w:rPr>
                <w:sz w:val="1"/>
                <w:szCs w:val="1"/>
                <w:color w:val="auto"/>
              </w:rPr>
            </w:pPr>
          </w:p>
        </w:tc>
      </w:tr>
      <w:tr>
        <w:trPr>
          <w:trHeight w:val="156"/>
        </w:trPr>
        <w:tc>
          <w:tcPr>
            <w:tcW w:w="1720" w:type="dxa"/>
            <w:vAlign w:val="bottom"/>
          </w:tcPr>
          <w:p>
            <w:pPr>
              <w:spacing w:after="0"/>
              <w:rPr>
                <w:sz w:val="13"/>
                <w:szCs w:val="13"/>
                <w:color w:val="auto"/>
              </w:rPr>
            </w:pPr>
          </w:p>
        </w:tc>
        <w:tc>
          <w:tcPr>
            <w:tcW w:w="5000" w:type="dxa"/>
            <w:vAlign w:val="bottom"/>
            <w:tcBorders>
              <w:bottom w:val="single" w:sz="8" w:color="CFF0FC"/>
            </w:tcBorders>
          </w:tcPr>
          <w:p>
            <w:pPr>
              <w:spacing w:after="0"/>
              <w:rPr>
                <w:sz w:val="13"/>
                <w:szCs w:val="13"/>
                <w:color w:val="auto"/>
              </w:rPr>
            </w:pPr>
          </w:p>
        </w:tc>
        <w:tc>
          <w:tcPr>
            <w:tcW w:w="420" w:type="dxa"/>
            <w:vAlign w:val="bottom"/>
            <w:tcBorders>
              <w:bottom w:val="single" w:sz="8" w:color="CFF0FC"/>
            </w:tcBorders>
          </w:tcPr>
          <w:p>
            <w:pPr>
              <w:spacing w:after="0"/>
              <w:rPr>
                <w:sz w:val="13"/>
                <w:szCs w:val="13"/>
                <w:color w:val="auto"/>
              </w:rPr>
            </w:pPr>
          </w:p>
        </w:tc>
        <w:tc>
          <w:tcPr>
            <w:tcW w:w="20" w:type="dxa"/>
            <w:vAlign w:val="bottom"/>
            <w:tcBorders>
              <w:bottom w:val="single" w:sz="8" w:color="CFF0FC"/>
            </w:tcBorders>
          </w:tcPr>
          <w:p>
            <w:pPr>
              <w:spacing w:after="0"/>
              <w:rPr>
                <w:sz w:val="13"/>
                <w:szCs w:val="13"/>
                <w:color w:val="auto"/>
              </w:rPr>
            </w:pPr>
          </w:p>
        </w:tc>
        <w:tc>
          <w:tcPr>
            <w:tcW w:w="240" w:type="dxa"/>
            <w:vAlign w:val="bottom"/>
            <w:tcBorders>
              <w:top w:val="single" w:sz="8" w:color="auto"/>
              <w:bottom w:val="single" w:sz="8" w:color="auto"/>
            </w:tcBorders>
          </w:tcPr>
          <w:p>
            <w:pPr>
              <w:spacing w:after="0"/>
              <w:rPr>
                <w:sz w:val="13"/>
                <w:szCs w:val="13"/>
                <w:color w:val="auto"/>
              </w:rPr>
            </w:pPr>
          </w:p>
        </w:tc>
        <w:tc>
          <w:tcPr>
            <w:tcW w:w="860" w:type="dxa"/>
            <w:vAlign w:val="bottom"/>
            <w:tcBorders>
              <w:top w:val="single" w:sz="8" w:color="auto"/>
              <w:bottom w:val="single" w:sz="8" w:color="auto"/>
            </w:tcBorders>
          </w:tcPr>
          <w:p>
            <w:pPr>
              <w:jc w:val="right"/>
              <w:ind w:right="295"/>
              <w:spacing w:after="0" w:line="155" w:lineRule="exact"/>
              <w:rPr>
                <w:sz w:val="20"/>
                <w:szCs w:val="20"/>
                <w:color w:val="auto"/>
              </w:rPr>
            </w:pPr>
            <w:r>
              <w:rPr>
                <w:rFonts w:ascii="Arial" w:cs="Arial" w:eastAsia="Arial" w:hAnsi="Arial"/>
                <w:sz w:val="14"/>
                <w:szCs w:val="14"/>
                <w:b w:val="1"/>
                <w:bCs w:val="1"/>
                <w:color w:val="auto"/>
              </w:rPr>
              <w:t>2017</w:t>
            </w:r>
          </w:p>
        </w:tc>
        <w:tc>
          <w:tcPr>
            <w:tcW w:w="20" w:type="dxa"/>
            <w:vAlign w:val="bottom"/>
            <w:tcBorders>
              <w:top w:val="single" w:sz="8" w:color="auto"/>
              <w:bottom w:val="single" w:sz="8" w:color="auto"/>
            </w:tcBorders>
          </w:tcPr>
          <w:p>
            <w:pPr>
              <w:spacing w:after="0"/>
              <w:rPr>
                <w:sz w:val="13"/>
                <w:szCs w:val="13"/>
                <w:color w:val="auto"/>
              </w:rPr>
            </w:pPr>
          </w:p>
        </w:tc>
        <w:tc>
          <w:tcPr>
            <w:tcW w:w="20" w:type="dxa"/>
            <w:vAlign w:val="bottom"/>
            <w:tcBorders>
              <w:top w:val="single" w:sz="8" w:color="auto"/>
              <w:bottom w:val="single" w:sz="8" w:color="auto"/>
            </w:tcBorders>
          </w:tcPr>
          <w:p>
            <w:pPr>
              <w:spacing w:after="0"/>
              <w:rPr>
                <w:sz w:val="13"/>
                <w:szCs w:val="13"/>
                <w:color w:val="auto"/>
              </w:rPr>
            </w:pPr>
          </w:p>
        </w:tc>
        <w:tc>
          <w:tcPr>
            <w:tcW w:w="120" w:type="dxa"/>
            <w:vAlign w:val="bottom"/>
            <w:tcBorders>
              <w:top w:val="single" w:sz="8" w:color="auto"/>
              <w:bottom w:val="single" w:sz="8" w:color="CFF0FC"/>
            </w:tcBorders>
          </w:tcPr>
          <w:p>
            <w:pPr>
              <w:spacing w:after="0"/>
              <w:rPr>
                <w:sz w:val="13"/>
                <w:szCs w:val="13"/>
                <w:color w:val="auto"/>
              </w:rPr>
            </w:pPr>
          </w:p>
        </w:tc>
        <w:tc>
          <w:tcPr>
            <w:tcW w:w="60" w:type="dxa"/>
            <w:vAlign w:val="bottom"/>
            <w:tcBorders>
              <w:top w:val="single" w:sz="8" w:color="auto"/>
              <w:bottom w:val="single" w:sz="8" w:color="CFF0FC"/>
            </w:tcBorders>
          </w:tcPr>
          <w:p>
            <w:pPr>
              <w:spacing w:after="0"/>
              <w:rPr>
                <w:sz w:val="13"/>
                <w:szCs w:val="13"/>
                <w:color w:val="auto"/>
              </w:rPr>
            </w:pPr>
          </w:p>
        </w:tc>
        <w:tc>
          <w:tcPr>
            <w:tcW w:w="20" w:type="dxa"/>
            <w:vAlign w:val="bottom"/>
            <w:tcBorders>
              <w:top w:val="single" w:sz="8" w:color="auto"/>
              <w:bottom w:val="single" w:sz="8" w:color="CFF0FC"/>
            </w:tcBorders>
          </w:tcPr>
          <w:p>
            <w:pPr>
              <w:spacing w:after="0"/>
              <w:rPr>
                <w:sz w:val="13"/>
                <w:szCs w:val="13"/>
                <w:color w:val="auto"/>
              </w:rPr>
            </w:pPr>
          </w:p>
        </w:tc>
        <w:tc>
          <w:tcPr>
            <w:tcW w:w="100" w:type="dxa"/>
            <w:vAlign w:val="bottom"/>
            <w:tcBorders>
              <w:top w:val="single" w:sz="8" w:color="auto"/>
              <w:bottom w:val="single" w:sz="8" w:color="auto"/>
            </w:tcBorders>
          </w:tcPr>
          <w:p>
            <w:pPr>
              <w:spacing w:after="0"/>
              <w:rPr>
                <w:sz w:val="13"/>
                <w:szCs w:val="13"/>
                <w:color w:val="auto"/>
              </w:rPr>
            </w:pPr>
          </w:p>
        </w:tc>
        <w:tc>
          <w:tcPr>
            <w:tcW w:w="1020" w:type="dxa"/>
            <w:vAlign w:val="bottom"/>
            <w:tcBorders>
              <w:top w:val="single" w:sz="8" w:color="auto"/>
              <w:bottom w:val="single" w:sz="8" w:color="auto"/>
            </w:tcBorders>
          </w:tcPr>
          <w:p>
            <w:pPr>
              <w:jc w:val="right"/>
              <w:ind w:right="335"/>
              <w:spacing w:after="0" w:line="155" w:lineRule="exact"/>
              <w:rPr>
                <w:sz w:val="20"/>
                <w:szCs w:val="20"/>
                <w:color w:val="auto"/>
              </w:rPr>
            </w:pPr>
            <w:r>
              <w:rPr>
                <w:rFonts w:ascii="Arial" w:cs="Arial" w:eastAsia="Arial" w:hAnsi="Arial"/>
                <w:sz w:val="14"/>
                <w:szCs w:val="14"/>
                <w:b w:val="1"/>
                <w:bCs w:val="1"/>
                <w:color w:val="auto"/>
              </w:rPr>
              <w:t>2016</w:t>
            </w:r>
          </w:p>
        </w:tc>
        <w:tc>
          <w:tcPr>
            <w:tcW w:w="20" w:type="dxa"/>
            <w:vAlign w:val="bottom"/>
            <w:tcBorders>
              <w:top w:val="single" w:sz="8" w:color="auto"/>
              <w:bottom w:val="single" w:sz="8" w:color="auto"/>
            </w:tcBorders>
          </w:tcPr>
          <w:p>
            <w:pPr>
              <w:spacing w:after="0"/>
              <w:rPr>
                <w:sz w:val="13"/>
                <w:szCs w:val="13"/>
                <w:color w:val="auto"/>
              </w:rPr>
            </w:pPr>
          </w:p>
        </w:tc>
        <w:tc>
          <w:tcPr>
            <w:tcW w:w="60" w:type="dxa"/>
            <w:vAlign w:val="bottom"/>
            <w:tcBorders>
              <w:bottom w:val="single" w:sz="8" w:color="CFF0FC"/>
            </w:tcBorders>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1720" w:type="dxa"/>
            <w:vAlign w:val="bottom"/>
          </w:tcPr>
          <w:p>
            <w:pPr>
              <w:spacing w:after="0"/>
              <w:rPr>
                <w:sz w:val="19"/>
                <w:szCs w:val="19"/>
                <w:color w:val="auto"/>
              </w:rPr>
            </w:pPr>
          </w:p>
        </w:tc>
        <w:tc>
          <w:tcPr>
            <w:tcW w:w="5000" w:type="dxa"/>
            <w:vAlign w:val="bottom"/>
            <w:shd w:val="clear" w:color="auto" w:fill="CFF0FC"/>
          </w:tcPr>
          <w:p>
            <w:pPr>
              <w:spacing w:after="0"/>
              <w:rPr>
                <w:sz w:val="20"/>
                <w:szCs w:val="20"/>
                <w:color w:val="auto"/>
              </w:rPr>
            </w:pPr>
            <w:r>
              <w:rPr>
                <w:rFonts w:ascii="Arial" w:cs="Arial" w:eastAsia="Arial" w:hAnsi="Arial"/>
                <w:sz w:val="18"/>
                <w:szCs w:val="18"/>
                <w:color w:val="auto"/>
              </w:rPr>
              <w:t>Finished goods</w:t>
            </w:r>
          </w:p>
        </w:tc>
        <w:tc>
          <w:tcPr>
            <w:tcW w:w="42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4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w w:val="79"/>
              </w:rPr>
              <w:t>$</w:t>
            </w:r>
          </w:p>
        </w:tc>
        <w:tc>
          <w:tcPr>
            <w:tcW w:w="900" w:type="dxa"/>
            <w:vAlign w:val="bottom"/>
            <w:gridSpan w:val="3"/>
            <w:shd w:val="clear" w:color="auto" w:fill="CFF0FC"/>
          </w:tcPr>
          <w:p>
            <w:pPr>
              <w:jc w:val="right"/>
              <w:ind w:right="20"/>
              <w:spacing w:after="0"/>
              <w:rPr>
                <w:sz w:val="20"/>
                <w:szCs w:val="20"/>
                <w:color w:val="auto"/>
              </w:rPr>
            </w:pPr>
            <w:r>
              <w:rPr>
                <w:rFonts w:ascii="Arial" w:cs="Arial" w:eastAsia="Arial" w:hAnsi="Arial"/>
                <w:sz w:val="18"/>
                <w:szCs w:val="18"/>
                <w:color w:val="auto"/>
              </w:rPr>
              <w:t>2,761</w:t>
            </w:r>
          </w:p>
        </w:tc>
        <w:tc>
          <w:tcPr>
            <w:tcW w:w="12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0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2,580</w:t>
            </w:r>
          </w:p>
        </w:tc>
        <w:tc>
          <w:tcPr>
            <w:tcW w:w="6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720" w:type="dxa"/>
            <w:vAlign w:val="bottom"/>
          </w:tcPr>
          <w:p>
            <w:pPr>
              <w:spacing w:after="0"/>
              <w:rPr>
                <w:sz w:val="19"/>
                <w:szCs w:val="19"/>
                <w:color w:val="auto"/>
              </w:rPr>
            </w:pPr>
          </w:p>
        </w:tc>
        <w:tc>
          <w:tcPr>
            <w:tcW w:w="5000" w:type="dxa"/>
            <w:vAlign w:val="bottom"/>
          </w:tcPr>
          <w:p>
            <w:pPr>
              <w:spacing w:after="0"/>
              <w:rPr>
                <w:sz w:val="20"/>
                <w:szCs w:val="20"/>
                <w:color w:val="auto"/>
              </w:rPr>
            </w:pPr>
            <w:r>
              <w:rPr>
                <w:rFonts w:ascii="Arial" w:cs="Arial" w:eastAsia="Arial" w:hAnsi="Arial"/>
                <w:sz w:val="18"/>
                <w:szCs w:val="18"/>
                <w:color w:val="auto"/>
              </w:rPr>
              <w:t>Raw materials</w:t>
            </w:r>
          </w:p>
        </w:tc>
        <w:tc>
          <w:tcPr>
            <w:tcW w:w="4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20" w:type="dxa"/>
            <w:vAlign w:val="bottom"/>
            <w:gridSpan w:val="4"/>
          </w:tcPr>
          <w:p>
            <w:pPr>
              <w:jc w:val="right"/>
              <w:ind w:right="14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40" w:type="dxa"/>
            <w:vAlign w:val="bottom"/>
            <w:gridSpan w:val="2"/>
          </w:tcPr>
          <w:p>
            <w:pPr>
              <w:jc w:val="right"/>
              <w:ind w:right="20"/>
              <w:spacing w:after="0"/>
              <w:rPr>
                <w:sz w:val="20"/>
                <w:szCs w:val="20"/>
                <w:color w:val="auto"/>
              </w:rPr>
            </w:pPr>
            <w:r>
              <w:rPr>
                <w:rFonts w:ascii="Arial" w:cs="Arial" w:eastAsia="Arial" w:hAnsi="Arial"/>
                <w:sz w:val="18"/>
                <w:szCs w:val="18"/>
                <w:color w:val="auto"/>
              </w:rPr>
              <w:t>162</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1720" w:type="dxa"/>
            <w:vAlign w:val="bottom"/>
          </w:tcPr>
          <w:p>
            <w:pPr>
              <w:spacing w:after="0"/>
              <w:rPr>
                <w:sz w:val="19"/>
                <w:szCs w:val="19"/>
                <w:color w:val="auto"/>
              </w:rPr>
            </w:pPr>
          </w:p>
        </w:tc>
        <w:tc>
          <w:tcPr>
            <w:tcW w:w="5000" w:type="dxa"/>
            <w:vAlign w:val="bottom"/>
            <w:tcBorders>
              <w:top w:val="single" w:sz="8" w:color="CFF0FC"/>
              <w:bottom w:val="single" w:sz="8" w:color="CFF0FC"/>
            </w:tcBorders>
            <w:shd w:val="clear" w:color="auto" w:fill="CFF0FC"/>
          </w:tcPr>
          <w:p>
            <w:pPr>
              <w:ind w:left="120"/>
              <w:spacing w:after="0"/>
              <w:rPr>
                <w:sz w:val="20"/>
                <w:szCs w:val="20"/>
                <w:color w:val="auto"/>
              </w:rPr>
            </w:pPr>
            <w:r>
              <w:rPr>
                <w:rFonts w:ascii="Arial" w:cs="Arial" w:eastAsia="Arial" w:hAnsi="Arial"/>
                <w:sz w:val="18"/>
                <w:szCs w:val="18"/>
                <w:color w:val="auto"/>
              </w:rPr>
              <w:t>Total inventory</w:t>
            </w:r>
          </w:p>
        </w:tc>
        <w:tc>
          <w:tcPr>
            <w:tcW w:w="420" w:type="dxa"/>
            <w:vAlign w:val="bottom"/>
            <w:tcBorders>
              <w:top w:val="single" w:sz="8" w:color="CFF0FC"/>
              <w:bottom w:val="single" w:sz="8" w:color="CFF0FC"/>
            </w:tcBorders>
            <w:shd w:val="clear" w:color="auto" w:fill="CFF0FC"/>
          </w:tcPr>
          <w:p>
            <w:pPr>
              <w:spacing w:after="0"/>
              <w:rPr>
                <w:sz w:val="19"/>
                <w:szCs w:val="19"/>
                <w:color w:val="auto"/>
              </w:rPr>
            </w:pPr>
          </w:p>
        </w:tc>
        <w:tc>
          <w:tcPr>
            <w:tcW w:w="20" w:type="dxa"/>
            <w:vAlign w:val="bottom"/>
            <w:tcBorders>
              <w:top w:val="single" w:sz="8" w:color="CFF0FC"/>
              <w:bottom w:val="single" w:sz="8" w:color="CFF0FC"/>
            </w:tcBorders>
            <w:shd w:val="clear" w:color="auto" w:fill="CFF0FC"/>
          </w:tcPr>
          <w:p>
            <w:pPr>
              <w:spacing w:after="0"/>
              <w:rPr>
                <w:sz w:val="19"/>
                <w:szCs w:val="19"/>
                <w:color w:val="auto"/>
              </w:rPr>
            </w:pPr>
          </w:p>
        </w:tc>
        <w:tc>
          <w:tcPr>
            <w:tcW w:w="240" w:type="dxa"/>
            <w:vAlign w:val="bottom"/>
            <w:tcBorders>
              <w:top w:val="single" w:sz="8" w:color="auto"/>
              <w:bottom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color w:val="auto"/>
                <w:w w:val="79"/>
              </w:rPr>
              <w:t>$</w:t>
            </w:r>
          </w:p>
        </w:tc>
        <w:tc>
          <w:tcPr>
            <w:tcW w:w="900" w:type="dxa"/>
            <w:vAlign w:val="bottom"/>
            <w:tcBorders>
              <w:top w:val="single" w:sz="8" w:color="auto"/>
              <w:bottom w:val="single" w:sz="8" w:color="auto"/>
            </w:tcBorders>
            <w:gridSpan w:val="3"/>
            <w:shd w:val="clear" w:color="auto" w:fill="CFF0FC"/>
          </w:tcPr>
          <w:p>
            <w:pPr>
              <w:jc w:val="right"/>
              <w:ind w:right="20"/>
              <w:spacing w:after="0"/>
              <w:rPr>
                <w:sz w:val="20"/>
                <w:szCs w:val="20"/>
                <w:color w:val="auto"/>
              </w:rPr>
            </w:pPr>
            <w:r>
              <w:rPr>
                <w:rFonts w:ascii="Arial" w:cs="Arial" w:eastAsia="Arial" w:hAnsi="Arial"/>
                <w:sz w:val="18"/>
                <w:szCs w:val="18"/>
                <w:color w:val="auto"/>
              </w:rPr>
              <w:t>2,761</w:t>
            </w:r>
          </w:p>
        </w:tc>
        <w:tc>
          <w:tcPr>
            <w:tcW w:w="120" w:type="dxa"/>
            <w:vAlign w:val="bottom"/>
            <w:tcBorders>
              <w:top w:val="single" w:sz="8" w:color="CFF0FC"/>
              <w:bottom w:val="single" w:sz="8" w:color="CFF0FC"/>
            </w:tcBorders>
            <w:shd w:val="clear" w:color="auto" w:fill="CFF0FC"/>
          </w:tcPr>
          <w:p>
            <w:pPr>
              <w:spacing w:after="0"/>
              <w:rPr>
                <w:sz w:val="19"/>
                <w:szCs w:val="19"/>
                <w:color w:val="auto"/>
              </w:rPr>
            </w:pPr>
          </w:p>
        </w:tc>
        <w:tc>
          <w:tcPr>
            <w:tcW w:w="60" w:type="dxa"/>
            <w:vAlign w:val="bottom"/>
            <w:tcBorders>
              <w:top w:val="single" w:sz="8" w:color="CFF0FC"/>
              <w:bottom w:val="single" w:sz="8" w:color="CFF0FC"/>
            </w:tcBorders>
            <w:shd w:val="clear" w:color="auto" w:fill="CFF0FC"/>
          </w:tcPr>
          <w:p>
            <w:pPr>
              <w:spacing w:after="0"/>
              <w:rPr>
                <w:sz w:val="19"/>
                <w:szCs w:val="19"/>
                <w:color w:val="auto"/>
              </w:rPr>
            </w:pPr>
          </w:p>
        </w:tc>
        <w:tc>
          <w:tcPr>
            <w:tcW w:w="20" w:type="dxa"/>
            <w:vAlign w:val="bottom"/>
            <w:tcBorders>
              <w:top w:val="single" w:sz="8" w:color="CFF0FC"/>
              <w:bottom w:val="single" w:sz="8" w:color="CFF0FC"/>
            </w:tcBorders>
            <w:shd w:val="clear" w:color="auto" w:fill="CFF0FC"/>
          </w:tcPr>
          <w:p>
            <w:pPr>
              <w:spacing w:after="0"/>
              <w:rPr>
                <w:sz w:val="19"/>
                <w:szCs w:val="19"/>
                <w:color w:val="auto"/>
              </w:rPr>
            </w:pPr>
          </w:p>
        </w:tc>
        <w:tc>
          <w:tcPr>
            <w:tcW w:w="1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bottom w:val="single" w:sz="8" w:color="auto"/>
            </w:tcBorders>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2,742</w:t>
            </w:r>
          </w:p>
        </w:tc>
        <w:tc>
          <w:tcPr>
            <w:tcW w:w="60" w:type="dxa"/>
            <w:vAlign w:val="bottom"/>
            <w:tcBorders>
              <w:top w:val="single" w:sz="8" w:color="CFF0FC"/>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720" w:type="dxa"/>
            <w:vAlign w:val="bottom"/>
            <w:gridSpan w:val="2"/>
            <w:vMerge w:val="restart"/>
          </w:tcPr>
          <w:p>
            <w:pPr>
              <w:spacing w:after="0"/>
              <w:rPr>
                <w:sz w:val="20"/>
                <w:szCs w:val="20"/>
                <w:color w:val="auto"/>
              </w:rPr>
            </w:pPr>
            <w:r>
              <w:rPr>
                <w:rFonts w:ascii="Arial" w:cs="Arial" w:eastAsia="Arial" w:hAnsi="Arial"/>
                <w:sz w:val="18"/>
                <w:szCs w:val="18"/>
                <w:b w:val="1"/>
                <w:bCs w:val="1"/>
                <w:i w:val="1"/>
                <w:iCs w:val="1"/>
                <w:color w:val="auto"/>
              </w:rPr>
              <w:t>Property and Equipment, Net</w:t>
            </w:r>
          </w:p>
        </w:tc>
        <w:tc>
          <w:tcPr>
            <w:tcW w:w="4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45"/>
        </w:trPr>
        <w:tc>
          <w:tcPr>
            <w:tcW w:w="6720" w:type="dxa"/>
            <w:vAlign w:val="bottom"/>
            <w:gridSpan w:val="2"/>
            <w:vMerge w:val="continue"/>
          </w:tcPr>
          <w:p>
            <w:pPr>
              <w:spacing w:after="0"/>
              <w:rPr>
                <w:sz w:val="24"/>
                <w:szCs w:val="24"/>
                <w:color w:val="auto"/>
              </w:rPr>
            </w:pPr>
          </w:p>
        </w:tc>
        <w:tc>
          <w:tcPr>
            <w:tcW w:w="4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6720" w:type="dxa"/>
            <w:vAlign w:val="bottom"/>
            <w:gridSpan w:val="2"/>
          </w:tcPr>
          <w:p>
            <w:pPr>
              <w:spacing w:after="0"/>
              <w:rPr>
                <w:sz w:val="20"/>
                <w:szCs w:val="20"/>
                <w:color w:val="auto"/>
              </w:rPr>
            </w:pPr>
            <w:r>
              <w:rPr>
                <w:rFonts w:ascii="Arial" w:cs="Arial" w:eastAsia="Arial" w:hAnsi="Arial"/>
                <w:sz w:val="18"/>
                <w:szCs w:val="18"/>
                <w:color w:val="auto"/>
              </w:rPr>
              <w:t>Property and equipment, net consist of the following:</w:t>
            </w:r>
          </w:p>
        </w:tc>
        <w:tc>
          <w:tcPr>
            <w:tcW w:w="4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1720" w:type="dxa"/>
            <w:vAlign w:val="bottom"/>
          </w:tcPr>
          <w:p>
            <w:pPr>
              <w:spacing w:after="0"/>
              <w:rPr>
                <w:sz w:val="24"/>
                <w:szCs w:val="24"/>
                <w:color w:val="auto"/>
              </w:rPr>
            </w:pPr>
          </w:p>
        </w:tc>
        <w:tc>
          <w:tcPr>
            <w:tcW w:w="50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300" w:type="dxa"/>
            <w:vAlign w:val="bottom"/>
            <w:gridSpan w:val="10"/>
          </w:tcPr>
          <w:p>
            <w:pPr>
              <w:jc w:val="right"/>
              <w:ind w:right="900"/>
              <w:spacing w:after="0"/>
              <w:rPr>
                <w:sz w:val="20"/>
                <w:szCs w:val="20"/>
                <w:color w:val="auto"/>
              </w:rPr>
            </w:pPr>
            <w:r>
              <w:rPr>
                <w:rFonts w:ascii="Arial" w:cs="Arial" w:eastAsia="Arial" w:hAnsi="Arial"/>
                <w:sz w:val="14"/>
                <w:szCs w:val="14"/>
                <w:b w:val="1"/>
                <w:bCs w:val="1"/>
                <w:color w:val="auto"/>
              </w:rPr>
              <w:t>December 31,</w:t>
            </w:r>
          </w:p>
        </w:tc>
        <w:tc>
          <w:tcPr>
            <w:tcW w:w="0" w:type="dxa"/>
            <w:vAlign w:val="bottom"/>
          </w:tcPr>
          <w:p>
            <w:pPr>
              <w:spacing w:after="0"/>
              <w:rPr>
                <w:sz w:val="1"/>
                <w:szCs w:val="1"/>
                <w:color w:val="auto"/>
              </w:rPr>
            </w:pPr>
          </w:p>
        </w:tc>
      </w:tr>
      <w:tr>
        <w:trPr>
          <w:trHeight w:val="156"/>
        </w:trPr>
        <w:tc>
          <w:tcPr>
            <w:tcW w:w="1720" w:type="dxa"/>
            <w:vAlign w:val="bottom"/>
          </w:tcPr>
          <w:p>
            <w:pPr>
              <w:spacing w:after="0"/>
              <w:rPr>
                <w:sz w:val="13"/>
                <w:szCs w:val="13"/>
                <w:color w:val="auto"/>
              </w:rPr>
            </w:pPr>
          </w:p>
        </w:tc>
        <w:tc>
          <w:tcPr>
            <w:tcW w:w="5000" w:type="dxa"/>
            <w:vAlign w:val="bottom"/>
            <w:tcBorders>
              <w:bottom w:val="single" w:sz="8" w:color="CFF0FC"/>
            </w:tcBorders>
          </w:tcPr>
          <w:p>
            <w:pPr>
              <w:spacing w:after="0"/>
              <w:rPr>
                <w:sz w:val="13"/>
                <w:szCs w:val="13"/>
                <w:color w:val="auto"/>
              </w:rPr>
            </w:pPr>
          </w:p>
        </w:tc>
        <w:tc>
          <w:tcPr>
            <w:tcW w:w="420" w:type="dxa"/>
            <w:vAlign w:val="bottom"/>
            <w:tcBorders>
              <w:bottom w:val="single" w:sz="8" w:color="CFF0FC"/>
            </w:tcBorders>
          </w:tcPr>
          <w:p>
            <w:pPr>
              <w:spacing w:after="0"/>
              <w:rPr>
                <w:sz w:val="13"/>
                <w:szCs w:val="13"/>
                <w:color w:val="auto"/>
              </w:rPr>
            </w:pPr>
          </w:p>
        </w:tc>
        <w:tc>
          <w:tcPr>
            <w:tcW w:w="20" w:type="dxa"/>
            <w:vAlign w:val="bottom"/>
            <w:tcBorders>
              <w:top w:val="single" w:sz="8" w:color="auto"/>
              <w:bottom w:val="single" w:sz="8" w:color="auto"/>
            </w:tcBorders>
          </w:tcPr>
          <w:p>
            <w:pPr>
              <w:spacing w:after="0"/>
              <w:rPr>
                <w:sz w:val="13"/>
                <w:szCs w:val="13"/>
                <w:color w:val="auto"/>
              </w:rPr>
            </w:pPr>
          </w:p>
        </w:tc>
        <w:tc>
          <w:tcPr>
            <w:tcW w:w="240" w:type="dxa"/>
            <w:vAlign w:val="bottom"/>
            <w:tcBorders>
              <w:top w:val="single" w:sz="8" w:color="auto"/>
              <w:bottom w:val="single" w:sz="8" w:color="auto"/>
            </w:tcBorders>
          </w:tcPr>
          <w:p>
            <w:pPr>
              <w:spacing w:after="0"/>
              <w:rPr>
                <w:sz w:val="13"/>
                <w:szCs w:val="13"/>
                <w:color w:val="auto"/>
              </w:rPr>
            </w:pPr>
          </w:p>
        </w:tc>
        <w:tc>
          <w:tcPr>
            <w:tcW w:w="860" w:type="dxa"/>
            <w:vAlign w:val="bottom"/>
            <w:tcBorders>
              <w:top w:val="single" w:sz="8" w:color="auto"/>
              <w:bottom w:val="single" w:sz="8" w:color="auto"/>
            </w:tcBorders>
          </w:tcPr>
          <w:p>
            <w:pPr>
              <w:jc w:val="right"/>
              <w:ind w:right="335"/>
              <w:spacing w:after="0" w:line="155" w:lineRule="exact"/>
              <w:rPr>
                <w:sz w:val="20"/>
                <w:szCs w:val="20"/>
                <w:color w:val="auto"/>
              </w:rPr>
            </w:pPr>
            <w:r>
              <w:rPr>
                <w:rFonts w:ascii="Arial" w:cs="Arial" w:eastAsia="Arial" w:hAnsi="Arial"/>
                <w:sz w:val="14"/>
                <w:szCs w:val="14"/>
                <w:b w:val="1"/>
                <w:bCs w:val="1"/>
                <w:color w:val="auto"/>
              </w:rPr>
              <w:t>2017</w:t>
            </w:r>
          </w:p>
        </w:tc>
        <w:tc>
          <w:tcPr>
            <w:tcW w:w="20" w:type="dxa"/>
            <w:vAlign w:val="bottom"/>
            <w:tcBorders>
              <w:top w:val="single" w:sz="8" w:color="auto"/>
              <w:bottom w:val="single" w:sz="8" w:color="auto"/>
            </w:tcBorders>
          </w:tcPr>
          <w:p>
            <w:pPr>
              <w:spacing w:after="0"/>
              <w:rPr>
                <w:sz w:val="13"/>
                <w:szCs w:val="13"/>
                <w:color w:val="auto"/>
              </w:rPr>
            </w:pPr>
          </w:p>
        </w:tc>
        <w:tc>
          <w:tcPr>
            <w:tcW w:w="20" w:type="dxa"/>
            <w:vAlign w:val="bottom"/>
            <w:tcBorders>
              <w:top w:val="single" w:sz="8" w:color="auto"/>
              <w:bottom w:val="single" w:sz="8" w:color="CFF0FC"/>
            </w:tcBorders>
          </w:tcPr>
          <w:p>
            <w:pPr>
              <w:spacing w:after="0"/>
              <w:rPr>
                <w:sz w:val="13"/>
                <w:szCs w:val="13"/>
                <w:color w:val="auto"/>
              </w:rPr>
            </w:pPr>
          </w:p>
        </w:tc>
        <w:tc>
          <w:tcPr>
            <w:tcW w:w="120" w:type="dxa"/>
            <w:vAlign w:val="bottom"/>
            <w:tcBorders>
              <w:top w:val="single" w:sz="8" w:color="auto"/>
              <w:bottom w:val="single" w:sz="8" w:color="CFF0FC"/>
            </w:tcBorders>
          </w:tcPr>
          <w:p>
            <w:pPr>
              <w:spacing w:after="0"/>
              <w:rPr>
                <w:sz w:val="13"/>
                <w:szCs w:val="13"/>
                <w:color w:val="auto"/>
              </w:rPr>
            </w:pPr>
          </w:p>
        </w:tc>
        <w:tc>
          <w:tcPr>
            <w:tcW w:w="60" w:type="dxa"/>
            <w:vAlign w:val="bottom"/>
            <w:tcBorders>
              <w:top w:val="single" w:sz="8" w:color="auto"/>
              <w:bottom w:val="single" w:sz="8" w:color="CFF0FC"/>
            </w:tcBorders>
          </w:tcPr>
          <w:p>
            <w:pPr>
              <w:spacing w:after="0"/>
              <w:rPr>
                <w:sz w:val="13"/>
                <w:szCs w:val="13"/>
                <w:color w:val="auto"/>
              </w:rPr>
            </w:pPr>
          </w:p>
        </w:tc>
        <w:tc>
          <w:tcPr>
            <w:tcW w:w="20" w:type="dxa"/>
            <w:vAlign w:val="bottom"/>
            <w:tcBorders>
              <w:top w:val="single" w:sz="8" w:color="auto"/>
              <w:bottom w:val="single" w:sz="8" w:color="auto"/>
            </w:tcBorders>
          </w:tcPr>
          <w:p>
            <w:pPr>
              <w:spacing w:after="0"/>
              <w:rPr>
                <w:sz w:val="13"/>
                <w:szCs w:val="13"/>
                <w:color w:val="auto"/>
              </w:rPr>
            </w:pPr>
          </w:p>
        </w:tc>
        <w:tc>
          <w:tcPr>
            <w:tcW w:w="100" w:type="dxa"/>
            <w:vAlign w:val="bottom"/>
            <w:tcBorders>
              <w:top w:val="single" w:sz="8" w:color="auto"/>
              <w:bottom w:val="single" w:sz="8" w:color="auto"/>
            </w:tcBorders>
          </w:tcPr>
          <w:p>
            <w:pPr>
              <w:spacing w:after="0"/>
              <w:rPr>
                <w:sz w:val="13"/>
                <w:szCs w:val="13"/>
                <w:color w:val="auto"/>
              </w:rPr>
            </w:pPr>
          </w:p>
        </w:tc>
        <w:tc>
          <w:tcPr>
            <w:tcW w:w="1020" w:type="dxa"/>
            <w:vAlign w:val="bottom"/>
            <w:tcBorders>
              <w:top w:val="single" w:sz="8" w:color="auto"/>
              <w:bottom w:val="single" w:sz="8" w:color="auto"/>
            </w:tcBorders>
          </w:tcPr>
          <w:p>
            <w:pPr>
              <w:jc w:val="right"/>
              <w:ind w:right="335"/>
              <w:spacing w:after="0" w:line="155" w:lineRule="exact"/>
              <w:rPr>
                <w:sz w:val="20"/>
                <w:szCs w:val="20"/>
                <w:color w:val="auto"/>
              </w:rPr>
            </w:pPr>
            <w:r>
              <w:rPr>
                <w:rFonts w:ascii="Arial" w:cs="Arial" w:eastAsia="Arial" w:hAnsi="Arial"/>
                <w:sz w:val="14"/>
                <w:szCs w:val="14"/>
                <w:b w:val="1"/>
                <w:bCs w:val="1"/>
                <w:color w:val="auto"/>
              </w:rPr>
              <w:t>2016</w:t>
            </w:r>
          </w:p>
        </w:tc>
        <w:tc>
          <w:tcPr>
            <w:tcW w:w="20" w:type="dxa"/>
            <w:vAlign w:val="bottom"/>
            <w:tcBorders>
              <w:bottom w:val="single" w:sz="8" w:color="CFF0FC"/>
            </w:tcBorders>
          </w:tcPr>
          <w:p>
            <w:pPr>
              <w:spacing w:after="0"/>
              <w:rPr>
                <w:sz w:val="13"/>
                <w:szCs w:val="13"/>
                <w:color w:val="auto"/>
              </w:rPr>
            </w:pPr>
          </w:p>
        </w:tc>
        <w:tc>
          <w:tcPr>
            <w:tcW w:w="60" w:type="dxa"/>
            <w:vAlign w:val="bottom"/>
            <w:tcBorders>
              <w:bottom w:val="single" w:sz="8" w:color="CFF0FC"/>
            </w:tcBorders>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1720" w:type="dxa"/>
            <w:vAlign w:val="bottom"/>
          </w:tcPr>
          <w:p>
            <w:pPr>
              <w:spacing w:after="0"/>
              <w:rPr>
                <w:sz w:val="19"/>
                <w:szCs w:val="19"/>
                <w:color w:val="auto"/>
              </w:rPr>
            </w:pPr>
          </w:p>
        </w:tc>
        <w:tc>
          <w:tcPr>
            <w:tcW w:w="5000" w:type="dxa"/>
            <w:vAlign w:val="bottom"/>
            <w:shd w:val="clear" w:color="auto" w:fill="CFF0FC"/>
          </w:tcPr>
          <w:p>
            <w:pPr>
              <w:spacing w:after="0"/>
              <w:rPr>
                <w:sz w:val="20"/>
                <w:szCs w:val="20"/>
                <w:color w:val="auto"/>
              </w:rPr>
            </w:pPr>
            <w:r>
              <w:rPr>
                <w:rFonts w:ascii="Arial" w:cs="Arial" w:eastAsia="Arial" w:hAnsi="Arial"/>
                <w:sz w:val="18"/>
                <w:szCs w:val="18"/>
                <w:color w:val="auto"/>
              </w:rPr>
              <w:t>Computer hardware and software</w:t>
            </w:r>
          </w:p>
        </w:tc>
        <w:tc>
          <w:tcPr>
            <w:tcW w:w="420" w:type="dxa"/>
            <w:vAlign w:val="bottom"/>
            <w:shd w:val="clear" w:color="auto" w:fill="CFF0FC"/>
          </w:tcPr>
          <w:p>
            <w:pPr>
              <w:spacing w:after="0"/>
              <w:rPr>
                <w:sz w:val="19"/>
                <w:szCs w:val="19"/>
                <w:color w:val="auto"/>
              </w:rPr>
            </w:pPr>
          </w:p>
        </w:tc>
        <w:tc>
          <w:tcPr>
            <w:tcW w:w="260" w:type="dxa"/>
            <w:vAlign w:val="bottom"/>
            <w:gridSpan w:val="2"/>
            <w:shd w:val="clear" w:color="auto" w:fill="CFF0FC"/>
          </w:tcPr>
          <w:p>
            <w:pPr>
              <w:jc w:val="right"/>
              <w:ind w:right="90"/>
              <w:spacing w:after="0"/>
              <w:rPr>
                <w:sz w:val="20"/>
                <w:szCs w:val="20"/>
                <w:color w:val="auto"/>
              </w:rPr>
            </w:pPr>
            <w:r>
              <w:rPr>
                <w:rFonts w:ascii="Arial" w:cs="Arial" w:eastAsia="Arial" w:hAnsi="Arial"/>
                <w:sz w:val="15"/>
                <w:szCs w:val="15"/>
                <w:color w:val="auto"/>
                <w:w w:val="71"/>
              </w:rPr>
              <w:t>$</w:t>
            </w:r>
          </w:p>
        </w:tc>
        <w:tc>
          <w:tcPr>
            <w:tcW w:w="88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721</w:t>
            </w:r>
          </w:p>
        </w:tc>
        <w:tc>
          <w:tcPr>
            <w:tcW w:w="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12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647</w:t>
            </w:r>
          </w:p>
        </w:tc>
        <w:tc>
          <w:tcPr>
            <w:tcW w:w="2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720" w:type="dxa"/>
            <w:vAlign w:val="bottom"/>
          </w:tcPr>
          <w:p>
            <w:pPr>
              <w:spacing w:after="0"/>
              <w:rPr>
                <w:sz w:val="19"/>
                <w:szCs w:val="19"/>
                <w:color w:val="auto"/>
              </w:rPr>
            </w:pPr>
          </w:p>
        </w:tc>
        <w:tc>
          <w:tcPr>
            <w:tcW w:w="5000" w:type="dxa"/>
            <w:vAlign w:val="bottom"/>
          </w:tcPr>
          <w:p>
            <w:pPr>
              <w:spacing w:after="0"/>
              <w:rPr>
                <w:sz w:val="20"/>
                <w:szCs w:val="20"/>
                <w:color w:val="auto"/>
              </w:rPr>
            </w:pPr>
            <w:r>
              <w:rPr>
                <w:rFonts w:ascii="Arial" w:cs="Arial" w:eastAsia="Arial" w:hAnsi="Arial"/>
                <w:sz w:val="18"/>
                <w:szCs w:val="18"/>
                <w:color w:val="auto"/>
              </w:rPr>
              <w:t>Equipment</w:t>
            </w:r>
          </w:p>
        </w:tc>
        <w:tc>
          <w:tcPr>
            <w:tcW w:w="4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80" w:type="dxa"/>
            <w:vAlign w:val="bottom"/>
            <w:gridSpan w:val="2"/>
          </w:tcPr>
          <w:p>
            <w:pPr>
              <w:jc w:val="right"/>
              <w:spacing w:after="0"/>
              <w:rPr>
                <w:sz w:val="20"/>
                <w:szCs w:val="20"/>
                <w:color w:val="auto"/>
              </w:rPr>
            </w:pPr>
            <w:r>
              <w:rPr>
                <w:rFonts w:ascii="Arial" w:cs="Arial" w:eastAsia="Arial" w:hAnsi="Arial"/>
                <w:sz w:val="18"/>
                <w:szCs w:val="18"/>
                <w:color w:val="auto"/>
              </w:rPr>
              <w:t>2,929</w:t>
            </w: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2,818</w:t>
            </w: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720" w:type="dxa"/>
            <w:vAlign w:val="bottom"/>
          </w:tcPr>
          <w:p>
            <w:pPr>
              <w:spacing w:after="0"/>
              <w:rPr>
                <w:sz w:val="19"/>
                <w:szCs w:val="19"/>
                <w:color w:val="auto"/>
              </w:rPr>
            </w:pPr>
          </w:p>
        </w:tc>
        <w:tc>
          <w:tcPr>
            <w:tcW w:w="5000" w:type="dxa"/>
            <w:vAlign w:val="bottom"/>
            <w:shd w:val="clear" w:color="auto" w:fill="CFF0FC"/>
          </w:tcPr>
          <w:p>
            <w:pPr>
              <w:spacing w:after="0"/>
              <w:rPr>
                <w:sz w:val="20"/>
                <w:szCs w:val="20"/>
                <w:color w:val="auto"/>
              </w:rPr>
            </w:pPr>
            <w:r>
              <w:rPr>
                <w:rFonts w:ascii="Arial" w:cs="Arial" w:eastAsia="Arial" w:hAnsi="Arial"/>
                <w:sz w:val="18"/>
                <w:szCs w:val="18"/>
                <w:color w:val="auto"/>
              </w:rPr>
              <w:t>Leasehold improvements</w:t>
            </w:r>
          </w:p>
        </w:tc>
        <w:tc>
          <w:tcPr>
            <w:tcW w:w="42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88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869</w:t>
            </w:r>
          </w:p>
        </w:tc>
        <w:tc>
          <w:tcPr>
            <w:tcW w:w="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1,094</w:t>
            </w:r>
          </w:p>
        </w:tc>
        <w:tc>
          <w:tcPr>
            <w:tcW w:w="2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720" w:type="dxa"/>
            <w:vAlign w:val="bottom"/>
          </w:tcPr>
          <w:p>
            <w:pPr>
              <w:spacing w:after="0"/>
              <w:rPr>
                <w:sz w:val="19"/>
                <w:szCs w:val="19"/>
                <w:color w:val="auto"/>
              </w:rPr>
            </w:pPr>
          </w:p>
        </w:tc>
        <w:tc>
          <w:tcPr>
            <w:tcW w:w="500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Furniture and fixtures</w:t>
            </w:r>
          </w:p>
        </w:tc>
        <w:tc>
          <w:tcPr>
            <w:tcW w:w="420" w:type="dxa"/>
            <w:vAlign w:val="bottom"/>
            <w:tcBorders>
              <w:bottom w:val="single" w:sz="8" w:color="CFF0FC"/>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270</w:t>
            </w:r>
          </w:p>
        </w:tc>
        <w:tc>
          <w:tcPr>
            <w:tcW w:w="20" w:type="dxa"/>
            <w:vAlign w:val="bottom"/>
            <w:tcBorders>
              <w:bottom w:val="single" w:sz="8" w:color="CFF0FC"/>
            </w:tcBorders>
          </w:tcPr>
          <w:p>
            <w:pPr>
              <w:spacing w:after="0"/>
              <w:rPr>
                <w:sz w:val="19"/>
                <w:szCs w:val="19"/>
                <w:color w:val="auto"/>
              </w:rPr>
            </w:pPr>
          </w:p>
        </w:tc>
        <w:tc>
          <w:tcPr>
            <w:tcW w:w="120" w:type="dxa"/>
            <w:vAlign w:val="bottom"/>
            <w:tcBorders>
              <w:bottom w:val="single" w:sz="8" w:color="CFF0FC"/>
            </w:tcBorders>
          </w:tcPr>
          <w:p>
            <w:pPr>
              <w:spacing w:after="0"/>
              <w:rPr>
                <w:sz w:val="19"/>
                <w:szCs w:val="19"/>
                <w:color w:val="auto"/>
              </w:rPr>
            </w:pPr>
          </w:p>
        </w:tc>
        <w:tc>
          <w:tcPr>
            <w:tcW w:w="60" w:type="dxa"/>
            <w:vAlign w:val="bottom"/>
            <w:tcBorders>
              <w:bottom w:val="single" w:sz="8" w:color="CFF0FC"/>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82</w:t>
            </w:r>
          </w:p>
        </w:tc>
        <w:tc>
          <w:tcPr>
            <w:tcW w:w="20" w:type="dxa"/>
            <w:vAlign w:val="bottom"/>
            <w:tcBorders>
              <w:bottom w:val="single" w:sz="8" w:color="CFF0FC"/>
            </w:tcBorders>
          </w:tcPr>
          <w:p>
            <w:pPr>
              <w:spacing w:after="0"/>
              <w:rPr>
                <w:sz w:val="19"/>
                <w:szCs w:val="19"/>
                <w:color w:val="auto"/>
              </w:rPr>
            </w:pPr>
          </w:p>
        </w:tc>
        <w:tc>
          <w:tcPr>
            <w:tcW w:w="6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1720" w:type="dxa"/>
            <w:vAlign w:val="bottom"/>
          </w:tcPr>
          <w:p>
            <w:pPr>
              <w:spacing w:after="0"/>
              <w:rPr>
                <w:sz w:val="19"/>
                <w:szCs w:val="19"/>
                <w:color w:val="auto"/>
              </w:rPr>
            </w:pPr>
          </w:p>
        </w:tc>
        <w:tc>
          <w:tcPr>
            <w:tcW w:w="5000" w:type="dxa"/>
            <w:vAlign w:val="bottom"/>
            <w:shd w:val="clear" w:color="auto" w:fill="CFF0FC"/>
          </w:tcPr>
          <w:p>
            <w:pPr>
              <w:ind w:left="120"/>
              <w:spacing w:after="0"/>
              <w:rPr>
                <w:sz w:val="20"/>
                <w:szCs w:val="20"/>
                <w:color w:val="auto"/>
              </w:rPr>
            </w:pPr>
            <w:r>
              <w:rPr>
                <w:rFonts w:ascii="Arial" w:cs="Arial" w:eastAsia="Arial" w:hAnsi="Arial"/>
                <w:sz w:val="18"/>
                <w:szCs w:val="18"/>
                <w:color w:val="auto"/>
              </w:rPr>
              <w:t>Total property and equipment</w:t>
            </w:r>
          </w:p>
        </w:tc>
        <w:tc>
          <w:tcPr>
            <w:tcW w:w="420" w:type="dxa"/>
            <w:vAlign w:val="bottom"/>
            <w:shd w:val="clear" w:color="auto" w:fill="CFF0FC"/>
          </w:tcPr>
          <w:p>
            <w:pPr>
              <w:spacing w:after="0"/>
              <w:rPr>
                <w:sz w:val="19"/>
                <w:szCs w:val="19"/>
                <w:color w:val="auto"/>
              </w:rPr>
            </w:pPr>
          </w:p>
        </w:tc>
        <w:tc>
          <w:tcPr>
            <w:tcW w:w="20" w:type="dxa"/>
            <w:vAlign w:val="bottom"/>
            <w:tcBorders>
              <w:bottom w:val="single" w:sz="8" w:color="auto"/>
            </w:tcBorders>
            <w:shd w:val="clear" w:color="auto" w:fill="CFF0FC"/>
          </w:tcPr>
          <w:p>
            <w:pPr>
              <w:spacing w:after="0"/>
              <w:rPr>
                <w:sz w:val="19"/>
                <w:szCs w:val="19"/>
                <w:color w:val="auto"/>
              </w:rPr>
            </w:pPr>
          </w:p>
        </w:tc>
        <w:tc>
          <w:tcPr>
            <w:tcW w:w="240" w:type="dxa"/>
            <w:vAlign w:val="bottom"/>
            <w:tcBorders>
              <w:bottom w:val="single" w:sz="8" w:color="auto"/>
            </w:tcBorders>
            <w:shd w:val="clear" w:color="auto" w:fill="CFF0FC"/>
          </w:tcPr>
          <w:p>
            <w:pPr>
              <w:spacing w:after="0"/>
              <w:rPr>
                <w:sz w:val="19"/>
                <w:szCs w:val="19"/>
                <w:color w:val="auto"/>
              </w:rPr>
            </w:pPr>
          </w:p>
        </w:tc>
        <w:tc>
          <w:tcPr>
            <w:tcW w:w="880" w:type="dxa"/>
            <w:vAlign w:val="bottom"/>
            <w:tcBorders>
              <w:bottom w:val="single" w:sz="8" w:color="auto"/>
            </w:tcBorders>
            <w:gridSpan w:val="2"/>
            <w:shd w:val="clear" w:color="auto" w:fill="CFF0FC"/>
          </w:tcPr>
          <w:p>
            <w:pPr>
              <w:jc w:val="right"/>
              <w:spacing w:after="0"/>
              <w:rPr>
                <w:sz w:val="20"/>
                <w:szCs w:val="20"/>
                <w:color w:val="auto"/>
              </w:rPr>
            </w:pPr>
            <w:r>
              <w:rPr>
                <w:rFonts w:ascii="Arial" w:cs="Arial" w:eastAsia="Arial" w:hAnsi="Arial"/>
                <w:sz w:val="18"/>
                <w:szCs w:val="18"/>
                <w:color w:val="auto"/>
              </w:rPr>
              <w:t>4,789</w:t>
            </w:r>
          </w:p>
        </w:tc>
        <w:tc>
          <w:tcPr>
            <w:tcW w:w="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20" w:type="dxa"/>
            <w:vAlign w:val="bottom"/>
            <w:tcBorders>
              <w:bottom w:val="single" w:sz="8" w:color="auto"/>
            </w:tcBorders>
            <w:shd w:val="clear" w:color="auto" w:fill="CFF0FC"/>
          </w:tcPr>
          <w:p>
            <w:pPr>
              <w:spacing w:after="0"/>
              <w:rPr>
                <w:sz w:val="19"/>
                <w:szCs w:val="19"/>
                <w:color w:val="auto"/>
              </w:rPr>
            </w:pPr>
          </w:p>
        </w:tc>
        <w:tc>
          <w:tcPr>
            <w:tcW w:w="100" w:type="dxa"/>
            <w:vAlign w:val="bottom"/>
            <w:tcBorders>
              <w:bottom w:val="single" w:sz="8" w:color="auto"/>
            </w:tcBorders>
            <w:shd w:val="clear" w:color="auto" w:fill="CFF0FC"/>
          </w:tcPr>
          <w:p>
            <w:pPr>
              <w:spacing w:after="0"/>
              <w:rPr>
                <w:sz w:val="19"/>
                <w:szCs w:val="19"/>
                <w:color w:val="auto"/>
              </w:rPr>
            </w:pPr>
          </w:p>
        </w:tc>
        <w:tc>
          <w:tcPr>
            <w:tcW w:w="10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4,641</w:t>
            </w:r>
          </w:p>
        </w:tc>
        <w:tc>
          <w:tcPr>
            <w:tcW w:w="2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6720" w:type="dxa"/>
            <w:vAlign w:val="bottom"/>
            <w:gridSpan w:val="2"/>
          </w:tcPr>
          <w:p>
            <w:pPr>
              <w:ind w:left="1720"/>
              <w:spacing w:after="0"/>
              <w:rPr>
                <w:sz w:val="20"/>
                <w:szCs w:val="20"/>
                <w:color w:val="auto"/>
              </w:rPr>
            </w:pPr>
            <w:r>
              <w:rPr>
                <w:rFonts w:ascii="Arial" w:cs="Arial" w:eastAsia="Arial" w:hAnsi="Arial"/>
                <w:sz w:val="18"/>
                <w:szCs w:val="18"/>
                <w:color w:val="auto"/>
              </w:rPr>
              <w:t>Less: Accumulated depreciation and amortization</w:t>
            </w:r>
          </w:p>
        </w:tc>
        <w:tc>
          <w:tcPr>
            <w:tcW w:w="4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80" w:type="dxa"/>
            <w:vAlign w:val="bottom"/>
            <w:gridSpan w:val="2"/>
          </w:tcPr>
          <w:p>
            <w:pPr>
              <w:jc w:val="right"/>
              <w:spacing w:after="0"/>
              <w:rPr>
                <w:sz w:val="20"/>
                <w:szCs w:val="20"/>
                <w:color w:val="auto"/>
              </w:rPr>
            </w:pPr>
            <w:r>
              <w:rPr>
                <w:rFonts w:ascii="Arial" w:cs="Arial" w:eastAsia="Arial" w:hAnsi="Arial"/>
                <w:sz w:val="18"/>
                <w:szCs w:val="18"/>
                <w:color w:val="auto"/>
              </w:rPr>
              <w:t>(3,651)</w:t>
            </w:r>
          </w:p>
        </w:tc>
        <w:tc>
          <w:tcPr>
            <w:tcW w:w="140" w:type="dxa"/>
            <w:vAlign w:val="bottom"/>
            <w:gridSpan w:val="2"/>
          </w:tcPr>
          <w:p>
            <w:pPr>
              <w:spacing w:after="0"/>
              <w:rPr>
                <w:sz w:val="19"/>
                <w:szCs w:val="19"/>
                <w:color w:val="auto"/>
              </w:rPr>
            </w:pP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(3,182)</w:t>
            </w:r>
          </w:p>
        </w:tc>
        <w:tc>
          <w:tcPr>
            <w:tcW w:w="80" w:type="dxa"/>
            <w:vAlign w:val="bottom"/>
            <w:gridSpan w:val="2"/>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1720" w:type="dxa"/>
            <w:vAlign w:val="bottom"/>
          </w:tcPr>
          <w:p>
            <w:pPr>
              <w:spacing w:after="0"/>
              <w:rPr>
                <w:sz w:val="19"/>
                <w:szCs w:val="19"/>
                <w:color w:val="auto"/>
              </w:rPr>
            </w:pPr>
          </w:p>
        </w:tc>
        <w:tc>
          <w:tcPr>
            <w:tcW w:w="5000" w:type="dxa"/>
            <w:vAlign w:val="bottom"/>
            <w:tcBorders>
              <w:top w:val="single" w:sz="8" w:color="CFF0FC"/>
              <w:bottom w:val="single" w:sz="8" w:color="CFF0FC"/>
            </w:tcBorders>
            <w:shd w:val="clear" w:color="auto" w:fill="CFF0FC"/>
          </w:tcPr>
          <w:p>
            <w:pPr>
              <w:ind w:left="120"/>
              <w:spacing w:after="0"/>
              <w:rPr>
                <w:sz w:val="20"/>
                <w:szCs w:val="20"/>
                <w:color w:val="auto"/>
              </w:rPr>
            </w:pPr>
            <w:r>
              <w:rPr>
                <w:rFonts w:ascii="Arial" w:cs="Arial" w:eastAsia="Arial" w:hAnsi="Arial"/>
                <w:sz w:val="18"/>
                <w:szCs w:val="18"/>
                <w:color w:val="auto"/>
              </w:rPr>
              <w:t>Total property and equipment, net</w:t>
            </w:r>
          </w:p>
        </w:tc>
        <w:tc>
          <w:tcPr>
            <w:tcW w:w="420" w:type="dxa"/>
            <w:vAlign w:val="bottom"/>
            <w:tcBorders>
              <w:top w:val="single" w:sz="8" w:color="CFF0FC"/>
              <w:bottom w:val="single" w:sz="8" w:color="CFF0FC"/>
            </w:tcBorders>
            <w:shd w:val="clear" w:color="auto" w:fill="CFF0FC"/>
          </w:tcPr>
          <w:p>
            <w:pPr>
              <w:spacing w:after="0"/>
              <w:rPr>
                <w:sz w:val="19"/>
                <w:szCs w:val="19"/>
                <w:color w:val="auto"/>
              </w:rPr>
            </w:pPr>
          </w:p>
        </w:tc>
        <w:tc>
          <w:tcPr>
            <w:tcW w:w="260" w:type="dxa"/>
            <w:vAlign w:val="bottom"/>
            <w:tcBorders>
              <w:top w:val="single" w:sz="8" w:color="auto"/>
              <w:bottom w:val="single" w:sz="8" w:color="auto"/>
            </w:tcBorders>
            <w:gridSpan w:val="2"/>
            <w:shd w:val="clear" w:color="auto" w:fill="CFF0FC"/>
          </w:tcPr>
          <w:p>
            <w:pPr>
              <w:jc w:val="right"/>
              <w:ind w:right="90"/>
              <w:spacing w:after="0"/>
              <w:rPr>
                <w:sz w:val="20"/>
                <w:szCs w:val="20"/>
                <w:color w:val="auto"/>
              </w:rPr>
            </w:pPr>
            <w:r>
              <w:rPr>
                <w:rFonts w:ascii="Arial" w:cs="Arial" w:eastAsia="Arial" w:hAnsi="Arial"/>
                <w:sz w:val="15"/>
                <w:szCs w:val="15"/>
                <w:color w:val="auto"/>
                <w:w w:val="71"/>
              </w:rPr>
              <w:t>$</w:t>
            </w:r>
          </w:p>
        </w:tc>
        <w:tc>
          <w:tcPr>
            <w:tcW w:w="880" w:type="dxa"/>
            <w:vAlign w:val="bottom"/>
            <w:tcBorders>
              <w:top w:val="single" w:sz="8" w:color="auto"/>
              <w:bottom w:val="single" w:sz="8" w:color="auto"/>
            </w:tcBorders>
            <w:gridSpan w:val="2"/>
            <w:shd w:val="clear" w:color="auto" w:fill="CFF0FC"/>
          </w:tcPr>
          <w:p>
            <w:pPr>
              <w:jc w:val="right"/>
              <w:spacing w:after="0"/>
              <w:rPr>
                <w:sz w:val="20"/>
                <w:szCs w:val="20"/>
                <w:color w:val="auto"/>
              </w:rPr>
            </w:pPr>
            <w:r>
              <w:rPr>
                <w:rFonts w:ascii="Arial" w:cs="Arial" w:eastAsia="Arial" w:hAnsi="Arial"/>
                <w:sz w:val="18"/>
                <w:szCs w:val="18"/>
                <w:color w:val="auto"/>
              </w:rPr>
              <w:t>1,138</w:t>
            </w:r>
          </w:p>
        </w:tc>
        <w:tc>
          <w:tcPr>
            <w:tcW w:w="20" w:type="dxa"/>
            <w:vAlign w:val="bottom"/>
            <w:tcBorders>
              <w:top w:val="single" w:sz="8" w:color="CFF0FC"/>
              <w:bottom w:val="single" w:sz="8" w:color="CFF0FC"/>
            </w:tcBorders>
            <w:shd w:val="clear" w:color="auto" w:fill="CFF0FC"/>
          </w:tcPr>
          <w:p>
            <w:pPr>
              <w:spacing w:after="0"/>
              <w:rPr>
                <w:sz w:val="19"/>
                <w:szCs w:val="19"/>
                <w:color w:val="auto"/>
              </w:rPr>
            </w:pPr>
          </w:p>
        </w:tc>
        <w:tc>
          <w:tcPr>
            <w:tcW w:w="120" w:type="dxa"/>
            <w:vAlign w:val="bottom"/>
            <w:tcBorders>
              <w:top w:val="single" w:sz="8" w:color="CFF0FC"/>
              <w:bottom w:val="single" w:sz="8" w:color="CFF0FC"/>
            </w:tcBorders>
            <w:shd w:val="clear" w:color="auto" w:fill="CFF0FC"/>
          </w:tcPr>
          <w:p>
            <w:pPr>
              <w:spacing w:after="0"/>
              <w:rPr>
                <w:sz w:val="19"/>
                <w:szCs w:val="19"/>
                <w:color w:val="auto"/>
              </w:rPr>
            </w:pPr>
          </w:p>
        </w:tc>
        <w:tc>
          <w:tcPr>
            <w:tcW w:w="60" w:type="dxa"/>
            <w:vAlign w:val="bottom"/>
            <w:tcBorders>
              <w:top w:val="single" w:sz="8" w:color="CFF0FC"/>
              <w:bottom w:val="single" w:sz="8" w:color="CFF0FC"/>
            </w:tcBorders>
            <w:shd w:val="clear" w:color="auto" w:fill="CFF0FC"/>
          </w:tcPr>
          <w:p>
            <w:pPr>
              <w:spacing w:after="0"/>
              <w:rPr>
                <w:sz w:val="19"/>
                <w:szCs w:val="19"/>
                <w:color w:val="auto"/>
              </w:rPr>
            </w:pPr>
          </w:p>
        </w:tc>
        <w:tc>
          <w:tcPr>
            <w:tcW w:w="120" w:type="dxa"/>
            <w:vAlign w:val="bottom"/>
            <w:tcBorders>
              <w:top w:val="single" w:sz="8" w:color="auto"/>
              <w:bottom w:val="single" w:sz="8" w:color="auto"/>
            </w:tcBorders>
            <w:gridSpan w:val="2"/>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1,459</w:t>
            </w:r>
          </w:p>
        </w:tc>
        <w:tc>
          <w:tcPr>
            <w:tcW w:w="20" w:type="dxa"/>
            <w:vAlign w:val="bottom"/>
            <w:tcBorders>
              <w:top w:val="single" w:sz="8" w:color="CFF0FC"/>
              <w:bottom w:val="single" w:sz="8" w:color="CFF0FC"/>
            </w:tcBorders>
            <w:shd w:val="clear" w:color="auto" w:fill="CFF0FC"/>
          </w:tcPr>
          <w:p>
            <w:pPr>
              <w:spacing w:after="0"/>
              <w:rPr>
                <w:sz w:val="19"/>
                <w:szCs w:val="19"/>
                <w:color w:val="auto"/>
              </w:rPr>
            </w:pPr>
          </w:p>
        </w:tc>
        <w:tc>
          <w:tcPr>
            <w:tcW w:w="60" w:type="dxa"/>
            <w:vAlign w:val="bottom"/>
            <w:tcBorders>
              <w:top w:val="single" w:sz="8" w:color="CFF0FC"/>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720" w:type="dxa"/>
            <w:vAlign w:val="bottom"/>
          </w:tcPr>
          <w:p>
            <w:pPr>
              <w:spacing w:after="0" w:line="20" w:lineRule="exact"/>
              <w:rPr>
                <w:sz w:val="1"/>
                <w:szCs w:val="1"/>
                <w:color w:val="auto"/>
              </w:rPr>
            </w:pPr>
          </w:p>
        </w:tc>
        <w:tc>
          <w:tcPr>
            <w:tcW w:w="50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88" w:lineRule="exact"/>
        <w:rPr>
          <w:sz w:val="20"/>
          <w:szCs w:val="20"/>
          <w:color w:val="auto"/>
        </w:rPr>
      </w:pPr>
    </w:p>
    <w:p>
      <w:pPr>
        <w:spacing w:after="0"/>
        <w:rPr>
          <w:sz w:val="20"/>
          <w:szCs w:val="20"/>
          <w:color w:val="auto"/>
        </w:rPr>
      </w:pPr>
      <w:r>
        <w:rPr>
          <w:rFonts w:ascii="Arial" w:cs="Arial" w:eastAsia="Arial" w:hAnsi="Arial"/>
          <w:sz w:val="18"/>
          <w:szCs w:val="18"/>
          <w:color w:val="auto"/>
        </w:rPr>
        <w:t>Depreciation and amortization expense was $574, $654, $860 for the years ended December 31, 2017, 2016 and 2015.</w:t>
      </w:r>
    </w:p>
    <w:p>
      <w:pPr>
        <w:spacing w:after="0" w:line="225" w:lineRule="exact"/>
        <w:rPr>
          <w:sz w:val="20"/>
          <w:szCs w:val="20"/>
          <w:color w:val="auto"/>
        </w:rPr>
      </w:pPr>
    </w:p>
    <w:p>
      <w:pPr>
        <w:jc w:val="center"/>
        <w:ind w:right="-299"/>
        <w:spacing w:after="0"/>
        <w:rPr>
          <w:sz w:val="20"/>
          <w:szCs w:val="20"/>
          <w:color w:val="auto"/>
        </w:rPr>
      </w:pPr>
      <w:r>
        <w:rPr>
          <w:rFonts w:ascii="Arial" w:cs="Arial" w:eastAsia="Arial" w:hAnsi="Arial"/>
          <w:sz w:val="18"/>
          <w:szCs w:val="18"/>
          <w:color w:val="auto"/>
        </w:rPr>
        <w:t>89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120"/>
          </w:cols>
          <w:pgMar w:left="240" w:top="341" w:right="539" w:bottom="1440" w:gutter="0" w:footer="0" w:header="0"/>
        </w:sectPr>
      </w:pPr>
    </w:p>
    <w:bookmarkStart w:id="90" w:name="page91"/>
    <w:bookmarkEnd w:id="90"/>
    <w:p>
      <w:pPr>
        <w:spacing w:after="0"/>
        <w:rPr>
          <w:sz w:val="20"/>
          <w:szCs w:val="20"/>
          <w:color w:val="auto"/>
        </w:rPr>
      </w:pPr>
      <w:r>
        <w:rPr>
          <w:rFonts w:ascii="Arial" w:cs="Arial" w:eastAsia="Arial" w:hAnsi="Arial"/>
          <w:sz w:val="18"/>
          <w:szCs w:val="18"/>
          <w:b w:val="1"/>
          <w:bCs w:val="1"/>
          <w:i w:val="1"/>
          <w:iCs w:val="1"/>
          <w:color w:val="auto"/>
        </w:rPr>
        <w:t>Accrued and Other Liabilities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Accrued and other liabilities consist of the following:</w:t>
      </w:r>
    </w:p>
    <w:p>
      <w:pPr>
        <w:spacing w:after="0" w:line="284" w:lineRule="exact"/>
        <w:rPr>
          <w:sz w:val="20"/>
          <w:szCs w:val="20"/>
          <w:color w:val="auto"/>
        </w:rPr>
      </w:pPr>
    </w:p>
    <w:tbl>
      <w:tblPr>
        <w:tblLayout w:type="fixed"/>
        <w:tblInd w:w="1720" w:type="dxa"/>
        <w:tblCellMar>
          <w:top w:w="0" w:type="dxa"/>
          <w:left w:w="0" w:type="dxa"/>
          <w:bottom w:w="0" w:type="dxa"/>
          <w:right w:w="0" w:type="dxa"/>
        </w:tblCellMar>
      </w:tblPr>
      <w:tr>
        <w:trPr>
          <w:trHeight w:val="171"/>
        </w:trPr>
        <w:tc>
          <w:tcPr>
            <w:tcW w:w="398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72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December 31,</w:t>
            </w:r>
          </w:p>
        </w:tc>
        <w:tc>
          <w:tcPr>
            <w:tcW w:w="780" w:type="dxa"/>
            <w:vAlign w:val="bottom"/>
            <w:tcBorders>
              <w:bottom w:val="single" w:sz="8" w:color="auto"/>
            </w:tcBorders>
          </w:tcPr>
          <w:p>
            <w:pPr>
              <w:spacing w:after="0"/>
              <w:rPr>
                <w:sz w:val="14"/>
                <w:szCs w:val="14"/>
                <w:color w:val="auto"/>
              </w:rPr>
            </w:pPr>
          </w:p>
        </w:tc>
        <w:tc>
          <w:tcPr>
            <w:tcW w:w="60" w:type="dxa"/>
            <w:vAlign w:val="bottom"/>
          </w:tcPr>
          <w:p>
            <w:pPr>
              <w:spacing w:after="0"/>
              <w:rPr>
                <w:sz w:val="14"/>
                <w:szCs w:val="14"/>
                <w:color w:val="auto"/>
              </w:rPr>
            </w:pPr>
          </w:p>
        </w:tc>
      </w:tr>
      <w:tr>
        <w:trPr>
          <w:trHeight w:val="156"/>
        </w:trPr>
        <w:tc>
          <w:tcPr>
            <w:tcW w:w="3980" w:type="dxa"/>
            <w:vAlign w:val="bottom"/>
            <w:tcBorders>
              <w:bottom w:val="single" w:sz="8" w:color="CFF0FC"/>
            </w:tcBorders>
          </w:tcPr>
          <w:p>
            <w:pPr>
              <w:spacing w:after="0"/>
              <w:rPr>
                <w:sz w:val="13"/>
                <w:szCs w:val="13"/>
                <w:color w:val="auto"/>
              </w:rPr>
            </w:pPr>
          </w:p>
        </w:tc>
        <w:tc>
          <w:tcPr>
            <w:tcW w:w="1460" w:type="dxa"/>
            <w:vAlign w:val="bottom"/>
            <w:tcBorders>
              <w:bottom w:val="single" w:sz="8" w:color="CFF0FC"/>
            </w:tcBorders>
          </w:tcPr>
          <w:p>
            <w:pPr>
              <w:spacing w:after="0"/>
              <w:rPr>
                <w:sz w:val="13"/>
                <w:szCs w:val="13"/>
                <w:color w:val="auto"/>
              </w:rPr>
            </w:pPr>
          </w:p>
        </w:tc>
        <w:tc>
          <w:tcPr>
            <w:tcW w:w="72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b w:val="1"/>
                <w:bCs w:val="1"/>
                <w:color w:val="auto"/>
              </w:rPr>
              <w:t>2017</w:t>
            </w:r>
          </w:p>
        </w:tc>
        <w:tc>
          <w:tcPr>
            <w:tcW w:w="420" w:type="dxa"/>
            <w:vAlign w:val="bottom"/>
            <w:tcBorders>
              <w:bottom w:val="single" w:sz="8" w:color="auto"/>
            </w:tcBorders>
          </w:tcPr>
          <w:p>
            <w:pPr>
              <w:spacing w:after="0"/>
              <w:rPr>
                <w:sz w:val="13"/>
                <w:szCs w:val="13"/>
                <w:color w:val="auto"/>
              </w:rPr>
            </w:pPr>
          </w:p>
        </w:tc>
        <w:tc>
          <w:tcPr>
            <w:tcW w:w="200" w:type="dxa"/>
            <w:vAlign w:val="bottom"/>
            <w:tcBorders>
              <w:bottom w:val="single" w:sz="8" w:color="CFF0FC"/>
            </w:tcBorders>
          </w:tcPr>
          <w:p>
            <w:pPr>
              <w:spacing w:after="0"/>
              <w:rPr>
                <w:sz w:val="13"/>
                <w:szCs w:val="13"/>
                <w:color w:val="auto"/>
              </w:rPr>
            </w:pPr>
          </w:p>
        </w:tc>
        <w:tc>
          <w:tcPr>
            <w:tcW w:w="360" w:type="dxa"/>
            <w:vAlign w:val="bottom"/>
            <w:tcBorders>
              <w:bottom w:val="single" w:sz="8" w:color="auto"/>
            </w:tcBorders>
          </w:tcPr>
          <w:p>
            <w:pPr>
              <w:spacing w:after="0"/>
              <w:rPr>
                <w:sz w:val="13"/>
                <w:szCs w:val="13"/>
                <w:color w:val="auto"/>
              </w:rPr>
            </w:pPr>
          </w:p>
        </w:tc>
        <w:tc>
          <w:tcPr>
            <w:tcW w:w="780" w:type="dxa"/>
            <w:vAlign w:val="bottom"/>
            <w:tcBorders>
              <w:bottom w:val="single" w:sz="8" w:color="auto"/>
            </w:tcBorders>
          </w:tcPr>
          <w:p>
            <w:pPr>
              <w:jc w:val="right"/>
              <w:ind w:right="354"/>
              <w:spacing w:after="0" w:line="155" w:lineRule="exact"/>
              <w:rPr>
                <w:sz w:val="20"/>
                <w:szCs w:val="20"/>
                <w:color w:val="auto"/>
              </w:rPr>
            </w:pPr>
            <w:r>
              <w:rPr>
                <w:rFonts w:ascii="Arial" w:cs="Arial" w:eastAsia="Arial" w:hAnsi="Arial"/>
                <w:sz w:val="14"/>
                <w:szCs w:val="14"/>
                <w:b w:val="1"/>
                <w:bCs w:val="1"/>
                <w:color w:val="auto"/>
              </w:rPr>
              <w:t>2016</w:t>
            </w:r>
          </w:p>
        </w:tc>
        <w:tc>
          <w:tcPr>
            <w:tcW w:w="60" w:type="dxa"/>
            <w:vAlign w:val="bottom"/>
            <w:tcBorders>
              <w:bottom w:val="single" w:sz="8" w:color="CFF0FC"/>
            </w:tcBorders>
          </w:tcPr>
          <w:p>
            <w:pPr>
              <w:spacing w:after="0"/>
              <w:rPr>
                <w:sz w:val="13"/>
                <w:szCs w:val="13"/>
                <w:color w:val="auto"/>
              </w:rPr>
            </w:pPr>
          </w:p>
        </w:tc>
      </w:tr>
      <w:tr>
        <w:trPr>
          <w:trHeight w:val="223"/>
        </w:trPr>
        <w:tc>
          <w:tcPr>
            <w:tcW w:w="3980" w:type="dxa"/>
            <w:vAlign w:val="bottom"/>
            <w:shd w:val="clear" w:color="auto" w:fill="CFF0FC"/>
          </w:tcPr>
          <w:p>
            <w:pPr>
              <w:spacing w:after="0"/>
              <w:rPr>
                <w:sz w:val="20"/>
                <w:szCs w:val="20"/>
                <w:color w:val="auto"/>
              </w:rPr>
            </w:pPr>
            <w:r>
              <w:rPr>
                <w:rFonts w:ascii="Arial" w:cs="Arial" w:eastAsia="Arial" w:hAnsi="Arial"/>
                <w:sz w:val="18"/>
                <w:szCs w:val="18"/>
                <w:color w:val="auto"/>
              </w:rPr>
              <w:t>Payroll and related expense</w:t>
            </w:r>
          </w:p>
        </w:tc>
        <w:tc>
          <w:tcPr>
            <w:tcW w:w="1460" w:type="dxa"/>
            <w:vAlign w:val="bottom"/>
            <w:shd w:val="clear" w:color="auto" w:fill="CFF0FC"/>
          </w:tcPr>
          <w:p>
            <w:pPr>
              <w:spacing w:after="0"/>
              <w:rPr>
                <w:sz w:val="19"/>
                <w:szCs w:val="19"/>
                <w:color w:val="auto"/>
              </w:rPr>
            </w:pPr>
          </w:p>
        </w:tc>
        <w:tc>
          <w:tcPr>
            <w:tcW w:w="720" w:type="dxa"/>
            <w:vAlign w:val="bottom"/>
            <w:shd w:val="clear" w:color="auto" w:fill="CFF0FC"/>
          </w:tcPr>
          <w:p>
            <w:pPr>
              <w:jc w:val="right"/>
              <w:ind w:right="536"/>
              <w:spacing w:after="0"/>
              <w:rPr>
                <w:sz w:val="20"/>
                <w:szCs w:val="20"/>
                <w:color w:val="auto"/>
              </w:rPr>
            </w:pPr>
            <w:r>
              <w:rPr>
                <w:rFonts w:ascii="Arial" w:cs="Arial" w:eastAsia="Arial" w:hAnsi="Arial"/>
                <w:sz w:val="18"/>
                <w:szCs w:val="18"/>
                <w:color w:val="auto"/>
                <w:w w:val="79"/>
              </w:rPr>
              <w:t>$</w:t>
            </w:r>
          </w:p>
        </w:tc>
        <w:tc>
          <w:tcPr>
            <w:tcW w:w="420" w:type="dxa"/>
            <w:vAlign w:val="bottom"/>
            <w:shd w:val="clear" w:color="auto" w:fill="CFF0FC"/>
          </w:tcPr>
          <w:p>
            <w:pPr>
              <w:jc w:val="right"/>
              <w:spacing w:after="0"/>
              <w:rPr>
                <w:sz w:val="20"/>
                <w:szCs w:val="20"/>
                <w:color w:val="auto"/>
              </w:rPr>
            </w:pPr>
            <w:r>
              <w:rPr>
                <w:rFonts w:ascii="Arial" w:cs="Arial" w:eastAsia="Arial" w:hAnsi="Arial"/>
                <w:sz w:val="18"/>
                <w:szCs w:val="18"/>
                <w:color w:val="auto"/>
                <w:w w:val="84"/>
              </w:rPr>
              <w:t>1,630</w:t>
            </w:r>
          </w:p>
        </w:tc>
        <w:tc>
          <w:tcPr>
            <w:tcW w:w="200" w:type="dxa"/>
            <w:vAlign w:val="bottom"/>
            <w:shd w:val="clear" w:color="auto" w:fill="CFF0FC"/>
          </w:tcPr>
          <w:p>
            <w:pPr>
              <w:spacing w:after="0"/>
              <w:rPr>
                <w:sz w:val="19"/>
                <w:szCs w:val="19"/>
                <w:color w:val="auto"/>
              </w:rPr>
            </w:pPr>
          </w:p>
        </w:tc>
        <w:tc>
          <w:tcPr>
            <w:tcW w:w="360" w:type="dxa"/>
            <w:vAlign w:val="bottom"/>
            <w:shd w:val="clear" w:color="auto" w:fill="CFF0FC"/>
          </w:tcPr>
          <w:p>
            <w:pPr>
              <w:jc w:val="right"/>
              <w:ind w:right="170"/>
              <w:spacing w:after="0"/>
              <w:rPr>
                <w:sz w:val="20"/>
                <w:szCs w:val="20"/>
                <w:color w:val="auto"/>
              </w:rPr>
            </w:pPr>
            <w:r>
              <w:rPr>
                <w:rFonts w:ascii="Arial" w:cs="Arial" w:eastAsia="Arial" w:hAnsi="Arial"/>
                <w:sz w:val="18"/>
                <w:szCs w:val="18"/>
                <w:color w:val="auto"/>
                <w:w w:val="79"/>
              </w:rPr>
              <w:t>$</w:t>
            </w: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1,647</w:t>
            </w:r>
          </w:p>
        </w:tc>
        <w:tc>
          <w:tcPr>
            <w:tcW w:w="60" w:type="dxa"/>
            <w:vAlign w:val="bottom"/>
            <w:shd w:val="clear" w:color="auto" w:fill="CFF0FC"/>
          </w:tcPr>
          <w:p>
            <w:pPr>
              <w:spacing w:after="0"/>
              <w:rPr>
                <w:sz w:val="19"/>
                <w:szCs w:val="19"/>
                <w:color w:val="auto"/>
              </w:rPr>
            </w:pPr>
          </w:p>
        </w:tc>
      </w:tr>
      <w:tr>
        <w:trPr>
          <w:trHeight w:val="230"/>
        </w:trPr>
        <w:tc>
          <w:tcPr>
            <w:tcW w:w="398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Other*</w:t>
            </w:r>
          </w:p>
        </w:tc>
        <w:tc>
          <w:tcPr>
            <w:tcW w:w="1460" w:type="dxa"/>
            <w:vAlign w:val="bottom"/>
            <w:tcBorders>
              <w:bottom w:val="single" w:sz="8" w:color="CFF0FC"/>
            </w:tcBorders>
          </w:tcPr>
          <w:p>
            <w:pPr>
              <w:spacing w:after="0"/>
              <w:rPr>
                <w:sz w:val="19"/>
                <w:szCs w:val="19"/>
                <w:color w:val="auto"/>
              </w:rPr>
            </w:pPr>
          </w:p>
        </w:tc>
        <w:tc>
          <w:tcPr>
            <w:tcW w:w="720" w:type="dxa"/>
            <w:vAlign w:val="bottom"/>
            <w:tcBorders>
              <w:bottom w:val="single" w:sz="8" w:color="auto"/>
            </w:tcBorders>
          </w:tcPr>
          <w:p>
            <w:pPr>
              <w:spacing w:after="0"/>
              <w:rPr>
                <w:sz w:val="19"/>
                <w:szCs w:val="19"/>
                <w:color w:val="auto"/>
              </w:rPr>
            </w:pP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4"/>
              </w:rPr>
              <w:t>1,125</w:t>
            </w:r>
          </w:p>
        </w:tc>
        <w:tc>
          <w:tcPr>
            <w:tcW w:w="200" w:type="dxa"/>
            <w:vAlign w:val="bottom"/>
            <w:tcBorders>
              <w:bottom w:val="single" w:sz="8" w:color="CFF0FC"/>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791</w:t>
            </w:r>
          </w:p>
        </w:tc>
        <w:tc>
          <w:tcPr>
            <w:tcW w:w="60" w:type="dxa"/>
            <w:vAlign w:val="bottom"/>
            <w:tcBorders>
              <w:bottom w:val="single" w:sz="8" w:color="CFF0FC"/>
            </w:tcBorders>
          </w:tcPr>
          <w:p>
            <w:pPr>
              <w:spacing w:after="0"/>
              <w:rPr>
                <w:sz w:val="19"/>
                <w:szCs w:val="19"/>
                <w:color w:val="auto"/>
              </w:rPr>
            </w:pPr>
          </w:p>
        </w:tc>
      </w:tr>
      <w:tr>
        <w:trPr>
          <w:trHeight w:val="223"/>
        </w:trPr>
        <w:tc>
          <w:tcPr>
            <w:tcW w:w="3980" w:type="dxa"/>
            <w:vAlign w:val="bottom"/>
            <w:tcBorders>
              <w:bottom w:val="single" w:sz="8" w:color="CFF0FC"/>
            </w:tcBorders>
            <w:shd w:val="clear" w:color="auto" w:fill="CFF0FC"/>
          </w:tcPr>
          <w:p>
            <w:pPr>
              <w:ind w:left="120"/>
              <w:spacing w:after="0"/>
              <w:rPr>
                <w:sz w:val="20"/>
                <w:szCs w:val="20"/>
                <w:color w:val="auto"/>
              </w:rPr>
            </w:pPr>
            <w:r>
              <w:rPr>
                <w:rFonts w:ascii="Arial" w:cs="Arial" w:eastAsia="Arial" w:hAnsi="Arial"/>
                <w:sz w:val="18"/>
                <w:szCs w:val="18"/>
                <w:color w:val="auto"/>
              </w:rPr>
              <w:t>Total accrued and other liabilities</w:t>
            </w:r>
          </w:p>
        </w:tc>
        <w:tc>
          <w:tcPr>
            <w:tcW w:w="1460" w:type="dxa"/>
            <w:vAlign w:val="bottom"/>
            <w:tcBorders>
              <w:bottom w:val="single" w:sz="8" w:color="CFF0FC"/>
            </w:tcBorders>
            <w:shd w:val="clear" w:color="auto" w:fill="CFF0FC"/>
          </w:tcPr>
          <w:p>
            <w:pPr>
              <w:spacing w:after="0"/>
              <w:rPr>
                <w:sz w:val="19"/>
                <w:szCs w:val="19"/>
                <w:color w:val="auto"/>
              </w:rPr>
            </w:pPr>
          </w:p>
        </w:tc>
        <w:tc>
          <w:tcPr>
            <w:tcW w:w="720" w:type="dxa"/>
            <w:vAlign w:val="bottom"/>
            <w:tcBorders>
              <w:bottom w:val="single" w:sz="8" w:color="auto"/>
            </w:tcBorders>
            <w:shd w:val="clear" w:color="auto" w:fill="CFF0FC"/>
          </w:tcPr>
          <w:p>
            <w:pPr>
              <w:jc w:val="right"/>
              <w:ind w:right="536"/>
              <w:spacing w:after="0"/>
              <w:rPr>
                <w:sz w:val="20"/>
                <w:szCs w:val="20"/>
                <w:color w:val="auto"/>
              </w:rPr>
            </w:pPr>
            <w:r>
              <w:rPr>
                <w:rFonts w:ascii="Arial" w:cs="Arial" w:eastAsia="Arial" w:hAnsi="Arial"/>
                <w:sz w:val="18"/>
                <w:szCs w:val="18"/>
                <w:color w:val="auto"/>
                <w:w w:val="79"/>
              </w:rPr>
              <w:t>$</w:t>
            </w:r>
          </w:p>
        </w:tc>
        <w:tc>
          <w:tcPr>
            <w:tcW w:w="4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84"/>
              </w:rPr>
              <w:t>2,755</w:t>
            </w:r>
          </w:p>
        </w:tc>
        <w:tc>
          <w:tcPr>
            <w:tcW w:w="200" w:type="dxa"/>
            <w:vAlign w:val="bottom"/>
            <w:tcBorders>
              <w:bottom w:val="single" w:sz="8" w:color="CFF0FC"/>
            </w:tcBorders>
            <w:shd w:val="clear" w:color="auto" w:fill="CFF0FC"/>
          </w:tcPr>
          <w:p>
            <w:pPr>
              <w:spacing w:after="0"/>
              <w:rPr>
                <w:sz w:val="19"/>
                <w:szCs w:val="19"/>
                <w:color w:val="auto"/>
              </w:rPr>
            </w:pPr>
          </w:p>
        </w:tc>
        <w:tc>
          <w:tcPr>
            <w:tcW w:w="360" w:type="dxa"/>
            <w:vAlign w:val="bottom"/>
            <w:tcBorders>
              <w:bottom w:val="single" w:sz="8" w:color="auto"/>
            </w:tcBorders>
            <w:shd w:val="clear" w:color="auto" w:fill="CFF0FC"/>
          </w:tcPr>
          <w:p>
            <w:pPr>
              <w:jc w:val="right"/>
              <w:ind w:right="170"/>
              <w:spacing w:after="0"/>
              <w:rPr>
                <w:sz w:val="20"/>
                <w:szCs w:val="20"/>
                <w:color w:val="auto"/>
              </w:rPr>
            </w:pPr>
            <w:r>
              <w:rPr>
                <w:rFonts w:ascii="Arial" w:cs="Arial" w:eastAsia="Arial" w:hAnsi="Arial"/>
                <w:sz w:val="18"/>
                <w:szCs w:val="18"/>
                <w:color w:val="auto"/>
                <w:w w:val="79"/>
              </w:rPr>
              <w:t>$</w:t>
            </w:r>
          </w:p>
        </w:tc>
        <w:tc>
          <w:tcPr>
            <w:tcW w:w="7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2,438</w:t>
            </w:r>
          </w:p>
        </w:tc>
        <w:tc>
          <w:tcPr>
            <w:tcW w:w="60" w:type="dxa"/>
            <w:vAlign w:val="bottom"/>
            <w:tcBorders>
              <w:bottom w:val="single" w:sz="8" w:color="CFF0FC"/>
            </w:tcBorders>
            <w:shd w:val="clear" w:color="auto" w:fill="CFF0FC"/>
          </w:tcPr>
          <w:p>
            <w:pPr>
              <w:spacing w:after="0"/>
              <w:rPr>
                <w:sz w:val="19"/>
                <w:szCs w:val="19"/>
                <w:color w:val="auto"/>
              </w:rPr>
            </w:pPr>
          </w:p>
        </w:tc>
      </w:tr>
      <w:tr>
        <w:trPr>
          <w:trHeight w:val="20"/>
        </w:trPr>
        <w:tc>
          <w:tcPr>
            <w:tcW w:w="398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02" w:lineRule="exact"/>
        <w:rPr>
          <w:sz w:val="20"/>
          <w:szCs w:val="20"/>
          <w:color w:val="auto"/>
        </w:rPr>
      </w:pPr>
    </w:p>
    <w:p>
      <w:pPr>
        <w:ind w:left="440" w:hanging="432"/>
        <w:spacing w:after="0"/>
        <w:tabs>
          <w:tab w:leader="none" w:pos="440" w:val="left"/>
        </w:tabs>
        <w:numPr>
          <w:ilvl w:val="0"/>
          <w:numId w:val="54"/>
        </w:numPr>
        <w:rPr>
          <w:rFonts w:ascii="Arial" w:cs="Arial" w:eastAsia="Arial" w:hAnsi="Arial"/>
          <w:sz w:val="18"/>
          <w:szCs w:val="18"/>
          <w:color w:val="auto"/>
        </w:rPr>
      </w:pPr>
      <w:r>
        <w:rPr>
          <w:rFonts w:ascii="Arial" w:cs="Arial" w:eastAsia="Arial" w:hAnsi="Arial"/>
          <w:sz w:val="18"/>
          <w:szCs w:val="18"/>
          <w:color w:val="auto"/>
        </w:rPr>
        <w:t>Other consists of items that are individually less than 5% of total current liabilities.</w:t>
      </w:r>
    </w:p>
    <w:p>
      <w:pPr>
        <w:spacing w:after="0" w:line="14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6. COMMITMENTS AND CONTINGENCIES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Operating Leases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The Company has various operating leases including 23,000 square feet of office space in San Jose, California, which expires in April 2022.</w:t>
      </w:r>
    </w:p>
    <w:p>
      <w:pPr>
        <w:spacing w:after="0" w:line="117" w:lineRule="exact"/>
        <w:rPr>
          <w:sz w:val="20"/>
          <w:szCs w:val="20"/>
          <w:color w:val="auto"/>
        </w:rPr>
      </w:pPr>
    </w:p>
    <w:p>
      <w:pPr>
        <w:ind w:right="120"/>
        <w:spacing w:after="0" w:line="312" w:lineRule="auto"/>
        <w:rPr>
          <w:sz w:val="20"/>
          <w:szCs w:val="20"/>
          <w:color w:val="auto"/>
        </w:rPr>
      </w:pPr>
      <w:r>
        <w:rPr>
          <w:rFonts w:ascii="Arial" w:cs="Arial" w:eastAsia="Arial" w:hAnsi="Arial"/>
          <w:sz w:val="16"/>
          <w:szCs w:val="16"/>
          <w:color w:val="auto"/>
        </w:rPr>
        <w:t>The Company recognizes rent expense on a straight-line basis over the non-cancelable lease period and records the difference between cash rent payments and the recognition of rent expense as a deferred rent liability. When leases contain escalation clauses, rent abatements and/or concessions, such as rent holidays and landlord or tenant incentives or allowances, the Company applies them in the determination of straight-line rent expense over the lease period.</w:t>
      </w:r>
    </w:p>
    <w:p>
      <w:pPr>
        <w:spacing w:after="0" w:line="39" w:lineRule="exact"/>
        <w:rPr>
          <w:sz w:val="20"/>
          <w:szCs w:val="20"/>
          <w:color w:val="auto"/>
        </w:rPr>
      </w:pPr>
    </w:p>
    <w:p>
      <w:pPr>
        <w:spacing w:after="0"/>
        <w:rPr>
          <w:sz w:val="20"/>
          <w:szCs w:val="20"/>
          <w:color w:val="auto"/>
        </w:rPr>
      </w:pPr>
      <w:r>
        <w:rPr>
          <w:rFonts w:ascii="Arial" w:cs="Arial" w:eastAsia="Arial" w:hAnsi="Arial"/>
          <w:sz w:val="18"/>
          <w:szCs w:val="18"/>
          <w:color w:val="auto"/>
        </w:rPr>
        <w:t>Aggregate future minimum lease payments required under the Company’s operating leases as of December 31, 2017 are as follows:</w:t>
      </w:r>
    </w:p>
    <w:p>
      <w:pPr>
        <w:spacing w:after="0" w:line="214" w:lineRule="exact"/>
        <w:rPr>
          <w:sz w:val="20"/>
          <w:szCs w:val="20"/>
          <w:color w:val="auto"/>
        </w:rPr>
      </w:pPr>
    </w:p>
    <w:tbl>
      <w:tblPr>
        <w:tblLayout w:type="fixed"/>
        <w:tblInd w:w="1720" w:type="dxa"/>
        <w:tblCellMar>
          <w:top w:w="0" w:type="dxa"/>
          <w:left w:w="0" w:type="dxa"/>
          <w:bottom w:w="0" w:type="dxa"/>
          <w:right w:w="0" w:type="dxa"/>
        </w:tblCellMar>
      </w:tblPr>
      <w:tr>
        <w:trPr>
          <w:trHeight w:val="161"/>
        </w:trPr>
        <w:tc>
          <w:tcPr>
            <w:tcW w:w="6540" w:type="dxa"/>
            <w:vAlign w:val="bottom"/>
            <w:gridSpan w:val="3"/>
          </w:tcPr>
          <w:p>
            <w:pPr>
              <w:spacing w:after="0"/>
              <w:rPr>
                <w:sz w:val="20"/>
                <w:szCs w:val="20"/>
                <w:color w:val="auto"/>
              </w:rPr>
            </w:pPr>
            <w:r>
              <w:rPr>
                <w:rFonts w:ascii="Arial" w:cs="Arial" w:eastAsia="Arial" w:hAnsi="Arial"/>
                <w:sz w:val="14"/>
                <w:szCs w:val="14"/>
                <w:b w:val="1"/>
                <w:bCs w:val="1"/>
                <w:color w:val="auto"/>
              </w:rPr>
              <w:t>Years ending December 31,</w:t>
            </w:r>
          </w:p>
        </w:tc>
        <w:tc>
          <w:tcPr>
            <w:tcW w:w="5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80" w:type="dxa"/>
            <w:vAlign w:val="bottom"/>
          </w:tcPr>
          <w:p>
            <w:pPr>
              <w:spacing w:after="0"/>
              <w:rPr>
                <w:sz w:val="14"/>
                <w:szCs w:val="14"/>
                <w:color w:val="auto"/>
              </w:rPr>
            </w:pPr>
          </w:p>
        </w:tc>
      </w:tr>
      <w:tr>
        <w:trPr>
          <w:trHeight w:val="223"/>
        </w:trPr>
        <w:tc>
          <w:tcPr>
            <w:tcW w:w="20" w:type="dxa"/>
            <w:vAlign w:val="bottom"/>
          </w:tcPr>
          <w:p>
            <w:pPr>
              <w:spacing w:after="0"/>
              <w:rPr>
                <w:sz w:val="19"/>
                <w:szCs w:val="19"/>
                <w:color w:val="auto"/>
              </w:rPr>
            </w:pPr>
          </w:p>
        </w:tc>
        <w:tc>
          <w:tcPr>
            <w:tcW w:w="1660" w:type="dxa"/>
            <w:vAlign w:val="bottom"/>
            <w:tcBorders>
              <w:top w:val="single" w:sz="8" w:color="auto"/>
            </w:tcBorders>
            <w:shd w:val="clear" w:color="auto" w:fill="CFF0FC"/>
          </w:tcPr>
          <w:p>
            <w:pPr>
              <w:spacing w:after="0"/>
              <w:rPr>
                <w:sz w:val="20"/>
                <w:szCs w:val="20"/>
                <w:color w:val="auto"/>
              </w:rPr>
            </w:pPr>
            <w:r>
              <w:rPr>
                <w:rFonts w:ascii="Arial" w:cs="Arial" w:eastAsia="Arial" w:hAnsi="Arial"/>
                <w:sz w:val="18"/>
                <w:szCs w:val="18"/>
                <w:color w:val="auto"/>
              </w:rPr>
              <w:t>2018</w:t>
            </w:r>
          </w:p>
        </w:tc>
        <w:tc>
          <w:tcPr>
            <w:tcW w:w="4860" w:type="dxa"/>
            <w:vAlign w:val="bottom"/>
            <w:shd w:val="clear" w:color="auto" w:fill="CFF0FC"/>
          </w:tcPr>
          <w:p>
            <w:pPr>
              <w:spacing w:after="0"/>
              <w:rPr>
                <w:sz w:val="19"/>
                <w:szCs w:val="19"/>
                <w:color w:val="auto"/>
              </w:rPr>
            </w:pPr>
          </w:p>
        </w:tc>
        <w:tc>
          <w:tcPr>
            <w:tcW w:w="520" w:type="dxa"/>
            <w:vAlign w:val="bottom"/>
            <w:shd w:val="clear" w:color="auto" w:fill="CFF0FC"/>
          </w:tcPr>
          <w:p>
            <w:pPr>
              <w:jc w:val="right"/>
              <w:ind w:right="365"/>
              <w:spacing w:after="0"/>
              <w:rPr>
                <w:sz w:val="20"/>
                <w:szCs w:val="20"/>
                <w:color w:val="auto"/>
              </w:rPr>
            </w:pPr>
            <w:r>
              <w:rPr>
                <w:rFonts w:ascii="Arial" w:cs="Arial" w:eastAsia="Arial" w:hAnsi="Arial"/>
                <w:sz w:val="15"/>
                <w:szCs w:val="15"/>
                <w:color w:val="auto"/>
                <w:w w:val="71"/>
              </w:rPr>
              <w:t>$</w:t>
            </w: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503</w:t>
            </w:r>
          </w:p>
        </w:tc>
        <w:tc>
          <w:tcPr>
            <w:tcW w:w="80" w:type="dxa"/>
            <w:vAlign w:val="bottom"/>
            <w:shd w:val="clear" w:color="auto" w:fill="CFF0FC"/>
          </w:tcPr>
          <w:p>
            <w:pPr>
              <w:spacing w:after="0"/>
              <w:rPr>
                <w:sz w:val="19"/>
                <w:szCs w:val="19"/>
                <w:color w:val="auto"/>
              </w:rPr>
            </w:pPr>
          </w:p>
        </w:tc>
      </w:tr>
      <w:tr>
        <w:trPr>
          <w:trHeight w:val="230"/>
        </w:trPr>
        <w:tc>
          <w:tcPr>
            <w:tcW w:w="20" w:type="dxa"/>
            <w:vAlign w:val="bottom"/>
          </w:tcPr>
          <w:p>
            <w:pPr>
              <w:spacing w:after="0"/>
              <w:rPr>
                <w:sz w:val="19"/>
                <w:szCs w:val="19"/>
                <w:color w:val="auto"/>
              </w:rPr>
            </w:pPr>
          </w:p>
        </w:tc>
        <w:tc>
          <w:tcPr>
            <w:tcW w:w="1660" w:type="dxa"/>
            <w:vAlign w:val="bottom"/>
          </w:tcPr>
          <w:p>
            <w:pPr>
              <w:spacing w:after="0"/>
              <w:rPr>
                <w:sz w:val="20"/>
                <w:szCs w:val="20"/>
                <w:color w:val="auto"/>
              </w:rPr>
            </w:pPr>
            <w:r>
              <w:rPr>
                <w:rFonts w:ascii="Arial" w:cs="Arial" w:eastAsia="Arial" w:hAnsi="Arial"/>
                <w:sz w:val="18"/>
                <w:szCs w:val="18"/>
                <w:color w:val="auto"/>
              </w:rPr>
              <w:t>2019</w:t>
            </w:r>
          </w:p>
        </w:tc>
        <w:tc>
          <w:tcPr>
            <w:tcW w:w="486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518</w:t>
            </w:r>
          </w:p>
        </w:tc>
        <w:tc>
          <w:tcPr>
            <w:tcW w:w="80" w:type="dxa"/>
            <w:vAlign w:val="bottom"/>
          </w:tcPr>
          <w:p>
            <w:pPr>
              <w:spacing w:after="0"/>
              <w:rPr>
                <w:sz w:val="19"/>
                <w:szCs w:val="19"/>
                <w:color w:val="auto"/>
              </w:rPr>
            </w:pPr>
          </w:p>
        </w:tc>
      </w:tr>
      <w:tr>
        <w:trPr>
          <w:trHeight w:val="230"/>
        </w:trPr>
        <w:tc>
          <w:tcPr>
            <w:tcW w:w="20" w:type="dxa"/>
            <w:vAlign w:val="bottom"/>
          </w:tcPr>
          <w:p>
            <w:pPr>
              <w:spacing w:after="0"/>
              <w:rPr>
                <w:sz w:val="19"/>
                <w:szCs w:val="19"/>
                <w:color w:val="auto"/>
              </w:rPr>
            </w:pPr>
          </w:p>
        </w:tc>
        <w:tc>
          <w:tcPr>
            <w:tcW w:w="1660" w:type="dxa"/>
            <w:vAlign w:val="bottom"/>
            <w:shd w:val="clear" w:color="auto" w:fill="CFF0FC"/>
          </w:tcPr>
          <w:p>
            <w:pPr>
              <w:spacing w:after="0"/>
              <w:rPr>
                <w:sz w:val="20"/>
                <w:szCs w:val="20"/>
                <w:color w:val="auto"/>
              </w:rPr>
            </w:pPr>
            <w:r>
              <w:rPr>
                <w:rFonts w:ascii="Arial" w:cs="Arial" w:eastAsia="Arial" w:hAnsi="Arial"/>
                <w:sz w:val="18"/>
                <w:szCs w:val="18"/>
                <w:color w:val="auto"/>
              </w:rPr>
              <w:t>2020</w:t>
            </w:r>
          </w:p>
        </w:tc>
        <w:tc>
          <w:tcPr>
            <w:tcW w:w="4860" w:type="dxa"/>
            <w:vAlign w:val="bottom"/>
            <w:shd w:val="clear" w:color="auto" w:fill="CFF0FC"/>
          </w:tcPr>
          <w:p>
            <w:pPr>
              <w:spacing w:after="0"/>
              <w:rPr>
                <w:sz w:val="19"/>
                <w:szCs w:val="19"/>
                <w:color w:val="auto"/>
              </w:rPr>
            </w:pPr>
          </w:p>
        </w:tc>
        <w:tc>
          <w:tcPr>
            <w:tcW w:w="520" w:type="dxa"/>
            <w:vAlign w:val="bottom"/>
            <w:shd w:val="clear" w:color="auto" w:fill="CFF0FC"/>
          </w:tcPr>
          <w:p>
            <w:pPr>
              <w:spacing w:after="0"/>
              <w:rPr>
                <w:sz w:val="19"/>
                <w:szCs w:val="19"/>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534</w:t>
            </w:r>
          </w:p>
        </w:tc>
        <w:tc>
          <w:tcPr>
            <w:tcW w:w="80" w:type="dxa"/>
            <w:vAlign w:val="bottom"/>
            <w:shd w:val="clear" w:color="auto" w:fill="CFF0FC"/>
          </w:tcPr>
          <w:p>
            <w:pPr>
              <w:spacing w:after="0"/>
              <w:rPr>
                <w:sz w:val="19"/>
                <w:szCs w:val="19"/>
                <w:color w:val="auto"/>
              </w:rPr>
            </w:pPr>
          </w:p>
        </w:tc>
      </w:tr>
      <w:tr>
        <w:trPr>
          <w:trHeight w:val="230"/>
        </w:trPr>
        <w:tc>
          <w:tcPr>
            <w:tcW w:w="20" w:type="dxa"/>
            <w:vAlign w:val="bottom"/>
          </w:tcPr>
          <w:p>
            <w:pPr>
              <w:spacing w:after="0"/>
              <w:rPr>
                <w:sz w:val="19"/>
                <w:szCs w:val="19"/>
                <w:color w:val="auto"/>
              </w:rPr>
            </w:pPr>
          </w:p>
        </w:tc>
        <w:tc>
          <w:tcPr>
            <w:tcW w:w="1660" w:type="dxa"/>
            <w:vAlign w:val="bottom"/>
          </w:tcPr>
          <w:p>
            <w:pPr>
              <w:spacing w:after="0"/>
              <w:rPr>
                <w:sz w:val="20"/>
                <w:szCs w:val="20"/>
                <w:color w:val="auto"/>
              </w:rPr>
            </w:pPr>
            <w:r>
              <w:rPr>
                <w:rFonts w:ascii="Arial" w:cs="Arial" w:eastAsia="Arial" w:hAnsi="Arial"/>
                <w:sz w:val="18"/>
                <w:szCs w:val="18"/>
                <w:color w:val="auto"/>
              </w:rPr>
              <w:t>2021</w:t>
            </w:r>
          </w:p>
        </w:tc>
        <w:tc>
          <w:tcPr>
            <w:tcW w:w="486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550</w:t>
            </w:r>
          </w:p>
        </w:tc>
        <w:tc>
          <w:tcPr>
            <w:tcW w:w="80" w:type="dxa"/>
            <w:vAlign w:val="bottom"/>
          </w:tcPr>
          <w:p>
            <w:pPr>
              <w:spacing w:after="0"/>
              <w:rPr>
                <w:sz w:val="19"/>
                <w:szCs w:val="19"/>
                <w:color w:val="auto"/>
              </w:rPr>
            </w:pPr>
          </w:p>
        </w:tc>
      </w:tr>
      <w:tr>
        <w:trPr>
          <w:trHeight w:val="230"/>
        </w:trPr>
        <w:tc>
          <w:tcPr>
            <w:tcW w:w="20" w:type="dxa"/>
            <w:vAlign w:val="bottom"/>
          </w:tcPr>
          <w:p>
            <w:pPr>
              <w:spacing w:after="0"/>
              <w:rPr>
                <w:sz w:val="19"/>
                <w:szCs w:val="19"/>
                <w:color w:val="auto"/>
              </w:rPr>
            </w:pPr>
          </w:p>
        </w:tc>
        <w:tc>
          <w:tcPr>
            <w:tcW w:w="652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Thereafter</w:t>
            </w:r>
          </w:p>
        </w:tc>
        <w:tc>
          <w:tcPr>
            <w:tcW w:w="520" w:type="dxa"/>
            <w:vAlign w:val="bottom"/>
            <w:tcBorders>
              <w:bottom w:val="single" w:sz="8" w:color="auto"/>
            </w:tcBorders>
            <w:shd w:val="clear" w:color="auto" w:fill="CFF0FC"/>
          </w:tcPr>
          <w:p>
            <w:pPr>
              <w:spacing w:after="0"/>
              <w:rPr>
                <w:sz w:val="19"/>
                <w:szCs w:val="19"/>
                <w:color w:val="auto"/>
              </w:rPr>
            </w:pPr>
          </w:p>
        </w:tc>
        <w:tc>
          <w:tcPr>
            <w:tcW w:w="8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188</w:t>
            </w:r>
          </w:p>
        </w:tc>
        <w:tc>
          <w:tcPr>
            <w:tcW w:w="80" w:type="dxa"/>
            <w:vAlign w:val="bottom"/>
            <w:shd w:val="clear" w:color="auto" w:fill="CFF0FC"/>
          </w:tcPr>
          <w:p>
            <w:pPr>
              <w:spacing w:after="0"/>
              <w:rPr>
                <w:sz w:val="19"/>
                <w:szCs w:val="19"/>
                <w:color w:val="auto"/>
              </w:rPr>
            </w:pPr>
          </w:p>
        </w:tc>
      </w:tr>
      <w:tr>
        <w:trPr>
          <w:trHeight w:val="223"/>
        </w:trPr>
        <w:tc>
          <w:tcPr>
            <w:tcW w:w="20" w:type="dxa"/>
            <w:vAlign w:val="bottom"/>
          </w:tcPr>
          <w:p>
            <w:pPr>
              <w:spacing w:after="0"/>
              <w:rPr>
                <w:sz w:val="19"/>
                <w:szCs w:val="19"/>
                <w:color w:val="auto"/>
              </w:rPr>
            </w:pPr>
          </w:p>
        </w:tc>
        <w:tc>
          <w:tcPr>
            <w:tcW w:w="6520" w:type="dxa"/>
            <w:vAlign w:val="bottom"/>
            <w:gridSpan w:val="2"/>
          </w:tcPr>
          <w:p>
            <w:pPr>
              <w:ind w:left="100"/>
              <w:spacing w:after="0"/>
              <w:rPr>
                <w:sz w:val="20"/>
                <w:szCs w:val="20"/>
                <w:color w:val="auto"/>
              </w:rPr>
            </w:pPr>
            <w:r>
              <w:rPr>
                <w:rFonts w:ascii="Arial" w:cs="Arial" w:eastAsia="Arial" w:hAnsi="Arial"/>
                <w:sz w:val="18"/>
                <w:szCs w:val="18"/>
                <w:color w:val="auto"/>
              </w:rPr>
              <w:t>Total future minimum lease payments</w:t>
            </w:r>
          </w:p>
        </w:tc>
        <w:tc>
          <w:tcPr>
            <w:tcW w:w="520" w:type="dxa"/>
            <w:vAlign w:val="bottom"/>
            <w:tcBorders>
              <w:bottom w:val="single" w:sz="8" w:color="auto"/>
            </w:tcBorders>
          </w:tcPr>
          <w:p>
            <w:pPr>
              <w:jc w:val="right"/>
              <w:ind w:right="365"/>
              <w:spacing w:after="0"/>
              <w:rPr>
                <w:sz w:val="20"/>
                <w:szCs w:val="20"/>
                <w:color w:val="auto"/>
              </w:rPr>
            </w:pPr>
            <w:r>
              <w:rPr>
                <w:rFonts w:ascii="Arial" w:cs="Arial" w:eastAsia="Arial" w:hAnsi="Arial"/>
                <w:sz w:val="15"/>
                <w:szCs w:val="15"/>
                <w:color w:val="auto"/>
                <w:w w:val="71"/>
              </w:rPr>
              <w:t>$</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2,293</w:t>
            </w:r>
          </w:p>
        </w:tc>
        <w:tc>
          <w:tcPr>
            <w:tcW w:w="80" w:type="dxa"/>
            <w:vAlign w:val="bottom"/>
          </w:tcPr>
          <w:p>
            <w:pPr>
              <w:spacing w:after="0"/>
              <w:rPr>
                <w:sz w:val="19"/>
                <w:szCs w:val="19"/>
                <w:color w:val="auto"/>
              </w:rPr>
            </w:pPr>
          </w:p>
        </w:tc>
      </w:tr>
      <w:tr>
        <w:trPr>
          <w:trHeight w:val="20"/>
        </w:trPr>
        <w:tc>
          <w:tcPr>
            <w:tcW w:w="20" w:type="dxa"/>
            <w:vAlign w:val="bottom"/>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486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188" w:lineRule="exact"/>
        <w:rPr>
          <w:sz w:val="20"/>
          <w:szCs w:val="20"/>
          <w:color w:val="auto"/>
        </w:rPr>
      </w:pPr>
    </w:p>
    <w:p>
      <w:pPr>
        <w:ind w:right="2040"/>
        <w:spacing w:after="0" w:line="399" w:lineRule="auto"/>
        <w:rPr>
          <w:sz w:val="20"/>
          <w:szCs w:val="20"/>
          <w:color w:val="auto"/>
        </w:rPr>
      </w:pPr>
      <w:r>
        <w:rPr>
          <w:rFonts w:ascii="Arial" w:cs="Arial" w:eastAsia="Arial" w:hAnsi="Arial"/>
          <w:sz w:val="18"/>
          <w:szCs w:val="18"/>
          <w:color w:val="auto"/>
        </w:rPr>
        <w:t xml:space="preserve">The total rent expense for all operating leases for the years ended December 31, 2017, 2016 and 2015 was $413, $315, and $322. </w:t>
      </w:r>
      <w:r>
        <w:rPr>
          <w:rFonts w:ascii="Arial" w:cs="Arial" w:eastAsia="Arial" w:hAnsi="Arial"/>
          <w:sz w:val="18"/>
          <w:szCs w:val="18"/>
          <w:b w:val="1"/>
          <w:bCs w:val="1"/>
          <w:i w:val="1"/>
          <w:iCs w:val="1"/>
          <w:color w:val="auto"/>
        </w:rPr>
        <w:t>Licensing Agreements</w:t>
      </w:r>
    </w:p>
    <w:p>
      <w:pPr>
        <w:spacing w:after="0" w:line="1" w:lineRule="exact"/>
        <w:rPr>
          <w:sz w:val="20"/>
          <w:szCs w:val="20"/>
          <w:color w:val="auto"/>
        </w:rPr>
      </w:pPr>
    </w:p>
    <w:p>
      <w:pPr>
        <w:ind w:right="60"/>
        <w:spacing w:after="0" w:line="297" w:lineRule="auto"/>
        <w:rPr>
          <w:sz w:val="20"/>
          <w:szCs w:val="20"/>
          <w:color w:val="auto"/>
        </w:rPr>
      </w:pPr>
      <w:r>
        <w:rPr>
          <w:rFonts w:ascii="Arial" w:cs="Arial" w:eastAsia="Arial" w:hAnsi="Arial"/>
          <w:sz w:val="16"/>
          <w:szCs w:val="16"/>
          <w:color w:val="auto"/>
        </w:rPr>
        <w:t>In July 2006, the Company entered into a license agreement with Rassman Licensing, LLC (Rassman) for non-exclusive, royalty bearing, non-transferable, perpetual, world-wide rights for use on approved fields relating to robotically controlled hair removal and implantation procedures. In consideration for this license, the Company paid Rassman a one-time payment of $1,000. The agreement terminates on May 9, 2020. In February 2012, the Company amended its license agreement with Rassman. In exchange for a one-time $400 payment to Rassman, the Company now has a fully paid royalty-free license to a patent subject to this license agreement. Royalties for the years ended December 31, 2017, 2016 and 2015 were $0.</w:t>
      </w:r>
    </w:p>
    <w:p>
      <w:pPr>
        <w:spacing w:after="0" w:line="50" w:lineRule="exact"/>
        <w:rPr>
          <w:sz w:val="20"/>
          <w:szCs w:val="20"/>
          <w:color w:val="auto"/>
        </w:rPr>
      </w:pPr>
    </w:p>
    <w:p>
      <w:pPr>
        <w:spacing w:after="0" w:line="279" w:lineRule="auto"/>
        <w:rPr>
          <w:sz w:val="20"/>
          <w:szCs w:val="20"/>
          <w:color w:val="auto"/>
        </w:rPr>
      </w:pPr>
      <w:r>
        <w:rPr>
          <w:rFonts w:ascii="Arial" w:cs="Arial" w:eastAsia="Arial" w:hAnsi="Arial"/>
          <w:sz w:val="17"/>
          <w:szCs w:val="17"/>
          <w:color w:val="auto"/>
        </w:rPr>
        <w:t>In July 2006, the Company entered into a license agreement with HSC Development, LLC for exclusive non-transferable, royalty-free worldwide rights for use in approved fields relating to a computer-controlled system in which a device is carried on a mechanized arm for extraction or implantation of a follicular unit without manual manipulation. In consideration for this license, the Company paid HSC Development, LLC a one-time payment of $25 and issued 2,500 shares of the Company’s common stock valued. The agreement terminates on July 27, 2024.</w:t>
      </w:r>
    </w:p>
    <w:p>
      <w:pPr>
        <w:spacing w:after="0" w:line="10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7. LONG-TERM DEBT</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Loan and Security Agreement</w:t>
      </w:r>
    </w:p>
    <w:p>
      <w:pPr>
        <w:spacing w:after="0" w:line="117"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color w:val="auto"/>
        </w:rPr>
        <w:t>In May 2015, the Company entered into a loan and security agreement with Oxford Finance, LLC, or Oxford, (the Agreement). Under the terms of the loan and security agreement, the Company borrowed $20,000 with an interest</w:t>
      </w:r>
    </w:p>
    <w:p>
      <w:pPr>
        <w:spacing w:after="0" w:line="170"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90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340"/>
          </w:cols>
          <w:pgMar w:left="240" w:top="490" w:right="319" w:bottom="1440" w:gutter="0" w:footer="0" w:header="0"/>
        </w:sectPr>
      </w:pPr>
    </w:p>
    <w:bookmarkStart w:id="91" w:name="page92"/>
    <w:bookmarkEnd w:id="91"/>
    <w:p>
      <w:pPr>
        <w:ind w:right="20"/>
        <w:spacing w:after="0" w:line="291" w:lineRule="auto"/>
        <w:rPr>
          <w:sz w:val="20"/>
          <w:szCs w:val="20"/>
          <w:color w:val="auto"/>
        </w:rPr>
      </w:pPr>
      <w:r>
        <w:rPr>
          <w:rFonts w:ascii="Arial" w:cs="Arial" w:eastAsia="Arial" w:hAnsi="Arial"/>
          <w:sz w:val="16"/>
          <w:szCs w:val="16"/>
          <w:color w:val="auto"/>
        </w:rPr>
        <w:t>rate at prime plus 8.5% per annum, which is collateralized by all personal property of the Company excluding intellectual property, and issued 10-year warrants to purchase 110,486 shares of Series C Preferred Stock at $7.15 per share. The estimated fair value of the warrants at issuance was recorded as a discount on the loan and amortized into interest expense over the expected life of the loan. In connection with the loan agreement, the Company recorded $246 of credit facility fees and $153 of debt issuance cost as of January 31, 2015. The credit facility fees and debt issuance costs are a discount on the debt and are being amortized to interest expense over the term of the loan using the effective-interest method. The loan will mature in July 2019, at which time the Company must repay the outstanding principal balance which includes a final payment of $1,300. The outstanding principal balance on the loan was $13,300 and accrued interest totaled $85 as of December 31, 2017. The interest rate was 13% at December 31, 2017.</w:t>
      </w:r>
    </w:p>
    <w:p>
      <w:pPr>
        <w:spacing w:after="0" w:line="59" w:lineRule="exact"/>
        <w:rPr>
          <w:sz w:val="20"/>
          <w:szCs w:val="20"/>
          <w:color w:val="auto"/>
        </w:rPr>
      </w:pPr>
    </w:p>
    <w:p>
      <w:pPr>
        <w:ind w:right="100"/>
        <w:spacing w:after="0" w:line="257" w:lineRule="auto"/>
        <w:rPr>
          <w:sz w:val="20"/>
          <w:szCs w:val="20"/>
          <w:color w:val="auto"/>
        </w:rPr>
      </w:pPr>
      <w:r>
        <w:rPr>
          <w:rFonts w:ascii="Arial" w:cs="Arial" w:eastAsia="Arial" w:hAnsi="Arial"/>
          <w:sz w:val="18"/>
          <w:szCs w:val="18"/>
          <w:color w:val="auto"/>
        </w:rPr>
        <w:t>Borrowings under the Agreement are collateralized by all the assets of the Company excluding intellectual property. The Agreement includes customary restrictive covenants that impose operating and financial restrictions on the Company, including restrictions on our ability to take actions that could be in the Company’s best interests. These restrictive covenants include operating covenants restricting, among other things, the Company’s ability to incur additional indebtedness, effect certain acquisitions or make other fundamental changes. The Company was in compliance with all of the covenants as of December 31, 2017 and 2016.</w:t>
      </w:r>
    </w:p>
    <w:p>
      <w:pPr>
        <w:spacing w:after="0" w:line="80" w:lineRule="exact"/>
        <w:rPr>
          <w:sz w:val="20"/>
          <w:szCs w:val="20"/>
          <w:color w:val="auto"/>
        </w:rPr>
      </w:pPr>
    </w:p>
    <w:p>
      <w:pPr>
        <w:spacing w:after="0"/>
        <w:rPr>
          <w:sz w:val="20"/>
          <w:szCs w:val="20"/>
          <w:color w:val="auto"/>
        </w:rPr>
      </w:pPr>
      <w:r>
        <w:rPr>
          <w:rFonts w:ascii="Arial" w:cs="Arial" w:eastAsia="Arial" w:hAnsi="Arial"/>
          <w:sz w:val="18"/>
          <w:szCs w:val="18"/>
          <w:color w:val="auto"/>
        </w:rPr>
        <w:t>The scheduled principal payments on the outstanding borrowings as of December 31, 2017 are as follows:</w:t>
      </w:r>
    </w:p>
    <w:p>
      <w:pPr>
        <w:spacing w:after="0" w:line="204" w:lineRule="exact"/>
        <w:rPr>
          <w:sz w:val="20"/>
          <w:szCs w:val="20"/>
          <w:color w:val="auto"/>
        </w:rPr>
      </w:pPr>
    </w:p>
    <w:tbl>
      <w:tblPr>
        <w:tblLayout w:type="fixed"/>
        <w:tblInd w:w="2300" w:type="dxa"/>
        <w:tblCellMar>
          <w:top w:w="0" w:type="dxa"/>
          <w:left w:w="0" w:type="dxa"/>
          <w:bottom w:w="0" w:type="dxa"/>
          <w:right w:w="0" w:type="dxa"/>
        </w:tblCellMar>
      </w:tblPr>
      <w:tr>
        <w:trPr>
          <w:trHeight w:val="161"/>
        </w:trPr>
        <w:tc>
          <w:tcPr>
            <w:tcW w:w="55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20" w:type="dxa"/>
            <w:vAlign w:val="bottom"/>
            <w:gridSpan w:val="2"/>
          </w:tcPr>
          <w:p>
            <w:pPr>
              <w:jc w:val="right"/>
              <w:ind w:right="520"/>
              <w:spacing w:after="0"/>
              <w:rPr>
                <w:sz w:val="20"/>
                <w:szCs w:val="20"/>
                <w:color w:val="auto"/>
              </w:rPr>
            </w:pPr>
            <w:r>
              <w:rPr>
                <w:rFonts w:ascii="Arial" w:cs="Arial" w:eastAsia="Arial" w:hAnsi="Arial"/>
                <w:sz w:val="14"/>
                <w:szCs w:val="14"/>
                <w:b w:val="1"/>
                <w:bCs w:val="1"/>
                <w:color w:val="auto"/>
              </w:rPr>
              <w:t>As of</w:t>
            </w:r>
          </w:p>
        </w:tc>
      </w:tr>
      <w:tr>
        <w:trPr>
          <w:trHeight w:val="171"/>
        </w:trPr>
        <w:tc>
          <w:tcPr>
            <w:tcW w:w="55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60" w:type="dxa"/>
            <w:vAlign w:val="bottom"/>
            <w:gridSpan w:val="3"/>
          </w:tcPr>
          <w:p>
            <w:pPr>
              <w:spacing w:after="0"/>
              <w:rPr>
                <w:sz w:val="20"/>
                <w:szCs w:val="20"/>
                <w:color w:val="auto"/>
              </w:rPr>
            </w:pPr>
            <w:r>
              <w:rPr>
                <w:rFonts w:ascii="Arial" w:cs="Arial" w:eastAsia="Arial" w:hAnsi="Arial"/>
                <w:sz w:val="14"/>
                <w:szCs w:val="14"/>
                <w:b w:val="1"/>
                <w:bCs w:val="1"/>
                <w:color w:val="auto"/>
                <w:w w:val="98"/>
              </w:rPr>
              <w:t>December 31, 2017</w:t>
            </w:r>
          </w:p>
        </w:tc>
      </w:tr>
      <w:tr>
        <w:trPr>
          <w:trHeight w:val="223"/>
        </w:trPr>
        <w:tc>
          <w:tcPr>
            <w:tcW w:w="556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2018</w:t>
            </w:r>
          </w:p>
        </w:tc>
        <w:tc>
          <w:tcPr>
            <w:tcW w:w="20" w:type="dxa"/>
            <w:vAlign w:val="bottom"/>
            <w:tcBorders>
              <w:top w:val="single" w:sz="8" w:color="CFF0FC"/>
            </w:tcBorders>
            <w:shd w:val="clear" w:color="auto" w:fill="CFF0FC"/>
          </w:tcPr>
          <w:p>
            <w:pPr>
              <w:spacing w:after="0"/>
              <w:rPr>
                <w:sz w:val="19"/>
                <w:szCs w:val="19"/>
                <w:color w:val="auto"/>
              </w:rPr>
            </w:pPr>
          </w:p>
        </w:tc>
        <w:tc>
          <w:tcPr>
            <w:tcW w:w="240" w:type="dxa"/>
            <w:vAlign w:val="bottom"/>
            <w:tcBorders>
              <w:top w:val="single" w:sz="8" w:color="auto"/>
            </w:tcBorders>
            <w:shd w:val="clear" w:color="auto" w:fill="CFF0FC"/>
          </w:tcPr>
          <w:p>
            <w:pPr>
              <w:spacing w:after="0"/>
              <w:rPr>
                <w:sz w:val="20"/>
                <w:szCs w:val="20"/>
                <w:color w:val="auto"/>
              </w:rPr>
            </w:pPr>
            <w:r>
              <w:rPr>
                <w:rFonts w:ascii="Arial" w:cs="Arial" w:eastAsia="Arial" w:hAnsi="Arial"/>
                <w:sz w:val="18"/>
                <w:szCs w:val="18"/>
                <w:color w:val="auto"/>
              </w:rPr>
              <w:t>$</w:t>
            </w:r>
          </w:p>
        </w:tc>
        <w:tc>
          <w:tcPr>
            <w:tcW w:w="9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8,000</w:t>
            </w:r>
          </w:p>
        </w:tc>
        <w:tc>
          <w:tcPr>
            <w:tcW w:w="80" w:type="dxa"/>
            <w:vAlign w:val="bottom"/>
            <w:tcBorders>
              <w:top w:val="single" w:sz="8" w:color="CFF0FC"/>
            </w:tcBorders>
            <w:shd w:val="clear" w:color="auto" w:fill="CFF0FC"/>
          </w:tcPr>
          <w:p>
            <w:pPr>
              <w:spacing w:after="0"/>
              <w:rPr>
                <w:sz w:val="19"/>
                <w:szCs w:val="19"/>
                <w:color w:val="auto"/>
              </w:rPr>
            </w:pPr>
          </w:p>
        </w:tc>
      </w:tr>
      <w:tr>
        <w:trPr>
          <w:trHeight w:val="230"/>
        </w:trPr>
        <w:tc>
          <w:tcPr>
            <w:tcW w:w="556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2019</w:t>
            </w:r>
          </w:p>
        </w:tc>
        <w:tc>
          <w:tcPr>
            <w:tcW w:w="20" w:type="dxa"/>
            <w:vAlign w:val="bottom"/>
            <w:tcBorders>
              <w:bottom w:val="single" w:sz="8" w:color="CFF0FC"/>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5,300</w:t>
            </w:r>
          </w:p>
        </w:tc>
        <w:tc>
          <w:tcPr>
            <w:tcW w:w="80" w:type="dxa"/>
            <w:vAlign w:val="bottom"/>
            <w:tcBorders>
              <w:bottom w:val="single" w:sz="8" w:color="CFF0FC"/>
            </w:tcBorders>
          </w:tcPr>
          <w:p>
            <w:pPr>
              <w:spacing w:after="0"/>
              <w:rPr>
                <w:sz w:val="19"/>
                <w:szCs w:val="19"/>
                <w:color w:val="auto"/>
              </w:rPr>
            </w:pPr>
          </w:p>
        </w:tc>
      </w:tr>
      <w:tr>
        <w:trPr>
          <w:trHeight w:val="223"/>
        </w:trPr>
        <w:tc>
          <w:tcPr>
            <w:tcW w:w="5560" w:type="dxa"/>
            <w:vAlign w:val="bottom"/>
            <w:shd w:val="clear" w:color="auto" w:fill="CFF0FC"/>
          </w:tcPr>
          <w:p>
            <w:pPr>
              <w:ind w:left="120"/>
              <w:spacing w:after="0"/>
              <w:rPr>
                <w:sz w:val="20"/>
                <w:szCs w:val="20"/>
                <w:color w:val="auto"/>
              </w:rPr>
            </w:pPr>
            <w:r>
              <w:rPr>
                <w:rFonts w:ascii="Arial" w:cs="Arial" w:eastAsia="Arial" w:hAnsi="Arial"/>
                <w:sz w:val="18"/>
                <w:szCs w:val="18"/>
                <w:color w:val="auto"/>
              </w:rPr>
              <w:t>Total</w:t>
            </w:r>
          </w:p>
        </w:tc>
        <w:tc>
          <w:tcPr>
            <w:tcW w:w="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13,300</w:t>
            </w:r>
          </w:p>
        </w:tc>
        <w:tc>
          <w:tcPr>
            <w:tcW w:w="80" w:type="dxa"/>
            <w:vAlign w:val="bottom"/>
            <w:shd w:val="clear" w:color="auto" w:fill="CFF0FC"/>
          </w:tcPr>
          <w:p>
            <w:pPr>
              <w:spacing w:after="0"/>
              <w:rPr>
                <w:sz w:val="19"/>
                <w:szCs w:val="19"/>
                <w:color w:val="auto"/>
              </w:rPr>
            </w:pPr>
          </w:p>
        </w:tc>
      </w:tr>
      <w:tr>
        <w:trPr>
          <w:trHeight w:val="230"/>
        </w:trPr>
        <w:tc>
          <w:tcPr>
            <w:tcW w:w="5560" w:type="dxa"/>
            <w:vAlign w:val="bottom"/>
          </w:tcPr>
          <w:p>
            <w:pPr>
              <w:spacing w:after="0"/>
              <w:rPr>
                <w:sz w:val="20"/>
                <w:szCs w:val="20"/>
                <w:color w:val="auto"/>
              </w:rPr>
            </w:pPr>
            <w:r>
              <w:rPr>
                <w:rFonts w:ascii="Arial" w:cs="Arial" w:eastAsia="Arial" w:hAnsi="Arial"/>
                <w:sz w:val="18"/>
                <w:szCs w:val="18"/>
                <w:color w:val="auto"/>
              </w:rPr>
              <w:t>Less debt discount</w:t>
            </w:r>
          </w:p>
        </w:tc>
        <w:tc>
          <w:tcPr>
            <w:tcW w:w="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20" w:type="dxa"/>
            <w:vAlign w:val="bottom"/>
            <w:gridSpan w:val="2"/>
          </w:tcPr>
          <w:p>
            <w:pPr>
              <w:jc w:val="right"/>
              <w:ind w:right="20"/>
              <w:spacing w:after="0"/>
              <w:rPr>
                <w:sz w:val="20"/>
                <w:szCs w:val="20"/>
                <w:color w:val="auto"/>
              </w:rPr>
            </w:pPr>
            <w:r>
              <w:rPr>
                <w:rFonts w:ascii="Arial" w:cs="Arial" w:eastAsia="Arial" w:hAnsi="Arial"/>
                <w:sz w:val="18"/>
                <w:szCs w:val="18"/>
                <w:color w:val="auto"/>
              </w:rPr>
              <w:t>(299)</w:t>
            </w:r>
          </w:p>
        </w:tc>
      </w:tr>
      <w:tr>
        <w:trPr>
          <w:trHeight w:val="230"/>
        </w:trPr>
        <w:tc>
          <w:tcPr>
            <w:tcW w:w="5560" w:type="dxa"/>
            <w:vAlign w:val="bottom"/>
            <w:shd w:val="clear" w:color="auto" w:fill="CFF0FC"/>
          </w:tcPr>
          <w:p>
            <w:pPr>
              <w:spacing w:after="0"/>
              <w:rPr>
                <w:sz w:val="20"/>
                <w:szCs w:val="20"/>
                <w:color w:val="auto"/>
              </w:rPr>
            </w:pPr>
            <w:r>
              <w:rPr>
                <w:rFonts w:ascii="Arial" w:cs="Arial" w:eastAsia="Arial" w:hAnsi="Arial"/>
                <w:sz w:val="18"/>
                <w:szCs w:val="18"/>
                <w:color w:val="auto"/>
              </w:rPr>
              <w:t>Less current portion</w:t>
            </w:r>
          </w:p>
        </w:tc>
        <w:tc>
          <w:tcPr>
            <w:tcW w:w="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02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(7,730)</w:t>
            </w:r>
          </w:p>
        </w:tc>
      </w:tr>
      <w:tr>
        <w:trPr>
          <w:trHeight w:val="223"/>
        </w:trPr>
        <w:tc>
          <w:tcPr>
            <w:tcW w:w="5560" w:type="dxa"/>
            <w:vAlign w:val="bottom"/>
          </w:tcPr>
          <w:p>
            <w:pPr>
              <w:ind w:left="120"/>
              <w:spacing w:after="0"/>
              <w:rPr>
                <w:sz w:val="20"/>
                <w:szCs w:val="20"/>
                <w:color w:val="auto"/>
              </w:rPr>
            </w:pPr>
            <w:r>
              <w:rPr>
                <w:rFonts w:ascii="Arial" w:cs="Arial" w:eastAsia="Arial" w:hAnsi="Arial"/>
                <w:sz w:val="18"/>
                <w:szCs w:val="18"/>
                <w:color w:val="auto"/>
              </w:rPr>
              <w:t>Non-current portion</w:t>
            </w:r>
          </w:p>
        </w:tc>
        <w:tc>
          <w:tcPr>
            <w:tcW w:w="20" w:type="dxa"/>
            <w:vAlign w:val="bottom"/>
            <w:tcBorders>
              <w:bottom w:val="single" w:sz="8" w:color="auto"/>
            </w:tcBorders>
          </w:tcPr>
          <w:p>
            <w:pPr>
              <w:spacing w:after="0"/>
              <w:rPr>
                <w:sz w:val="19"/>
                <w:szCs w:val="19"/>
                <w:color w:val="auto"/>
              </w:rPr>
            </w:pPr>
          </w:p>
        </w:tc>
        <w:tc>
          <w:tcPr>
            <w:tcW w:w="24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5,271</w:t>
            </w:r>
          </w:p>
        </w:tc>
        <w:tc>
          <w:tcPr>
            <w:tcW w:w="80" w:type="dxa"/>
            <w:vAlign w:val="bottom"/>
          </w:tcPr>
          <w:p>
            <w:pPr>
              <w:spacing w:after="0"/>
              <w:rPr>
                <w:sz w:val="19"/>
                <w:szCs w:val="19"/>
                <w:color w:val="auto"/>
              </w:rPr>
            </w:pPr>
          </w:p>
        </w:tc>
      </w:tr>
      <w:tr>
        <w:trPr>
          <w:trHeight w:val="20"/>
        </w:trPr>
        <w:tc>
          <w:tcPr>
            <w:tcW w:w="55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188" w:lineRule="exact"/>
        <w:rPr>
          <w:sz w:val="20"/>
          <w:szCs w:val="20"/>
          <w:color w:val="auto"/>
        </w:rPr>
      </w:pPr>
    </w:p>
    <w:p>
      <w:pPr>
        <w:spacing w:after="0"/>
        <w:rPr>
          <w:sz w:val="20"/>
          <w:szCs w:val="20"/>
          <w:color w:val="auto"/>
        </w:rPr>
      </w:pPr>
      <w:r>
        <w:rPr>
          <w:rFonts w:ascii="Arial" w:cs="Arial" w:eastAsia="Arial" w:hAnsi="Arial"/>
          <w:sz w:val="18"/>
          <w:szCs w:val="18"/>
          <w:color w:val="auto"/>
        </w:rPr>
        <w:t>For the year ended December 31, 2017 and 2016, the Company made principal repayments of $8,000 and $0.</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Convertible Notes</w:t>
      </w:r>
    </w:p>
    <w:p>
      <w:pPr>
        <w:spacing w:after="0" w:line="117" w:lineRule="exact"/>
        <w:rPr>
          <w:sz w:val="20"/>
          <w:szCs w:val="20"/>
          <w:color w:val="auto"/>
        </w:rPr>
      </w:pPr>
    </w:p>
    <w:p>
      <w:pPr>
        <w:spacing w:after="0" w:line="264" w:lineRule="auto"/>
        <w:rPr>
          <w:sz w:val="20"/>
          <w:szCs w:val="20"/>
          <w:color w:val="auto"/>
        </w:rPr>
      </w:pPr>
      <w:r>
        <w:rPr>
          <w:rFonts w:ascii="Arial" w:cs="Arial" w:eastAsia="Arial" w:hAnsi="Arial"/>
          <w:sz w:val="18"/>
          <w:szCs w:val="18"/>
          <w:color w:val="auto"/>
        </w:rPr>
        <w:t>On September 6, 2017, the Company issued $5,000 in subordinated convertible notes (Convertible Notes) that accrued interest at 5.0% per annum, in a private placement transaction with certain of the Company’s existing stockholders and their affiliated entities, including investors affiliated with certain of the Company’s directors.</w:t>
      </w:r>
    </w:p>
    <w:p>
      <w:pPr>
        <w:spacing w:after="0" w:line="73" w:lineRule="exact"/>
        <w:rPr>
          <w:sz w:val="20"/>
          <w:szCs w:val="20"/>
          <w:color w:val="auto"/>
        </w:rPr>
      </w:pPr>
    </w:p>
    <w:p>
      <w:pPr>
        <w:ind w:right="40"/>
        <w:spacing w:after="0" w:line="264" w:lineRule="auto"/>
        <w:rPr>
          <w:sz w:val="20"/>
          <w:szCs w:val="20"/>
          <w:color w:val="auto"/>
        </w:rPr>
      </w:pPr>
      <w:r>
        <w:rPr>
          <w:rFonts w:ascii="Arial" w:cs="Arial" w:eastAsia="Arial" w:hAnsi="Arial"/>
          <w:sz w:val="18"/>
          <w:szCs w:val="18"/>
          <w:color w:val="auto"/>
        </w:rPr>
        <w:t>Pursuant to the terms of the Convertible Notes, the aggregate outstanding principal and unpaid but accrued interest automatically converted into 718,184 shares of the Company’s common stock, upon the consummation of the IPO. There was no outstanding balance on the Convertible Notes as of December 31, 2017.</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8. PREFERRED STOCK</w:t>
      </w:r>
    </w:p>
    <w:p>
      <w:pPr>
        <w:spacing w:after="0" w:line="121"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color w:val="auto"/>
        </w:rPr>
        <w:t>As of December 31, 2017, the Company had 10,000,000 shares of preferred stock authorized with a par value of $0.0001. No shares of preferred stock were outstanding as of December 31, 2017.</w:t>
      </w:r>
    </w:p>
    <w:p>
      <w:pPr>
        <w:spacing w:after="0" w:line="10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Convertible Preferred Stock</w:t>
      </w:r>
    </w:p>
    <w:p>
      <w:pPr>
        <w:spacing w:after="0" w:line="117" w:lineRule="exact"/>
        <w:rPr>
          <w:sz w:val="20"/>
          <w:szCs w:val="20"/>
          <w:color w:val="auto"/>
        </w:rPr>
      </w:pPr>
    </w:p>
    <w:p>
      <w:pPr>
        <w:ind w:right="640"/>
        <w:spacing w:after="0" w:line="277" w:lineRule="auto"/>
        <w:rPr>
          <w:sz w:val="20"/>
          <w:szCs w:val="20"/>
          <w:color w:val="auto"/>
        </w:rPr>
      </w:pPr>
      <w:r>
        <w:rPr>
          <w:rFonts w:ascii="Arial" w:cs="Arial" w:eastAsia="Arial" w:hAnsi="Arial"/>
          <w:sz w:val="18"/>
          <w:szCs w:val="18"/>
          <w:color w:val="auto"/>
        </w:rPr>
        <w:t>During the year ended December 31, 2017, the Company issued an aggregate of 1,529,306 shares of Series C convertible preferred stock for net cash proceeds of $10,209, net of issuance cost of $726.</w:t>
      </w:r>
    </w:p>
    <w:p>
      <w:pPr>
        <w:spacing w:after="0" w:line="62" w:lineRule="exact"/>
        <w:rPr>
          <w:sz w:val="20"/>
          <w:szCs w:val="20"/>
          <w:color w:val="auto"/>
        </w:rPr>
      </w:pPr>
    </w:p>
    <w:p>
      <w:pPr>
        <w:ind w:right="600"/>
        <w:spacing w:after="0" w:line="277" w:lineRule="auto"/>
        <w:rPr>
          <w:sz w:val="20"/>
          <w:szCs w:val="20"/>
          <w:color w:val="auto"/>
        </w:rPr>
      </w:pPr>
      <w:r>
        <w:rPr>
          <w:rFonts w:ascii="Arial" w:cs="Arial" w:eastAsia="Arial" w:hAnsi="Arial"/>
          <w:sz w:val="18"/>
          <w:szCs w:val="18"/>
          <w:color w:val="auto"/>
        </w:rPr>
        <w:t>Upon the closing of the IPO (as discussed in Note 1), all outstanding shares of Series A, Series AA, Series B and Series C convertible preferred stock converted into 22,671,601 shares of common stock.</w:t>
      </w:r>
    </w:p>
    <w:p>
      <w:pPr>
        <w:spacing w:after="0" w:line="62" w:lineRule="exact"/>
        <w:rPr>
          <w:sz w:val="20"/>
          <w:szCs w:val="20"/>
          <w:color w:val="auto"/>
        </w:rPr>
      </w:pPr>
    </w:p>
    <w:p>
      <w:pPr>
        <w:ind w:right="640"/>
        <w:spacing w:after="0" w:line="277" w:lineRule="auto"/>
        <w:rPr>
          <w:sz w:val="20"/>
          <w:szCs w:val="20"/>
          <w:color w:val="auto"/>
        </w:rPr>
      </w:pPr>
      <w:r>
        <w:rPr>
          <w:rFonts w:ascii="Arial" w:cs="Arial" w:eastAsia="Arial" w:hAnsi="Arial"/>
          <w:sz w:val="18"/>
          <w:szCs w:val="18"/>
          <w:color w:val="auto"/>
        </w:rPr>
        <w:t>During the year ended December 31, 2016, the Company issued an aggregate of 1,805,518 shares of Series C convertible preferred stock for net cash proceeds of $12,073, net of issuance cost of $837.</w:t>
      </w:r>
    </w:p>
    <w:p>
      <w:pPr>
        <w:spacing w:after="0" w:line="170"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380"/>
          </w:cols>
          <w:pgMar w:left="240" w:top="449" w:right="279" w:bottom="1440" w:gutter="0" w:footer="0" w:header="0"/>
        </w:sectPr>
      </w:pPr>
    </w:p>
    <w:bookmarkStart w:id="92" w:name="page93"/>
    <w:bookmarkEnd w:id="92"/>
    <w:p>
      <w:pPr>
        <w:spacing w:after="0"/>
        <w:rPr>
          <w:sz w:val="20"/>
          <w:szCs w:val="20"/>
          <w:color w:val="auto"/>
        </w:rPr>
      </w:pPr>
      <w:r>
        <w:rPr>
          <w:rFonts w:ascii="Arial" w:cs="Arial" w:eastAsia="Arial" w:hAnsi="Arial"/>
          <w:sz w:val="18"/>
          <w:szCs w:val="18"/>
          <w:color w:val="auto"/>
        </w:rPr>
        <w:t>The convertible preferred stock as of December 31, 2016 consisted of the following:</w:t>
      </w:r>
    </w:p>
    <w:p>
      <w:pPr>
        <w:spacing w:after="0" w:line="284" w:lineRule="exact"/>
        <w:rPr>
          <w:sz w:val="20"/>
          <w:szCs w:val="20"/>
          <w:color w:val="auto"/>
        </w:rPr>
      </w:pPr>
    </w:p>
    <w:tbl>
      <w:tblPr>
        <w:tblLayout w:type="fixed"/>
        <w:tblInd w:w="580" w:type="dxa"/>
        <w:tblCellMar>
          <w:top w:w="0" w:type="dxa"/>
          <w:left w:w="0" w:type="dxa"/>
          <w:bottom w:w="0" w:type="dxa"/>
          <w:right w:w="0" w:type="dxa"/>
        </w:tblCellMar>
      </w:tblPr>
      <w:tr>
        <w:trPr>
          <w:trHeight w:val="171"/>
        </w:trPr>
        <w:tc>
          <w:tcPr>
            <w:tcW w:w="5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4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2300" w:type="dxa"/>
            <w:vAlign w:val="bottom"/>
            <w:tcBorders>
              <w:bottom w:val="single" w:sz="8" w:color="auto"/>
            </w:tcBorders>
            <w:gridSpan w:val="4"/>
          </w:tcPr>
          <w:p>
            <w:pPr>
              <w:jc w:val="right"/>
              <w:ind w:right="475"/>
              <w:spacing w:after="0"/>
              <w:rPr>
                <w:sz w:val="20"/>
                <w:szCs w:val="20"/>
                <w:color w:val="auto"/>
              </w:rPr>
            </w:pPr>
            <w:r>
              <w:rPr>
                <w:rFonts w:ascii="Arial" w:cs="Arial" w:eastAsia="Arial" w:hAnsi="Arial"/>
                <w:sz w:val="14"/>
                <w:szCs w:val="14"/>
                <w:b w:val="1"/>
                <w:bCs w:val="1"/>
                <w:color w:val="auto"/>
              </w:rPr>
              <w:t>December 31, 2016</w:t>
            </w:r>
          </w:p>
        </w:tc>
        <w:tc>
          <w:tcPr>
            <w:tcW w:w="22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532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Convertible Preferred Stock:</w:t>
            </w:r>
          </w:p>
        </w:tc>
        <w:tc>
          <w:tcPr>
            <w:tcW w:w="1260" w:type="dxa"/>
            <w:vAlign w:val="bottom"/>
            <w:gridSpan w:val="2"/>
          </w:tcPr>
          <w:p>
            <w:pPr>
              <w:jc w:val="center"/>
              <w:ind w:right="240"/>
              <w:spacing w:after="0" w:line="133" w:lineRule="exact"/>
              <w:rPr>
                <w:sz w:val="20"/>
                <w:szCs w:val="20"/>
                <w:color w:val="auto"/>
              </w:rPr>
            </w:pPr>
            <w:r>
              <w:rPr>
                <w:rFonts w:ascii="Arial" w:cs="Arial" w:eastAsia="Arial" w:hAnsi="Arial"/>
                <w:sz w:val="14"/>
                <w:szCs w:val="14"/>
                <w:b w:val="1"/>
                <w:bCs w:val="1"/>
                <w:color w:val="auto"/>
                <w:w w:val="89"/>
              </w:rPr>
              <w:t>Shares</w:t>
            </w:r>
          </w:p>
        </w:tc>
        <w:tc>
          <w:tcPr>
            <w:tcW w:w="1040" w:type="dxa"/>
            <w:vAlign w:val="bottom"/>
          </w:tcPr>
          <w:p>
            <w:pPr>
              <w:jc w:val="right"/>
              <w:ind w:right="257"/>
              <w:spacing w:after="0" w:line="133" w:lineRule="exact"/>
              <w:rPr>
                <w:sz w:val="20"/>
                <w:szCs w:val="20"/>
                <w:color w:val="auto"/>
              </w:rPr>
            </w:pPr>
            <w:r>
              <w:rPr>
                <w:rFonts w:ascii="Arial" w:cs="Arial" w:eastAsia="Arial" w:hAnsi="Arial"/>
                <w:sz w:val="14"/>
                <w:szCs w:val="14"/>
                <w:b w:val="1"/>
                <w:bCs w:val="1"/>
                <w:color w:val="auto"/>
              </w:rPr>
              <w:t>Shares</w:t>
            </w:r>
          </w:p>
        </w:tc>
        <w:tc>
          <w:tcPr>
            <w:tcW w:w="2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60" w:type="dxa"/>
            <w:vAlign w:val="bottom"/>
          </w:tcPr>
          <w:p>
            <w:pPr>
              <w:jc w:val="right"/>
              <w:ind w:right="35"/>
              <w:spacing w:after="0" w:line="133" w:lineRule="exact"/>
              <w:rPr>
                <w:sz w:val="20"/>
                <w:szCs w:val="20"/>
                <w:color w:val="auto"/>
              </w:rPr>
            </w:pPr>
            <w:r>
              <w:rPr>
                <w:rFonts w:ascii="Arial" w:cs="Arial" w:eastAsia="Arial" w:hAnsi="Arial"/>
                <w:sz w:val="14"/>
                <w:szCs w:val="14"/>
                <w:b w:val="1"/>
                <w:bCs w:val="1"/>
                <w:color w:val="auto"/>
                <w:w w:val="97"/>
              </w:rPr>
              <w:t>Net Carrying</w:t>
            </w:r>
          </w:p>
        </w:tc>
        <w:tc>
          <w:tcPr>
            <w:tcW w:w="2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40" w:type="dxa"/>
            <w:vAlign w:val="bottom"/>
          </w:tcPr>
          <w:p>
            <w:pPr>
              <w:jc w:val="center"/>
              <w:ind w:right="55"/>
              <w:spacing w:after="0" w:line="133" w:lineRule="exact"/>
              <w:rPr>
                <w:sz w:val="20"/>
                <w:szCs w:val="20"/>
                <w:color w:val="auto"/>
              </w:rPr>
            </w:pPr>
            <w:r>
              <w:rPr>
                <w:rFonts w:ascii="Arial" w:cs="Arial" w:eastAsia="Arial" w:hAnsi="Arial"/>
                <w:sz w:val="14"/>
                <w:szCs w:val="14"/>
                <w:b w:val="1"/>
                <w:bCs w:val="1"/>
                <w:color w:val="auto"/>
                <w:w w:val="95"/>
              </w:rPr>
              <w:t>Liquidation</w:t>
            </w: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1"/>
        </w:trPr>
        <w:tc>
          <w:tcPr>
            <w:tcW w:w="5320" w:type="dxa"/>
            <w:vAlign w:val="bottom"/>
            <w:gridSpan w:val="2"/>
            <w:vMerge w:val="continue"/>
          </w:tcPr>
          <w:p>
            <w:pPr>
              <w:spacing w:after="0"/>
              <w:rPr>
                <w:sz w:val="14"/>
                <w:szCs w:val="14"/>
                <w:color w:val="auto"/>
              </w:rPr>
            </w:pPr>
          </w:p>
        </w:tc>
        <w:tc>
          <w:tcPr>
            <w:tcW w:w="126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5"/>
              </w:rPr>
              <w:t>Authorized</w:t>
            </w:r>
          </w:p>
        </w:tc>
        <w:tc>
          <w:tcPr>
            <w:tcW w:w="1040" w:type="dxa"/>
            <w:vAlign w:val="bottom"/>
          </w:tcPr>
          <w:p>
            <w:pPr>
              <w:jc w:val="right"/>
              <w:ind w:right="77"/>
              <w:spacing w:after="0"/>
              <w:rPr>
                <w:sz w:val="20"/>
                <w:szCs w:val="20"/>
                <w:color w:val="auto"/>
              </w:rPr>
            </w:pPr>
            <w:r>
              <w:rPr>
                <w:rFonts w:ascii="Arial" w:cs="Arial" w:eastAsia="Arial" w:hAnsi="Arial"/>
                <w:sz w:val="14"/>
                <w:szCs w:val="14"/>
                <w:b w:val="1"/>
                <w:bCs w:val="1"/>
                <w:color w:val="auto"/>
              </w:rPr>
              <w:t>Outstanding</w:t>
            </w: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60" w:type="dxa"/>
            <w:vAlign w:val="bottom"/>
          </w:tcPr>
          <w:p>
            <w:pPr>
              <w:jc w:val="right"/>
              <w:ind w:right="275"/>
              <w:spacing w:after="0"/>
              <w:rPr>
                <w:sz w:val="20"/>
                <w:szCs w:val="20"/>
                <w:color w:val="auto"/>
              </w:rPr>
            </w:pPr>
            <w:r>
              <w:rPr>
                <w:rFonts w:ascii="Arial" w:cs="Arial" w:eastAsia="Arial" w:hAnsi="Arial"/>
                <w:sz w:val="14"/>
                <w:szCs w:val="14"/>
                <w:b w:val="1"/>
                <w:bCs w:val="1"/>
                <w:color w:val="auto"/>
              </w:rPr>
              <w:t>Value</w:t>
            </w: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6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1"/>
              </w:rPr>
              <w:t>Preference</w:t>
            </w:r>
          </w:p>
        </w:tc>
        <w:tc>
          <w:tcPr>
            <w:tcW w:w="0" w:type="dxa"/>
            <w:vAlign w:val="bottom"/>
          </w:tcPr>
          <w:p>
            <w:pPr>
              <w:spacing w:after="0"/>
              <w:rPr>
                <w:sz w:val="1"/>
                <w:szCs w:val="1"/>
                <w:color w:val="auto"/>
              </w:rPr>
            </w:pPr>
          </w:p>
        </w:tc>
      </w:tr>
      <w:tr>
        <w:trPr>
          <w:trHeight w:val="223"/>
        </w:trPr>
        <w:tc>
          <w:tcPr>
            <w:tcW w:w="5200" w:type="dxa"/>
            <w:vAlign w:val="bottom"/>
            <w:tcBorders>
              <w:top w:val="single" w:sz="8" w:color="auto"/>
            </w:tcBorders>
            <w:shd w:val="clear" w:color="auto" w:fill="CFF0FC"/>
          </w:tcPr>
          <w:p>
            <w:pPr>
              <w:spacing w:after="0"/>
              <w:rPr>
                <w:sz w:val="20"/>
                <w:szCs w:val="20"/>
                <w:color w:val="auto"/>
              </w:rPr>
            </w:pPr>
            <w:r>
              <w:rPr>
                <w:rFonts w:ascii="Arial" w:cs="Arial" w:eastAsia="Arial" w:hAnsi="Arial"/>
                <w:sz w:val="18"/>
                <w:szCs w:val="18"/>
                <w:color w:val="auto"/>
              </w:rPr>
              <w:t>Series A</w:t>
            </w:r>
          </w:p>
        </w:tc>
        <w:tc>
          <w:tcPr>
            <w:tcW w:w="120" w:type="dxa"/>
            <w:vAlign w:val="bottom"/>
            <w:tcBorders>
              <w:top w:val="single" w:sz="8" w:color="CFF0FC"/>
            </w:tcBorders>
            <w:shd w:val="clear" w:color="auto" w:fill="CFF0FC"/>
          </w:tcPr>
          <w:p>
            <w:pPr>
              <w:spacing w:after="0"/>
              <w:rPr>
                <w:sz w:val="19"/>
                <w:szCs w:val="19"/>
                <w:color w:val="auto"/>
              </w:rPr>
            </w:pPr>
          </w:p>
        </w:tc>
        <w:tc>
          <w:tcPr>
            <w:tcW w:w="10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25,092,906</w:t>
            </w:r>
          </w:p>
        </w:tc>
        <w:tc>
          <w:tcPr>
            <w:tcW w:w="220" w:type="dxa"/>
            <w:vAlign w:val="bottom"/>
            <w:tcBorders>
              <w:top w:val="single" w:sz="8" w:color="CFF0FC"/>
            </w:tcBorders>
            <w:shd w:val="clear" w:color="auto" w:fill="CFF0FC"/>
          </w:tcPr>
          <w:p>
            <w:pPr>
              <w:spacing w:after="0"/>
              <w:rPr>
                <w:sz w:val="19"/>
                <w:szCs w:val="19"/>
                <w:color w:val="auto"/>
              </w:rPr>
            </w:pPr>
          </w:p>
        </w:tc>
        <w:tc>
          <w:tcPr>
            <w:tcW w:w="10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2,509,232</w:t>
            </w:r>
          </w:p>
        </w:tc>
        <w:tc>
          <w:tcPr>
            <w:tcW w:w="20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11,140</w:t>
            </w:r>
          </w:p>
        </w:tc>
        <w:tc>
          <w:tcPr>
            <w:tcW w:w="22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9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11,292</w:t>
            </w:r>
          </w:p>
        </w:tc>
        <w:tc>
          <w:tcPr>
            <w:tcW w:w="12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320" w:type="dxa"/>
            <w:vAlign w:val="bottom"/>
            <w:gridSpan w:val="2"/>
          </w:tcPr>
          <w:p>
            <w:pPr>
              <w:spacing w:after="0"/>
              <w:rPr>
                <w:sz w:val="20"/>
                <w:szCs w:val="20"/>
                <w:color w:val="auto"/>
              </w:rPr>
            </w:pPr>
            <w:r>
              <w:rPr>
                <w:rFonts w:ascii="Arial" w:cs="Arial" w:eastAsia="Arial" w:hAnsi="Arial"/>
                <w:sz w:val="18"/>
                <w:szCs w:val="18"/>
                <w:color w:val="auto"/>
              </w:rPr>
              <w:t>Series B</w:t>
            </w:r>
          </w:p>
        </w:tc>
        <w:tc>
          <w:tcPr>
            <w:tcW w:w="1040" w:type="dxa"/>
            <w:vAlign w:val="bottom"/>
          </w:tcPr>
          <w:p>
            <w:pPr>
              <w:jc w:val="right"/>
              <w:spacing w:after="0"/>
              <w:rPr>
                <w:sz w:val="20"/>
                <w:szCs w:val="20"/>
                <w:color w:val="auto"/>
              </w:rPr>
            </w:pPr>
            <w:r>
              <w:rPr>
                <w:rFonts w:ascii="Arial" w:cs="Arial" w:eastAsia="Arial" w:hAnsi="Arial"/>
                <w:sz w:val="18"/>
                <w:szCs w:val="18"/>
                <w:color w:val="auto"/>
              </w:rPr>
              <w:t>38,461,538</w:t>
            </w:r>
          </w:p>
        </w:tc>
        <w:tc>
          <w:tcPr>
            <w:tcW w:w="2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3,846,132</w:t>
            </w: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24,926</w:t>
            </w:r>
          </w:p>
        </w:tc>
        <w:tc>
          <w:tcPr>
            <w:tcW w:w="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25,000</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32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Series C</w:t>
            </w: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9"/>
              </w:rPr>
              <w:t>170,100,000</w:t>
            </w:r>
          </w:p>
        </w:tc>
        <w:tc>
          <w:tcPr>
            <w:tcW w:w="220" w:type="dxa"/>
            <w:vAlign w:val="bottom"/>
            <w:shd w:val="clear" w:color="auto" w:fill="CFF0FC"/>
          </w:tcPr>
          <w:p>
            <w:pPr>
              <w:spacing w:after="0"/>
              <w:rPr>
                <w:sz w:val="19"/>
                <w:szCs w:val="19"/>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14,536,931</w:t>
            </w:r>
          </w:p>
        </w:tc>
        <w:tc>
          <w:tcPr>
            <w:tcW w:w="2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97,693</w:t>
            </w:r>
          </w:p>
        </w:tc>
        <w:tc>
          <w:tcPr>
            <w:tcW w:w="2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103,939</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320" w:type="dxa"/>
            <w:vAlign w:val="bottom"/>
            <w:tcBorders>
              <w:bottom w:val="single" w:sz="8" w:color="CFF0FC"/>
            </w:tcBorders>
            <w:gridSpan w:val="2"/>
          </w:tcPr>
          <w:p>
            <w:pPr>
              <w:spacing w:after="0"/>
              <w:rPr>
                <w:sz w:val="20"/>
                <w:szCs w:val="20"/>
                <w:color w:val="auto"/>
              </w:rPr>
            </w:pPr>
            <w:r>
              <w:rPr>
                <w:rFonts w:ascii="Arial" w:cs="Arial" w:eastAsia="Arial" w:hAnsi="Arial"/>
                <w:sz w:val="18"/>
                <w:szCs w:val="18"/>
                <w:color w:val="auto"/>
              </w:rPr>
              <w:t>Series AA</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2,500,000</w:t>
            </w:r>
          </w:p>
        </w:tc>
        <w:tc>
          <w:tcPr>
            <w:tcW w:w="220" w:type="dxa"/>
            <w:vAlign w:val="bottom"/>
            <w:tcBorders>
              <w:bottom w:val="single" w:sz="8" w:color="CFF0FC"/>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250,000</w:t>
            </w:r>
          </w:p>
        </w:tc>
        <w:tc>
          <w:tcPr>
            <w:tcW w:w="200" w:type="dxa"/>
            <w:vAlign w:val="bottom"/>
            <w:tcBorders>
              <w:bottom w:val="single" w:sz="8" w:color="CFF0FC"/>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1,976</w:t>
            </w:r>
          </w:p>
        </w:tc>
        <w:tc>
          <w:tcPr>
            <w:tcW w:w="220" w:type="dxa"/>
            <w:vAlign w:val="bottom"/>
            <w:tcBorders>
              <w:bottom w:val="single" w:sz="8" w:color="CFF0FC"/>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2,000</w:t>
            </w:r>
          </w:p>
        </w:tc>
        <w:tc>
          <w:tcPr>
            <w:tcW w:w="12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320" w:type="dxa"/>
            <w:vAlign w:val="bottom"/>
            <w:tcBorders>
              <w:bottom w:val="single" w:sz="8" w:color="CFF0FC"/>
            </w:tcBorders>
            <w:gridSpan w:val="2"/>
            <w:shd w:val="clear" w:color="auto" w:fill="CFF0FC"/>
          </w:tcPr>
          <w:p>
            <w:pPr>
              <w:ind w:left="120"/>
              <w:spacing w:after="0"/>
              <w:rPr>
                <w:sz w:val="20"/>
                <w:szCs w:val="20"/>
                <w:color w:val="auto"/>
              </w:rPr>
            </w:pPr>
            <w:r>
              <w:rPr>
                <w:rFonts w:ascii="Arial" w:cs="Arial" w:eastAsia="Arial" w:hAnsi="Arial"/>
                <w:sz w:val="18"/>
                <w:szCs w:val="18"/>
                <w:color w:val="auto"/>
              </w:rPr>
              <w:t>Total convertible preferred stock</w:t>
            </w:r>
          </w:p>
        </w:tc>
        <w:tc>
          <w:tcPr>
            <w:tcW w:w="10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9"/>
              </w:rPr>
              <w:t>236,154,444</w:t>
            </w:r>
          </w:p>
        </w:tc>
        <w:tc>
          <w:tcPr>
            <w:tcW w:w="220" w:type="dxa"/>
            <w:vAlign w:val="bottom"/>
            <w:tcBorders>
              <w:bottom w:val="single" w:sz="8" w:color="CFF0FC"/>
            </w:tcBorders>
            <w:shd w:val="clear" w:color="auto" w:fill="CFF0FC"/>
          </w:tcPr>
          <w:p>
            <w:pPr>
              <w:spacing w:after="0"/>
              <w:rPr>
                <w:sz w:val="19"/>
                <w:szCs w:val="19"/>
                <w:color w:val="auto"/>
              </w:rPr>
            </w:pPr>
          </w:p>
        </w:tc>
        <w:tc>
          <w:tcPr>
            <w:tcW w:w="10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21,142,295</w:t>
            </w:r>
          </w:p>
        </w:tc>
        <w:tc>
          <w:tcPr>
            <w:tcW w:w="200" w:type="dxa"/>
            <w:vAlign w:val="bottom"/>
            <w:tcBorders>
              <w:bottom w:val="single" w:sz="8" w:color="CFF0FC"/>
            </w:tcBorders>
            <w:shd w:val="clear" w:color="auto" w:fill="CFF0FC"/>
          </w:tcPr>
          <w:p>
            <w:pPr>
              <w:spacing w:after="0"/>
              <w:rPr>
                <w:sz w:val="19"/>
                <w:szCs w:val="19"/>
                <w:color w:val="auto"/>
              </w:rPr>
            </w:pPr>
          </w:p>
        </w:tc>
        <w:tc>
          <w:tcPr>
            <w:tcW w:w="1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135,735</w:t>
            </w:r>
          </w:p>
        </w:tc>
        <w:tc>
          <w:tcPr>
            <w:tcW w:w="220" w:type="dxa"/>
            <w:vAlign w:val="bottom"/>
            <w:tcBorders>
              <w:bottom w:val="single" w:sz="8" w:color="CFF0FC"/>
            </w:tcBorders>
            <w:shd w:val="clear" w:color="auto" w:fill="CFF0FC"/>
          </w:tcPr>
          <w:p>
            <w:pPr>
              <w:spacing w:after="0"/>
              <w:rPr>
                <w:sz w:val="19"/>
                <w:szCs w:val="19"/>
                <w:color w:val="auto"/>
              </w:rPr>
            </w:pPr>
          </w:p>
        </w:tc>
        <w:tc>
          <w:tcPr>
            <w:tcW w:w="1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9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142,231</w:t>
            </w:r>
          </w:p>
        </w:tc>
        <w:tc>
          <w:tcPr>
            <w:tcW w:w="120" w:type="dxa"/>
            <w:vAlign w:val="bottom"/>
            <w:tcBorders>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88" w:lineRule="exact"/>
        <w:rPr>
          <w:sz w:val="20"/>
          <w:szCs w:val="20"/>
          <w:color w:val="auto"/>
        </w:rPr>
      </w:pPr>
    </w:p>
    <w:p>
      <w:pPr>
        <w:spacing w:after="0"/>
        <w:rPr>
          <w:sz w:val="20"/>
          <w:szCs w:val="20"/>
          <w:color w:val="auto"/>
        </w:rPr>
      </w:pPr>
      <w:r>
        <w:rPr>
          <w:rFonts w:ascii="Arial" w:cs="Arial" w:eastAsia="Arial" w:hAnsi="Arial"/>
          <w:sz w:val="18"/>
          <w:szCs w:val="18"/>
          <w:color w:val="auto"/>
        </w:rPr>
        <w:t>On issuance, the Company’s convertible preferred stock was recorded at fair value or the amount of allocated proceeds, net of issuance costs.</w:t>
      </w:r>
    </w:p>
    <w:p>
      <w:pPr>
        <w:spacing w:after="0" w:line="117" w:lineRule="exact"/>
        <w:rPr>
          <w:sz w:val="20"/>
          <w:szCs w:val="20"/>
          <w:color w:val="auto"/>
        </w:rPr>
      </w:pPr>
    </w:p>
    <w:p>
      <w:pPr>
        <w:ind w:right="180"/>
        <w:spacing w:after="0" w:line="302" w:lineRule="auto"/>
        <w:rPr>
          <w:sz w:val="20"/>
          <w:szCs w:val="20"/>
          <w:color w:val="auto"/>
        </w:rPr>
      </w:pPr>
      <w:r>
        <w:rPr>
          <w:rFonts w:ascii="Arial" w:cs="Arial" w:eastAsia="Arial" w:hAnsi="Arial"/>
          <w:sz w:val="16"/>
          <w:szCs w:val="16"/>
          <w:color w:val="auto"/>
        </w:rPr>
        <w:t>The Company’s convertible preferred stock was classified outside of stockholders’ equity (deficit) from issuance through the closing of the IPO, because, in the event of certain “liquidation events” that are not solely within the Company’s control (including merger, acquisition, or sale of all or substantially all of the Company’s assets), the shares would have become redeemable at the option of the holders. The Company did not adjust the carrying values of the convertible preferred stock to the deemed liquidation values of such shares since a liquidation event was not probable at any of the reporting dates.</w:t>
      </w:r>
    </w:p>
    <w:p>
      <w:pPr>
        <w:spacing w:after="0" w:line="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9. PREFERRED AND COMMON STOCK WARRANTS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As of December 31, 2016, the preferred stock warrants consisted of the following:</w:t>
      </w: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540" w:type="dxa"/>
            <w:vAlign w:val="bottom"/>
          </w:tcPr>
          <w:p>
            <w:pPr>
              <w:spacing w:after="0"/>
              <w:rPr>
                <w:sz w:val="14"/>
                <w:szCs w:val="14"/>
                <w:color w:val="auto"/>
              </w:rPr>
            </w:pPr>
          </w:p>
        </w:tc>
        <w:tc>
          <w:tcPr>
            <w:tcW w:w="1540" w:type="dxa"/>
            <w:vAlign w:val="bottom"/>
          </w:tcPr>
          <w:p>
            <w:pPr>
              <w:jc w:val="right"/>
              <w:spacing w:after="0"/>
              <w:rPr>
                <w:sz w:val="20"/>
                <w:szCs w:val="20"/>
                <w:color w:val="auto"/>
              </w:rPr>
            </w:pPr>
            <w:r>
              <w:rPr>
                <w:rFonts w:ascii="Arial" w:cs="Arial" w:eastAsia="Arial" w:hAnsi="Arial"/>
                <w:sz w:val="14"/>
                <w:szCs w:val="14"/>
                <w:b w:val="1"/>
                <w:bCs w:val="1"/>
                <w:color w:val="auto"/>
                <w:w w:val="97"/>
              </w:rPr>
              <w:t>Warrants Outstanding</w:t>
            </w:r>
          </w:p>
        </w:tc>
        <w:tc>
          <w:tcPr>
            <w:tcW w:w="2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540" w:type="dxa"/>
            <w:vAlign w:val="bottom"/>
            <w:gridSpan w:val="2"/>
          </w:tcPr>
          <w:p>
            <w:pPr>
              <w:jc w:val="center"/>
              <w:ind w:right="600"/>
              <w:spacing w:after="0"/>
              <w:rPr>
                <w:sz w:val="20"/>
                <w:szCs w:val="20"/>
                <w:color w:val="auto"/>
              </w:rPr>
            </w:pPr>
            <w:r>
              <w:rPr>
                <w:rFonts w:ascii="Arial" w:cs="Arial" w:eastAsia="Arial" w:hAnsi="Arial"/>
                <w:sz w:val="14"/>
                <w:szCs w:val="14"/>
                <w:b w:val="1"/>
                <w:bCs w:val="1"/>
                <w:color w:val="auto"/>
                <w:w w:val="86"/>
              </w:rPr>
              <w:t>Exercise</w:t>
            </w:r>
          </w:p>
        </w:tc>
        <w:tc>
          <w:tcPr>
            <w:tcW w:w="222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6"/>
              </w:rPr>
              <w:t>Expiration</w:t>
            </w:r>
          </w:p>
        </w:tc>
        <w:tc>
          <w:tcPr>
            <w:tcW w:w="0" w:type="dxa"/>
            <w:vAlign w:val="bottom"/>
          </w:tcPr>
          <w:p>
            <w:pPr>
              <w:spacing w:after="0"/>
              <w:rPr>
                <w:sz w:val="1"/>
                <w:szCs w:val="1"/>
                <w:color w:val="auto"/>
              </w:rPr>
            </w:pPr>
          </w:p>
        </w:tc>
      </w:tr>
      <w:tr>
        <w:trPr>
          <w:trHeight w:val="171"/>
        </w:trPr>
        <w:tc>
          <w:tcPr>
            <w:tcW w:w="5540" w:type="dxa"/>
            <w:vAlign w:val="bottom"/>
          </w:tcPr>
          <w:p>
            <w:pPr>
              <w:spacing w:after="0"/>
              <w:rPr>
                <w:sz w:val="14"/>
                <w:szCs w:val="14"/>
                <w:color w:val="auto"/>
              </w:rPr>
            </w:pPr>
          </w:p>
        </w:tc>
        <w:tc>
          <w:tcPr>
            <w:tcW w:w="1540" w:type="dxa"/>
            <w:vAlign w:val="bottom"/>
          </w:tcPr>
          <w:p>
            <w:pPr>
              <w:jc w:val="right"/>
              <w:ind w:right="117"/>
              <w:spacing w:after="0"/>
              <w:rPr>
                <w:sz w:val="20"/>
                <w:szCs w:val="20"/>
                <w:color w:val="auto"/>
              </w:rPr>
            </w:pPr>
            <w:r>
              <w:rPr>
                <w:rFonts w:ascii="Arial" w:cs="Arial" w:eastAsia="Arial" w:hAnsi="Arial"/>
                <w:sz w:val="14"/>
                <w:szCs w:val="14"/>
                <w:b w:val="1"/>
                <w:bCs w:val="1"/>
                <w:color w:val="auto"/>
              </w:rPr>
              <w:t>December 31, 2016</w:t>
            </w:r>
          </w:p>
        </w:tc>
        <w:tc>
          <w:tcPr>
            <w:tcW w:w="2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540" w:type="dxa"/>
            <w:vAlign w:val="bottom"/>
            <w:gridSpan w:val="2"/>
          </w:tcPr>
          <w:p>
            <w:pPr>
              <w:jc w:val="center"/>
              <w:ind w:right="580"/>
              <w:spacing w:after="0"/>
              <w:rPr>
                <w:sz w:val="20"/>
                <w:szCs w:val="20"/>
                <w:color w:val="auto"/>
              </w:rPr>
            </w:pPr>
            <w:r>
              <w:rPr>
                <w:rFonts w:ascii="Arial" w:cs="Arial" w:eastAsia="Arial" w:hAnsi="Arial"/>
                <w:sz w:val="14"/>
                <w:szCs w:val="14"/>
                <w:b w:val="1"/>
                <w:bCs w:val="1"/>
                <w:color w:val="auto"/>
                <w:w w:val="93"/>
              </w:rPr>
              <w:t>Price</w:t>
            </w:r>
          </w:p>
        </w:tc>
        <w:tc>
          <w:tcPr>
            <w:tcW w:w="22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09"/>
        </w:trPr>
        <w:tc>
          <w:tcPr>
            <w:tcW w:w="5540" w:type="dxa"/>
            <w:vAlign w:val="bottom"/>
            <w:tcBorders>
              <w:top w:val="single" w:sz="8" w:color="CFF0FC"/>
            </w:tcBorders>
            <w:shd w:val="clear" w:color="auto" w:fill="CFF0FC"/>
          </w:tcPr>
          <w:p>
            <w:pPr>
              <w:jc w:val="center"/>
              <w:ind w:right="3050"/>
              <w:spacing w:after="0"/>
              <w:rPr>
                <w:sz w:val="20"/>
                <w:szCs w:val="20"/>
                <w:color w:val="auto"/>
              </w:rPr>
            </w:pPr>
            <w:r>
              <w:rPr>
                <w:rFonts w:ascii="Arial" w:cs="Arial" w:eastAsia="Arial" w:hAnsi="Arial"/>
                <w:sz w:val="18"/>
                <w:szCs w:val="18"/>
                <w:color w:val="auto"/>
                <w:w w:val="89"/>
              </w:rPr>
              <w:t>Series C preferred stock warrants</w:t>
            </w:r>
          </w:p>
        </w:tc>
        <w:tc>
          <w:tcPr>
            <w:tcW w:w="1540" w:type="dxa"/>
            <w:vAlign w:val="bottom"/>
            <w:tcBorders>
              <w:top w:val="single" w:sz="8" w:color="auto"/>
            </w:tcBorders>
            <w:shd w:val="clear" w:color="auto" w:fill="CFF0FC"/>
          </w:tcPr>
          <w:p>
            <w:pPr>
              <w:spacing w:after="0"/>
              <w:rPr>
                <w:sz w:val="18"/>
                <w:szCs w:val="18"/>
                <w:color w:val="auto"/>
              </w:rPr>
            </w:pPr>
          </w:p>
        </w:tc>
        <w:tc>
          <w:tcPr>
            <w:tcW w:w="280" w:type="dxa"/>
            <w:vAlign w:val="bottom"/>
            <w:tcBorders>
              <w:top w:val="single" w:sz="8" w:color="CFF0FC"/>
            </w:tcBorders>
            <w:shd w:val="clear" w:color="auto" w:fill="CFF0FC"/>
          </w:tcPr>
          <w:p>
            <w:pPr>
              <w:spacing w:after="0"/>
              <w:rPr>
                <w:sz w:val="18"/>
                <w:szCs w:val="18"/>
                <w:color w:val="auto"/>
              </w:rPr>
            </w:pPr>
          </w:p>
        </w:tc>
        <w:tc>
          <w:tcPr>
            <w:tcW w:w="300" w:type="dxa"/>
            <w:vAlign w:val="bottom"/>
            <w:tcBorders>
              <w:top w:val="single" w:sz="8" w:color="auto"/>
            </w:tcBorders>
            <w:shd w:val="clear" w:color="auto" w:fill="CFF0FC"/>
          </w:tcPr>
          <w:p>
            <w:pPr>
              <w:spacing w:after="0"/>
              <w:rPr>
                <w:sz w:val="18"/>
                <w:szCs w:val="18"/>
                <w:color w:val="auto"/>
              </w:rPr>
            </w:pPr>
          </w:p>
        </w:tc>
        <w:tc>
          <w:tcPr>
            <w:tcW w:w="1240" w:type="dxa"/>
            <w:vAlign w:val="bottom"/>
            <w:tcBorders>
              <w:top w:val="single" w:sz="8" w:color="auto"/>
            </w:tcBorders>
            <w:shd w:val="clear" w:color="auto" w:fill="CFF0FC"/>
          </w:tcPr>
          <w:p>
            <w:pPr>
              <w:spacing w:after="0"/>
              <w:rPr>
                <w:sz w:val="18"/>
                <w:szCs w:val="18"/>
                <w:color w:val="auto"/>
              </w:rPr>
            </w:pPr>
          </w:p>
        </w:tc>
        <w:tc>
          <w:tcPr>
            <w:tcW w:w="300" w:type="dxa"/>
            <w:vAlign w:val="bottom"/>
            <w:tcBorders>
              <w:top w:val="single" w:sz="8" w:color="CFF0FC"/>
            </w:tcBorders>
            <w:shd w:val="clear" w:color="auto" w:fill="CFF0FC"/>
          </w:tcPr>
          <w:p>
            <w:pPr>
              <w:spacing w:after="0"/>
              <w:rPr>
                <w:sz w:val="18"/>
                <w:szCs w:val="18"/>
                <w:color w:val="auto"/>
              </w:rPr>
            </w:pPr>
          </w:p>
        </w:tc>
        <w:tc>
          <w:tcPr>
            <w:tcW w:w="2220" w:type="dxa"/>
            <w:vAlign w:val="bottom"/>
            <w:tcBorders>
              <w:top w:val="single" w:sz="8" w:color="auto"/>
            </w:tcBorders>
            <w:shd w:val="clear" w:color="auto" w:fill="CFF0FC"/>
          </w:tcPr>
          <w:p>
            <w:pPr>
              <w:jc w:val="center"/>
              <w:spacing w:after="0"/>
              <w:rPr>
                <w:sz w:val="20"/>
                <w:szCs w:val="20"/>
                <w:color w:val="auto"/>
              </w:rPr>
            </w:pPr>
            <w:r>
              <w:rPr>
                <w:rFonts w:ascii="Arial" w:cs="Arial" w:eastAsia="Arial" w:hAnsi="Arial"/>
                <w:sz w:val="18"/>
                <w:szCs w:val="18"/>
                <w:color w:val="auto"/>
                <w:w w:val="88"/>
              </w:rPr>
              <w:t>Various dates in</w:t>
            </w:r>
          </w:p>
        </w:tc>
        <w:tc>
          <w:tcPr>
            <w:tcW w:w="0" w:type="dxa"/>
            <w:vAlign w:val="bottom"/>
          </w:tcPr>
          <w:p>
            <w:pPr>
              <w:spacing w:after="0"/>
              <w:rPr>
                <w:sz w:val="1"/>
                <w:szCs w:val="1"/>
                <w:color w:val="auto"/>
              </w:rPr>
            </w:pPr>
          </w:p>
        </w:tc>
      </w:tr>
      <w:tr>
        <w:trPr>
          <w:trHeight w:val="230"/>
        </w:trPr>
        <w:tc>
          <w:tcPr>
            <w:tcW w:w="5540" w:type="dxa"/>
            <w:vAlign w:val="bottom"/>
            <w:shd w:val="clear" w:color="auto" w:fill="CFF0FC"/>
          </w:tcPr>
          <w:p>
            <w:pPr>
              <w:spacing w:after="0"/>
              <w:rPr>
                <w:sz w:val="20"/>
                <w:szCs w:val="20"/>
                <w:color w:val="auto"/>
              </w:rPr>
            </w:pPr>
          </w:p>
        </w:tc>
        <w:tc>
          <w:tcPr>
            <w:tcW w:w="15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274,640</w:t>
            </w:r>
          </w:p>
        </w:tc>
        <w:tc>
          <w:tcPr>
            <w:tcW w:w="58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color w:val="auto"/>
              </w:rPr>
              <w:t>$</w:t>
            </w:r>
          </w:p>
        </w:tc>
        <w:tc>
          <w:tcPr>
            <w:tcW w:w="12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7.15</w:t>
            </w:r>
          </w:p>
        </w:tc>
        <w:tc>
          <w:tcPr>
            <w:tcW w:w="300" w:type="dxa"/>
            <w:vAlign w:val="bottom"/>
            <w:shd w:val="clear" w:color="auto" w:fill="CFF0FC"/>
          </w:tcPr>
          <w:p>
            <w:pPr>
              <w:spacing w:after="0"/>
              <w:rPr>
                <w:sz w:val="20"/>
                <w:szCs w:val="20"/>
                <w:color w:val="auto"/>
              </w:rPr>
            </w:pPr>
          </w:p>
        </w:tc>
        <w:tc>
          <w:tcPr>
            <w:tcW w:w="2220" w:type="dxa"/>
            <w:vAlign w:val="bottom"/>
            <w:shd w:val="clear" w:color="auto" w:fill="CFF0FC"/>
          </w:tcPr>
          <w:p>
            <w:pPr>
              <w:jc w:val="center"/>
              <w:spacing w:after="0"/>
              <w:rPr>
                <w:sz w:val="20"/>
                <w:szCs w:val="20"/>
                <w:color w:val="auto"/>
              </w:rPr>
            </w:pPr>
            <w:r>
              <w:rPr>
                <w:rFonts w:ascii="Arial" w:cs="Arial" w:eastAsia="Arial" w:hAnsi="Arial"/>
                <w:sz w:val="18"/>
                <w:szCs w:val="18"/>
                <w:color w:val="auto"/>
                <w:w w:val="89"/>
              </w:rPr>
              <w:t>2023 - 2024</w:t>
            </w:r>
          </w:p>
        </w:tc>
        <w:tc>
          <w:tcPr>
            <w:tcW w:w="0" w:type="dxa"/>
            <w:vAlign w:val="bottom"/>
          </w:tcPr>
          <w:p>
            <w:pPr>
              <w:spacing w:after="0"/>
              <w:rPr>
                <w:sz w:val="1"/>
                <w:szCs w:val="1"/>
                <w:color w:val="auto"/>
              </w:rPr>
            </w:pPr>
          </w:p>
        </w:tc>
      </w:tr>
      <w:tr>
        <w:trPr>
          <w:trHeight w:val="230"/>
        </w:trPr>
        <w:tc>
          <w:tcPr>
            <w:tcW w:w="5540" w:type="dxa"/>
            <w:vAlign w:val="bottom"/>
            <w:tcBorders>
              <w:bottom w:val="single" w:sz="8" w:color="CFF0FC"/>
            </w:tcBorders>
          </w:tcPr>
          <w:p>
            <w:pPr>
              <w:jc w:val="center"/>
              <w:ind w:right="3050"/>
              <w:spacing w:after="0"/>
              <w:rPr>
                <w:sz w:val="20"/>
                <w:szCs w:val="20"/>
                <w:color w:val="auto"/>
              </w:rPr>
            </w:pPr>
            <w:r>
              <w:rPr>
                <w:rFonts w:ascii="Arial" w:cs="Arial" w:eastAsia="Arial" w:hAnsi="Arial"/>
                <w:sz w:val="18"/>
                <w:szCs w:val="18"/>
                <w:color w:val="auto"/>
                <w:w w:val="89"/>
              </w:rPr>
              <w:t>Series C preferred stock warrants</w:t>
            </w:r>
          </w:p>
        </w:tc>
        <w:tc>
          <w:tcPr>
            <w:tcW w:w="1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110,486</w:t>
            </w:r>
          </w:p>
        </w:tc>
        <w:tc>
          <w:tcPr>
            <w:tcW w:w="280" w:type="dxa"/>
            <w:vAlign w:val="bottom"/>
            <w:tcBorders>
              <w:bottom w:val="single" w:sz="8" w:color="CFF0FC"/>
            </w:tcBorders>
          </w:tcPr>
          <w:p>
            <w:pPr>
              <w:spacing w:after="0"/>
              <w:rPr>
                <w:sz w:val="19"/>
                <w:szCs w:val="19"/>
                <w:color w:val="auto"/>
              </w:rPr>
            </w:pPr>
          </w:p>
        </w:tc>
        <w:tc>
          <w:tcPr>
            <w:tcW w:w="300" w:type="dxa"/>
            <w:vAlign w:val="bottom"/>
            <w:tcBorders>
              <w:bottom w:val="single" w:sz="8" w:color="CFF0FC"/>
            </w:tcBorders>
          </w:tcPr>
          <w:p>
            <w:pPr>
              <w:spacing w:after="0"/>
              <w:rPr>
                <w:sz w:val="19"/>
                <w:szCs w:val="19"/>
                <w:color w:val="auto"/>
              </w:rPr>
            </w:pPr>
          </w:p>
        </w:tc>
        <w:tc>
          <w:tcPr>
            <w:tcW w:w="1240" w:type="dxa"/>
            <w:vAlign w:val="bottom"/>
            <w:tcBorders>
              <w:bottom w:val="single" w:sz="8" w:color="CFF0FC"/>
            </w:tcBorders>
          </w:tcPr>
          <w:p>
            <w:pPr>
              <w:jc w:val="right"/>
              <w:spacing w:after="0"/>
              <w:rPr>
                <w:sz w:val="20"/>
                <w:szCs w:val="20"/>
                <w:color w:val="auto"/>
              </w:rPr>
            </w:pPr>
            <w:r>
              <w:rPr>
                <w:rFonts w:ascii="Arial" w:cs="Arial" w:eastAsia="Arial" w:hAnsi="Arial"/>
                <w:sz w:val="18"/>
                <w:szCs w:val="18"/>
                <w:color w:val="auto"/>
              </w:rPr>
              <w:t>7.15</w:t>
            </w:r>
          </w:p>
        </w:tc>
        <w:tc>
          <w:tcPr>
            <w:tcW w:w="300" w:type="dxa"/>
            <w:vAlign w:val="bottom"/>
            <w:tcBorders>
              <w:bottom w:val="single" w:sz="8" w:color="CFF0FC"/>
            </w:tcBorders>
          </w:tcPr>
          <w:p>
            <w:pPr>
              <w:spacing w:after="0"/>
              <w:rPr>
                <w:sz w:val="19"/>
                <w:szCs w:val="19"/>
                <w:color w:val="auto"/>
              </w:rPr>
            </w:pPr>
          </w:p>
        </w:tc>
        <w:tc>
          <w:tcPr>
            <w:tcW w:w="2220" w:type="dxa"/>
            <w:vAlign w:val="bottom"/>
            <w:tcBorders>
              <w:bottom w:val="single" w:sz="8" w:color="CFF0FC"/>
            </w:tcBorders>
          </w:tcPr>
          <w:p>
            <w:pPr>
              <w:jc w:val="center"/>
              <w:spacing w:after="0"/>
              <w:rPr>
                <w:sz w:val="20"/>
                <w:szCs w:val="20"/>
                <w:color w:val="auto"/>
              </w:rPr>
            </w:pPr>
            <w:r>
              <w:rPr>
                <w:rFonts w:ascii="Arial" w:cs="Arial" w:eastAsia="Arial" w:hAnsi="Arial"/>
                <w:sz w:val="18"/>
                <w:szCs w:val="18"/>
                <w:color w:val="auto"/>
                <w:w w:val="91"/>
              </w:rPr>
              <w:t>May 19, 2025</w:t>
            </w:r>
          </w:p>
        </w:tc>
        <w:tc>
          <w:tcPr>
            <w:tcW w:w="0" w:type="dxa"/>
            <w:vAlign w:val="bottom"/>
          </w:tcPr>
          <w:p>
            <w:pPr>
              <w:spacing w:after="0"/>
              <w:rPr>
                <w:sz w:val="1"/>
                <w:szCs w:val="1"/>
                <w:color w:val="auto"/>
              </w:rPr>
            </w:pPr>
          </w:p>
        </w:tc>
      </w:tr>
      <w:tr>
        <w:trPr>
          <w:trHeight w:val="223"/>
        </w:trPr>
        <w:tc>
          <w:tcPr>
            <w:tcW w:w="5540" w:type="dxa"/>
            <w:vAlign w:val="bottom"/>
            <w:tcBorders>
              <w:bottom w:val="single" w:sz="8" w:color="CFF0FC"/>
            </w:tcBorders>
            <w:shd w:val="clear" w:color="auto" w:fill="CFF0FC"/>
          </w:tcPr>
          <w:p>
            <w:pPr>
              <w:jc w:val="center"/>
              <w:ind w:right="3010"/>
              <w:spacing w:after="0"/>
              <w:rPr>
                <w:sz w:val="20"/>
                <w:szCs w:val="20"/>
                <w:color w:val="auto"/>
              </w:rPr>
            </w:pPr>
            <w:r>
              <w:rPr>
                <w:rFonts w:ascii="Arial" w:cs="Arial" w:eastAsia="Arial" w:hAnsi="Arial"/>
                <w:sz w:val="18"/>
                <w:szCs w:val="18"/>
                <w:color w:val="auto"/>
                <w:w w:val="90"/>
              </w:rPr>
              <w:t>Total preferred stock warrants</w:t>
            </w:r>
          </w:p>
        </w:tc>
        <w:tc>
          <w:tcPr>
            <w:tcW w:w="15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385,126</w:t>
            </w:r>
          </w:p>
        </w:tc>
        <w:tc>
          <w:tcPr>
            <w:tcW w:w="280" w:type="dxa"/>
            <w:vAlign w:val="bottom"/>
            <w:tcBorders>
              <w:bottom w:val="single" w:sz="8" w:color="CFF0FC"/>
            </w:tcBorders>
            <w:shd w:val="clear" w:color="auto" w:fill="CFF0FC"/>
          </w:tcPr>
          <w:p>
            <w:pPr>
              <w:spacing w:after="0"/>
              <w:rPr>
                <w:sz w:val="19"/>
                <w:szCs w:val="19"/>
                <w:color w:val="auto"/>
              </w:rPr>
            </w:pPr>
          </w:p>
        </w:tc>
        <w:tc>
          <w:tcPr>
            <w:tcW w:w="300" w:type="dxa"/>
            <w:vAlign w:val="bottom"/>
            <w:tcBorders>
              <w:bottom w:val="single" w:sz="8" w:color="CFF0FC"/>
            </w:tcBorders>
            <w:shd w:val="clear" w:color="auto" w:fill="CFF0FC"/>
          </w:tcPr>
          <w:p>
            <w:pPr>
              <w:spacing w:after="0"/>
              <w:rPr>
                <w:sz w:val="19"/>
                <w:szCs w:val="19"/>
                <w:color w:val="auto"/>
              </w:rPr>
            </w:pPr>
          </w:p>
        </w:tc>
        <w:tc>
          <w:tcPr>
            <w:tcW w:w="1240" w:type="dxa"/>
            <w:vAlign w:val="bottom"/>
            <w:tcBorders>
              <w:bottom w:val="single" w:sz="8" w:color="CFF0FC"/>
            </w:tcBorders>
            <w:shd w:val="clear" w:color="auto" w:fill="CFF0FC"/>
          </w:tcPr>
          <w:p>
            <w:pPr>
              <w:spacing w:after="0"/>
              <w:rPr>
                <w:sz w:val="19"/>
                <w:szCs w:val="19"/>
                <w:color w:val="auto"/>
              </w:rPr>
            </w:pPr>
          </w:p>
        </w:tc>
        <w:tc>
          <w:tcPr>
            <w:tcW w:w="300" w:type="dxa"/>
            <w:vAlign w:val="bottom"/>
            <w:tcBorders>
              <w:bottom w:val="single" w:sz="8" w:color="CFF0FC"/>
            </w:tcBorders>
            <w:shd w:val="clear" w:color="auto" w:fill="CFF0FC"/>
          </w:tcPr>
          <w:p>
            <w:pPr>
              <w:spacing w:after="0"/>
              <w:rPr>
                <w:sz w:val="19"/>
                <w:szCs w:val="19"/>
                <w:color w:val="auto"/>
              </w:rPr>
            </w:pPr>
          </w:p>
        </w:tc>
        <w:tc>
          <w:tcPr>
            <w:tcW w:w="2220" w:type="dxa"/>
            <w:vAlign w:val="bottom"/>
            <w:tcBorders>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540" w:type="dxa"/>
            <w:vAlign w:val="bottom"/>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88" w:lineRule="exact"/>
        <w:rPr>
          <w:sz w:val="20"/>
          <w:szCs w:val="20"/>
          <w:color w:val="auto"/>
        </w:rPr>
      </w:pPr>
    </w:p>
    <w:p>
      <w:pPr>
        <w:spacing w:after="0"/>
        <w:rPr>
          <w:sz w:val="20"/>
          <w:szCs w:val="20"/>
          <w:color w:val="auto"/>
        </w:rPr>
      </w:pPr>
      <w:r>
        <w:rPr>
          <w:rFonts w:ascii="Arial" w:cs="Arial" w:eastAsia="Arial" w:hAnsi="Arial"/>
          <w:sz w:val="18"/>
          <w:szCs w:val="18"/>
          <w:color w:val="auto"/>
        </w:rPr>
        <w:t>There was no change in the total preferred stock warrants balance from January 1, 2017 to immediately prior to the closing of the IPO.</w:t>
      </w:r>
    </w:p>
    <w:p>
      <w:pPr>
        <w:spacing w:after="0" w:line="131" w:lineRule="exact"/>
        <w:rPr>
          <w:sz w:val="20"/>
          <w:szCs w:val="20"/>
          <w:color w:val="auto"/>
        </w:rPr>
      </w:pPr>
    </w:p>
    <w:p>
      <w:pPr>
        <w:jc w:val="both"/>
        <w:ind w:right="140"/>
        <w:spacing w:after="0" w:line="257" w:lineRule="auto"/>
        <w:rPr>
          <w:sz w:val="20"/>
          <w:szCs w:val="20"/>
          <w:color w:val="auto"/>
        </w:rPr>
      </w:pPr>
      <w:r>
        <w:rPr>
          <w:rFonts w:ascii="Arial" w:cs="Arial" w:eastAsia="Arial" w:hAnsi="Arial"/>
          <w:sz w:val="18"/>
          <w:szCs w:val="18"/>
          <w:color w:val="auto"/>
        </w:rPr>
        <w:t>On the closing of the IPO, all outstanding convertible preferred stock warrants automatically converted into common stock warrants. As such, the Company reclassified the outstanding preferred stock warrant liability to additional paid in capital in stockholder’s equity (deficit). During the year ended, December 31, 2017, a total of 78,670 of common stock warrants were net exercised for 15,112 shares of common stock. As of December 31, 2017, there were 306,456 common stock warrants outstanding exercisable into the same number of shares of common stock at an exercise price of $7.15 with expiration dates ranging from 2018 to 2025.</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449" w:right="239" w:bottom="1440" w:gutter="0" w:footer="0" w:header="0"/>
        </w:sectPr>
      </w:pPr>
    </w:p>
    <w:bookmarkStart w:id="93" w:name="page94"/>
    <w:bookmarkEnd w:id="93"/>
    <w:p>
      <w:pPr>
        <w:ind w:right="220"/>
        <w:spacing w:after="0" w:line="255" w:lineRule="auto"/>
        <w:rPr>
          <w:sz w:val="20"/>
          <w:szCs w:val="20"/>
          <w:color w:val="auto"/>
        </w:rPr>
      </w:pPr>
      <w:r>
        <w:rPr>
          <w:rFonts w:ascii="Arial" w:cs="Arial" w:eastAsia="Arial" w:hAnsi="Arial"/>
          <w:sz w:val="18"/>
          <w:szCs w:val="18"/>
          <w:color w:val="auto"/>
        </w:rPr>
        <w:t>From January 1, 2017 through September 30, 2017, the Company estimated the fair value of each preferred stock warrant using a probability weighed expected return method (PWERM) that uses an option pricing method (OPM), together with a Monte Carlo simulation to incorporate the anti-dilution provisions on the convertible preferred stock, to allocate the estimated value of the Company. The OPM treated classes of stock as call options on a company's enterprise value which took into consideration differences in the right of various securities including rights to dividends, liquidation preferences, and conversion rights. The OPM priced the call option using the Black-Scholes model. The PWERM relied on a forward-looking analysis to predict the possible future value of a company by weighing discrete future outcomes. The fair value of preferred stock warrants was determined using the following assumptions:</w:t>
      </w:r>
    </w:p>
    <w:p>
      <w:pPr>
        <w:spacing w:after="0" w:line="168" w:lineRule="exact"/>
        <w:rPr>
          <w:sz w:val="20"/>
          <w:szCs w:val="20"/>
          <w:color w:val="auto"/>
        </w:rPr>
      </w:pPr>
    </w:p>
    <w:tbl>
      <w:tblPr>
        <w:tblLayout w:type="fixed"/>
        <w:tblInd w:w="2300" w:type="dxa"/>
        <w:tblCellMar>
          <w:top w:w="0" w:type="dxa"/>
          <w:left w:w="0" w:type="dxa"/>
          <w:bottom w:w="0" w:type="dxa"/>
          <w:right w:w="0" w:type="dxa"/>
        </w:tblCellMar>
      </w:tblPr>
      <w:tr>
        <w:trPr>
          <w:trHeight w:val="161"/>
        </w:trPr>
        <w:tc>
          <w:tcPr>
            <w:tcW w:w="5520" w:type="dxa"/>
            <w:vAlign w:val="bottom"/>
          </w:tcPr>
          <w:p>
            <w:pPr>
              <w:spacing w:after="0"/>
              <w:rPr>
                <w:sz w:val="14"/>
                <w:szCs w:val="14"/>
                <w:color w:val="auto"/>
              </w:rPr>
            </w:pPr>
          </w:p>
        </w:tc>
        <w:tc>
          <w:tcPr>
            <w:tcW w:w="132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93"/>
              </w:rPr>
              <w:t>Year Ended</w:t>
            </w:r>
          </w:p>
        </w:tc>
      </w:tr>
      <w:tr>
        <w:trPr>
          <w:trHeight w:val="162"/>
        </w:trPr>
        <w:tc>
          <w:tcPr>
            <w:tcW w:w="5520" w:type="dxa"/>
            <w:vAlign w:val="bottom"/>
          </w:tcPr>
          <w:p>
            <w:pPr>
              <w:spacing w:after="0"/>
              <w:rPr>
                <w:sz w:val="14"/>
                <w:szCs w:val="14"/>
                <w:color w:val="auto"/>
              </w:rPr>
            </w:pPr>
          </w:p>
        </w:tc>
        <w:tc>
          <w:tcPr>
            <w:tcW w:w="132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91"/>
              </w:rPr>
              <w:t>December 31</w:t>
            </w:r>
          </w:p>
        </w:tc>
      </w:tr>
      <w:tr>
        <w:trPr>
          <w:trHeight w:val="171"/>
        </w:trPr>
        <w:tc>
          <w:tcPr>
            <w:tcW w:w="5520" w:type="dxa"/>
            <w:vAlign w:val="bottom"/>
            <w:tcBorders>
              <w:bottom w:val="single" w:sz="8" w:color="CFF0FC"/>
            </w:tcBorders>
          </w:tcPr>
          <w:p>
            <w:pPr>
              <w:spacing w:after="0"/>
              <w:rPr>
                <w:sz w:val="14"/>
                <w:szCs w:val="14"/>
                <w:color w:val="auto"/>
              </w:rPr>
            </w:pPr>
          </w:p>
        </w:tc>
        <w:tc>
          <w:tcPr>
            <w:tcW w:w="11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2016</w:t>
            </w:r>
          </w:p>
        </w:tc>
        <w:tc>
          <w:tcPr>
            <w:tcW w:w="180" w:type="dxa"/>
            <w:vAlign w:val="bottom"/>
            <w:tcBorders>
              <w:bottom w:val="single" w:sz="8" w:color="CFF0FC"/>
            </w:tcBorders>
          </w:tcPr>
          <w:p>
            <w:pPr>
              <w:spacing w:after="0"/>
              <w:rPr>
                <w:sz w:val="14"/>
                <w:szCs w:val="14"/>
                <w:color w:val="auto"/>
              </w:rPr>
            </w:pPr>
          </w:p>
        </w:tc>
      </w:tr>
      <w:tr>
        <w:trPr>
          <w:trHeight w:val="223"/>
        </w:trPr>
        <w:tc>
          <w:tcPr>
            <w:tcW w:w="5520" w:type="dxa"/>
            <w:vAlign w:val="bottom"/>
            <w:shd w:val="clear" w:color="auto" w:fill="CFF0FC"/>
          </w:tcPr>
          <w:p>
            <w:pPr>
              <w:spacing w:after="0"/>
              <w:rPr>
                <w:sz w:val="20"/>
                <w:szCs w:val="20"/>
                <w:color w:val="auto"/>
              </w:rPr>
            </w:pPr>
            <w:r>
              <w:rPr>
                <w:rFonts w:ascii="Arial" w:cs="Arial" w:eastAsia="Arial" w:hAnsi="Arial"/>
                <w:sz w:val="18"/>
                <w:szCs w:val="18"/>
                <w:color w:val="auto"/>
              </w:rPr>
              <w:t>Expected term (years)</w:t>
            </w:r>
          </w:p>
        </w:tc>
        <w:tc>
          <w:tcPr>
            <w:tcW w:w="11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2.00</w:t>
            </w:r>
          </w:p>
        </w:tc>
        <w:tc>
          <w:tcPr>
            <w:tcW w:w="180" w:type="dxa"/>
            <w:vAlign w:val="bottom"/>
            <w:shd w:val="clear" w:color="auto" w:fill="CFF0FC"/>
          </w:tcPr>
          <w:p>
            <w:pPr>
              <w:spacing w:after="0"/>
              <w:rPr>
                <w:sz w:val="19"/>
                <w:szCs w:val="19"/>
                <w:color w:val="auto"/>
              </w:rPr>
            </w:pPr>
          </w:p>
        </w:tc>
      </w:tr>
      <w:tr>
        <w:trPr>
          <w:trHeight w:val="230"/>
        </w:trPr>
        <w:tc>
          <w:tcPr>
            <w:tcW w:w="5520" w:type="dxa"/>
            <w:vAlign w:val="bottom"/>
          </w:tcPr>
          <w:p>
            <w:pPr>
              <w:spacing w:after="0"/>
              <w:rPr>
                <w:sz w:val="20"/>
                <w:szCs w:val="20"/>
                <w:color w:val="auto"/>
              </w:rPr>
            </w:pPr>
            <w:r>
              <w:rPr>
                <w:rFonts w:ascii="Arial" w:cs="Arial" w:eastAsia="Arial" w:hAnsi="Arial"/>
                <w:sz w:val="18"/>
                <w:szCs w:val="18"/>
                <w:color w:val="auto"/>
              </w:rPr>
              <w:t>Risk-free interest rate</w:t>
            </w:r>
          </w:p>
        </w:tc>
        <w:tc>
          <w:tcPr>
            <w:tcW w:w="1320" w:type="dxa"/>
            <w:vAlign w:val="bottom"/>
            <w:gridSpan w:val="2"/>
          </w:tcPr>
          <w:p>
            <w:pPr>
              <w:jc w:val="right"/>
              <w:ind w:right="20"/>
              <w:spacing w:after="0"/>
              <w:rPr>
                <w:sz w:val="20"/>
                <w:szCs w:val="20"/>
                <w:color w:val="auto"/>
              </w:rPr>
            </w:pPr>
            <w:r>
              <w:rPr>
                <w:rFonts w:ascii="Arial" w:cs="Arial" w:eastAsia="Arial" w:hAnsi="Arial"/>
                <w:sz w:val="18"/>
                <w:szCs w:val="18"/>
                <w:color w:val="auto"/>
              </w:rPr>
              <w:t>1.20%</w:t>
            </w:r>
          </w:p>
        </w:tc>
      </w:tr>
      <w:tr>
        <w:trPr>
          <w:trHeight w:val="230"/>
        </w:trPr>
        <w:tc>
          <w:tcPr>
            <w:tcW w:w="5520" w:type="dxa"/>
            <w:vAlign w:val="bottom"/>
            <w:shd w:val="clear" w:color="auto" w:fill="CFF0FC"/>
          </w:tcPr>
          <w:p>
            <w:pPr>
              <w:spacing w:after="0"/>
              <w:rPr>
                <w:sz w:val="20"/>
                <w:szCs w:val="20"/>
                <w:color w:val="auto"/>
              </w:rPr>
            </w:pPr>
            <w:r>
              <w:rPr>
                <w:rFonts w:ascii="Arial" w:cs="Arial" w:eastAsia="Arial" w:hAnsi="Arial"/>
                <w:sz w:val="18"/>
                <w:szCs w:val="18"/>
                <w:color w:val="auto"/>
              </w:rPr>
              <w:t>Expected volatility</w:t>
            </w:r>
          </w:p>
        </w:tc>
        <w:tc>
          <w:tcPr>
            <w:tcW w:w="132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70.90%</w:t>
            </w:r>
          </w:p>
        </w:tc>
      </w:tr>
    </w:tbl>
    <w:p>
      <w:pPr>
        <w:spacing w:after="0" w:line="188" w:lineRule="exact"/>
        <w:rPr>
          <w:sz w:val="20"/>
          <w:szCs w:val="20"/>
          <w:color w:val="auto"/>
        </w:rPr>
      </w:pPr>
    </w:p>
    <w:p>
      <w:pPr>
        <w:ind w:right="40"/>
        <w:spacing w:after="0" w:line="272" w:lineRule="auto"/>
        <w:rPr>
          <w:sz w:val="20"/>
          <w:szCs w:val="20"/>
          <w:color w:val="auto"/>
        </w:rPr>
      </w:pPr>
      <w:r>
        <w:rPr>
          <w:rFonts w:ascii="Arial" w:cs="Arial" w:eastAsia="Arial" w:hAnsi="Arial"/>
          <w:sz w:val="17"/>
          <w:szCs w:val="17"/>
          <w:color w:val="auto"/>
        </w:rPr>
        <w:t>The estimated expected volatility was derived from historical volatilities of several unrelated publicly listed peer companies over a period approximately equal to the remaining term of the warrants. When making the selections of the Company’s industry peer companies to be used in the volatility calculation, the Company considered the size and operational and economic similarities to the Company’s principle business operations. The estimated expected term represented either the lesser of (i) the remaining contractual term of the warrants or (ii) the remaining term under probable scenarios used to determine the fair value of the underlying stock. The risk-free interest rate was based on the U.S. Treasury yield for a term consistent with the estimated expected term. The significant unobservable inputs used in the fair value measurement of the convertible preferred stock warrant liability were the fair value of the underlying stock at the valuation date, the expected volatility, and the estimated term of the warrants.</w:t>
      </w:r>
    </w:p>
    <w:p>
      <w:pPr>
        <w:spacing w:after="0" w:line="70" w:lineRule="exact"/>
        <w:rPr>
          <w:sz w:val="20"/>
          <w:szCs w:val="20"/>
          <w:color w:val="auto"/>
        </w:rPr>
      </w:pPr>
    </w:p>
    <w:p>
      <w:pPr>
        <w:ind w:right="360"/>
        <w:spacing w:after="0" w:line="264" w:lineRule="auto"/>
        <w:rPr>
          <w:sz w:val="20"/>
          <w:szCs w:val="20"/>
          <w:color w:val="auto"/>
        </w:rPr>
      </w:pPr>
      <w:r>
        <w:rPr>
          <w:rFonts w:ascii="Arial" w:cs="Arial" w:eastAsia="Arial" w:hAnsi="Arial"/>
          <w:sz w:val="18"/>
          <w:szCs w:val="18"/>
          <w:color w:val="auto"/>
        </w:rPr>
        <w:t>On the closing of the IPO, the Company remeasured the preferred stock warrant liability to fair value of $1,080 before the warrant liability converted into additional paid-in-capital. The Company estimated the fair value of the preferred stock warrant liability using the Black-Scholes-Merton option pricing model, based on the following assumptions:</w:t>
      </w:r>
    </w:p>
    <w:p>
      <w:pPr>
        <w:spacing w:after="0" w:line="182"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2300" w:type="dxa"/>
            <w:vAlign w:val="bottom"/>
          </w:tcPr>
          <w:p>
            <w:pPr>
              <w:spacing w:after="0"/>
              <w:rPr>
                <w:sz w:val="19"/>
                <w:szCs w:val="19"/>
                <w:color w:val="auto"/>
              </w:rPr>
            </w:pPr>
          </w:p>
        </w:tc>
        <w:tc>
          <w:tcPr>
            <w:tcW w:w="2460" w:type="dxa"/>
            <w:vAlign w:val="bottom"/>
            <w:shd w:val="clear" w:color="auto" w:fill="CFF0FC"/>
          </w:tcPr>
          <w:p>
            <w:pPr>
              <w:spacing w:after="0"/>
              <w:rPr>
                <w:sz w:val="20"/>
                <w:szCs w:val="20"/>
                <w:color w:val="auto"/>
              </w:rPr>
            </w:pPr>
            <w:r>
              <w:rPr>
                <w:rFonts w:ascii="Arial" w:cs="Arial" w:eastAsia="Arial" w:hAnsi="Arial"/>
                <w:sz w:val="18"/>
                <w:szCs w:val="18"/>
                <w:color w:val="auto"/>
              </w:rPr>
              <w:t>Expected term (years)</w:t>
            </w:r>
          </w:p>
        </w:tc>
        <w:tc>
          <w:tcPr>
            <w:tcW w:w="43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1.00-7.61</w:t>
            </w:r>
          </w:p>
        </w:tc>
        <w:tc>
          <w:tcPr>
            <w:tcW w:w="2300" w:type="dxa"/>
            <w:vAlign w:val="bottom"/>
          </w:tcPr>
          <w:p>
            <w:pPr>
              <w:spacing w:after="0"/>
              <w:rPr>
                <w:sz w:val="19"/>
                <w:szCs w:val="19"/>
                <w:color w:val="auto"/>
              </w:rPr>
            </w:pPr>
          </w:p>
        </w:tc>
      </w:tr>
      <w:tr>
        <w:trPr>
          <w:trHeight w:val="230"/>
        </w:trPr>
        <w:tc>
          <w:tcPr>
            <w:tcW w:w="2300" w:type="dxa"/>
            <w:vAlign w:val="bottom"/>
          </w:tcPr>
          <w:p>
            <w:pPr>
              <w:spacing w:after="0"/>
              <w:rPr>
                <w:sz w:val="19"/>
                <w:szCs w:val="19"/>
                <w:color w:val="auto"/>
              </w:rPr>
            </w:pPr>
          </w:p>
        </w:tc>
        <w:tc>
          <w:tcPr>
            <w:tcW w:w="2460" w:type="dxa"/>
            <w:vAlign w:val="bottom"/>
          </w:tcPr>
          <w:p>
            <w:pPr>
              <w:spacing w:after="0"/>
              <w:rPr>
                <w:sz w:val="20"/>
                <w:szCs w:val="20"/>
                <w:color w:val="auto"/>
              </w:rPr>
            </w:pPr>
            <w:r>
              <w:rPr>
                <w:rFonts w:ascii="Arial" w:cs="Arial" w:eastAsia="Arial" w:hAnsi="Arial"/>
                <w:sz w:val="18"/>
                <w:szCs w:val="18"/>
                <w:color w:val="auto"/>
              </w:rPr>
              <w:t>Risk-free interest rate</w:t>
            </w:r>
          </w:p>
        </w:tc>
        <w:tc>
          <w:tcPr>
            <w:tcW w:w="4380" w:type="dxa"/>
            <w:vAlign w:val="bottom"/>
          </w:tcPr>
          <w:p>
            <w:pPr>
              <w:jc w:val="right"/>
              <w:spacing w:after="0"/>
              <w:rPr>
                <w:sz w:val="20"/>
                <w:szCs w:val="20"/>
                <w:color w:val="auto"/>
              </w:rPr>
            </w:pPr>
            <w:r>
              <w:rPr>
                <w:rFonts w:ascii="Arial" w:cs="Arial" w:eastAsia="Arial" w:hAnsi="Arial"/>
                <w:sz w:val="18"/>
                <w:szCs w:val="18"/>
                <w:color w:val="auto"/>
              </w:rPr>
              <w:t>1.31-2.16%</w:t>
            </w:r>
          </w:p>
        </w:tc>
        <w:tc>
          <w:tcPr>
            <w:tcW w:w="2300" w:type="dxa"/>
            <w:vAlign w:val="bottom"/>
          </w:tcPr>
          <w:p>
            <w:pPr>
              <w:spacing w:after="0"/>
              <w:rPr>
                <w:sz w:val="19"/>
                <w:szCs w:val="19"/>
                <w:color w:val="auto"/>
              </w:rPr>
            </w:pPr>
          </w:p>
        </w:tc>
      </w:tr>
      <w:tr>
        <w:trPr>
          <w:trHeight w:val="230"/>
        </w:trPr>
        <w:tc>
          <w:tcPr>
            <w:tcW w:w="2300" w:type="dxa"/>
            <w:vAlign w:val="bottom"/>
          </w:tcPr>
          <w:p>
            <w:pPr>
              <w:spacing w:after="0"/>
              <w:rPr>
                <w:sz w:val="19"/>
                <w:szCs w:val="19"/>
                <w:color w:val="auto"/>
              </w:rPr>
            </w:pPr>
          </w:p>
        </w:tc>
        <w:tc>
          <w:tcPr>
            <w:tcW w:w="2460" w:type="dxa"/>
            <w:vAlign w:val="bottom"/>
            <w:shd w:val="clear" w:color="auto" w:fill="CFF0FC"/>
          </w:tcPr>
          <w:p>
            <w:pPr>
              <w:spacing w:after="0"/>
              <w:rPr>
                <w:sz w:val="20"/>
                <w:szCs w:val="20"/>
                <w:color w:val="auto"/>
              </w:rPr>
            </w:pPr>
            <w:r>
              <w:rPr>
                <w:rFonts w:ascii="Arial" w:cs="Arial" w:eastAsia="Arial" w:hAnsi="Arial"/>
                <w:sz w:val="18"/>
                <w:szCs w:val="18"/>
                <w:color w:val="auto"/>
              </w:rPr>
              <w:t>Expected volatility</w:t>
            </w:r>
          </w:p>
        </w:tc>
        <w:tc>
          <w:tcPr>
            <w:tcW w:w="43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72%</w:t>
            </w:r>
          </w:p>
        </w:tc>
        <w:tc>
          <w:tcPr>
            <w:tcW w:w="2300" w:type="dxa"/>
            <w:vAlign w:val="bottom"/>
          </w:tcPr>
          <w:p>
            <w:pPr>
              <w:spacing w:after="0"/>
              <w:rPr>
                <w:sz w:val="19"/>
                <w:szCs w:val="19"/>
                <w:color w:val="auto"/>
              </w:rPr>
            </w:pPr>
          </w:p>
        </w:tc>
      </w:tr>
      <w:tr>
        <w:trPr>
          <w:trHeight w:val="581"/>
        </w:trPr>
        <w:tc>
          <w:tcPr>
            <w:tcW w:w="2300" w:type="dxa"/>
            <w:vAlign w:val="bottom"/>
          </w:tcPr>
          <w:p>
            <w:pPr>
              <w:spacing w:after="0"/>
              <w:rPr>
                <w:sz w:val="24"/>
                <w:szCs w:val="24"/>
                <w:color w:val="auto"/>
              </w:rPr>
            </w:pPr>
          </w:p>
        </w:tc>
        <w:tc>
          <w:tcPr>
            <w:tcW w:w="2460" w:type="dxa"/>
            <w:vAlign w:val="bottom"/>
          </w:tcPr>
          <w:p>
            <w:pPr>
              <w:spacing w:after="0"/>
              <w:rPr>
                <w:sz w:val="24"/>
                <w:szCs w:val="24"/>
                <w:color w:val="auto"/>
              </w:rPr>
            </w:pPr>
          </w:p>
        </w:tc>
        <w:tc>
          <w:tcPr>
            <w:tcW w:w="4380" w:type="dxa"/>
            <w:vAlign w:val="bottom"/>
          </w:tcPr>
          <w:p>
            <w:pPr>
              <w:jc w:val="right"/>
              <w:ind w:right="3250"/>
              <w:spacing w:after="0"/>
              <w:rPr>
                <w:sz w:val="20"/>
                <w:szCs w:val="20"/>
                <w:color w:val="auto"/>
              </w:rPr>
            </w:pPr>
            <w:r>
              <w:rPr>
                <w:rFonts w:ascii="Arial" w:cs="Arial" w:eastAsia="Arial" w:hAnsi="Arial"/>
                <w:sz w:val="18"/>
                <w:szCs w:val="18"/>
                <w:color w:val="auto"/>
              </w:rPr>
              <w:t>93</w:t>
            </w:r>
          </w:p>
        </w:tc>
        <w:tc>
          <w:tcPr>
            <w:tcW w:w="2300" w:type="dxa"/>
            <w:vAlign w:val="bottom"/>
          </w:tcPr>
          <w:p>
            <w:pPr>
              <w:spacing w:after="0"/>
              <w:rPr>
                <w:sz w:val="24"/>
                <w:szCs w:val="24"/>
                <w:color w:val="auto"/>
              </w:rPr>
            </w:pPr>
          </w:p>
        </w:tc>
      </w:tr>
      <w:tr>
        <w:trPr>
          <w:trHeight w:val="115"/>
        </w:trPr>
        <w:tc>
          <w:tcPr>
            <w:tcW w:w="2300" w:type="dxa"/>
            <w:vAlign w:val="bottom"/>
            <w:tcBorders>
              <w:bottom w:val="single" w:sz="8" w:color="9A9A9A"/>
            </w:tcBorders>
          </w:tcPr>
          <w:p>
            <w:pPr>
              <w:spacing w:after="0"/>
              <w:rPr>
                <w:sz w:val="10"/>
                <w:szCs w:val="10"/>
                <w:color w:val="auto"/>
              </w:rPr>
            </w:pPr>
          </w:p>
        </w:tc>
        <w:tc>
          <w:tcPr>
            <w:tcW w:w="2460" w:type="dxa"/>
            <w:vAlign w:val="bottom"/>
            <w:tcBorders>
              <w:bottom w:val="single" w:sz="8" w:color="9A9A9A"/>
            </w:tcBorders>
          </w:tcPr>
          <w:p>
            <w:pPr>
              <w:spacing w:after="0"/>
              <w:rPr>
                <w:sz w:val="10"/>
                <w:szCs w:val="10"/>
                <w:color w:val="auto"/>
              </w:rPr>
            </w:pPr>
          </w:p>
        </w:tc>
        <w:tc>
          <w:tcPr>
            <w:tcW w:w="4380" w:type="dxa"/>
            <w:vAlign w:val="bottom"/>
            <w:tcBorders>
              <w:bottom w:val="single" w:sz="8" w:color="9A9A9A"/>
            </w:tcBorders>
          </w:tcPr>
          <w:p>
            <w:pPr>
              <w:spacing w:after="0"/>
              <w:rPr>
                <w:sz w:val="10"/>
                <w:szCs w:val="10"/>
                <w:color w:val="auto"/>
              </w:rPr>
            </w:pPr>
          </w:p>
        </w:tc>
        <w:tc>
          <w:tcPr>
            <w:tcW w:w="230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7247255</wp:posOffset>
            </wp:positionH>
            <wp:positionV relativeFrom="paragraph">
              <wp:posOffset>-29210</wp:posOffset>
            </wp:positionV>
            <wp:extent cx="34290" cy="4254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440"/>
          </w:cols>
          <w:pgMar w:left="240" w:top="449" w:right="219" w:bottom="1440" w:gutter="0" w:footer="0" w:header="0"/>
        </w:sectPr>
      </w:pPr>
    </w:p>
    <w:bookmarkStart w:id="94" w:name="page95"/>
    <w:bookmarkEnd w:id="94"/>
    <w:p>
      <w:pPr>
        <w:spacing w:after="0"/>
        <w:rPr>
          <w:sz w:val="20"/>
          <w:szCs w:val="20"/>
          <w:color w:val="auto"/>
        </w:rPr>
      </w:pPr>
      <w:r>
        <w:rPr>
          <w:rFonts w:ascii="Arial" w:cs="Arial" w:eastAsia="Arial" w:hAnsi="Arial"/>
          <w:sz w:val="18"/>
          <w:szCs w:val="18"/>
          <w:b w:val="1"/>
          <w:bCs w:val="1"/>
          <w:color w:val="auto"/>
        </w:rPr>
        <w:t>10. COMMON STOCK RESERVED FOR ISSUANCE</w:t>
      </w:r>
    </w:p>
    <w:p>
      <w:pPr>
        <w:spacing w:after="0" w:line="121" w:lineRule="exact"/>
        <w:rPr>
          <w:sz w:val="20"/>
          <w:szCs w:val="20"/>
          <w:color w:val="auto"/>
        </w:rPr>
      </w:pPr>
    </w:p>
    <w:p>
      <w:pPr>
        <w:ind w:right="200"/>
        <w:spacing w:after="0" w:line="264" w:lineRule="auto"/>
        <w:rPr>
          <w:sz w:val="20"/>
          <w:szCs w:val="20"/>
          <w:color w:val="auto"/>
        </w:rPr>
      </w:pPr>
      <w:r>
        <w:rPr>
          <w:rFonts w:ascii="Arial" w:cs="Arial" w:eastAsia="Arial" w:hAnsi="Arial"/>
          <w:sz w:val="18"/>
          <w:szCs w:val="18"/>
          <w:color w:val="auto"/>
        </w:rPr>
        <w:t>The Company is required to reserve and keep available out of its authorized but unissued shares of common stock a number of shares sufficient to effect the conversion of all outstanding shares of convertible preferred stock (and preferred stock warrants), plus options granted and available for grant under the incentive plans.</w:t>
      </w:r>
    </w:p>
    <w:p>
      <w:pPr>
        <w:spacing w:after="0" w:line="160" w:lineRule="exact"/>
        <w:rPr>
          <w:sz w:val="20"/>
          <w:szCs w:val="20"/>
          <w:color w:val="auto"/>
        </w:rPr>
      </w:pPr>
    </w:p>
    <w:tbl>
      <w:tblPr>
        <w:tblLayout w:type="fixed"/>
        <w:tblInd w:w="1720" w:type="dxa"/>
        <w:tblCellMar>
          <w:top w:w="0" w:type="dxa"/>
          <w:left w:w="0" w:type="dxa"/>
          <w:bottom w:w="0" w:type="dxa"/>
          <w:right w:w="0" w:type="dxa"/>
        </w:tblCellMar>
      </w:tblPr>
      <w:tr>
        <w:trPr>
          <w:trHeight w:val="161"/>
        </w:trPr>
        <w:tc>
          <w:tcPr>
            <w:tcW w:w="5520" w:type="dxa"/>
            <w:vAlign w:val="bottom"/>
          </w:tcPr>
          <w:p>
            <w:pPr>
              <w:spacing w:after="0"/>
              <w:rPr>
                <w:sz w:val="14"/>
                <w:szCs w:val="14"/>
                <w:color w:val="auto"/>
              </w:rPr>
            </w:pPr>
          </w:p>
        </w:tc>
        <w:tc>
          <w:tcPr>
            <w:tcW w:w="1280" w:type="dxa"/>
            <w:vAlign w:val="bottom"/>
            <w:gridSpan w:val="2"/>
          </w:tcPr>
          <w:p>
            <w:pPr>
              <w:ind w:left="120"/>
              <w:spacing w:after="0"/>
              <w:rPr>
                <w:sz w:val="20"/>
                <w:szCs w:val="20"/>
                <w:color w:val="auto"/>
              </w:rPr>
            </w:pPr>
            <w:r>
              <w:rPr>
                <w:rFonts w:ascii="Arial" w:cs="Arial" w:eastAsia="Arial" w:hAnsi="Arial"/>
                <w:sz w:val="14"/>
                <w:szCs w:val="14"/>
                <w:b w:val="1"/>
                <w:bCs w:val="1"/>
                <w:color w:val="auto"/>
              </w:rPr>
              <w:t>December 31,</w:t>
            </w:r>
          </w:p>
        </w:tc>
        <w:tc>
          <w:tcPr>
            <w:tcW w:w="1180" w:type="dxa"/>
            <w:vAlign w:val="bottom"/>
            <w:gridSpan w:val="2"/>
          </w:tcPr>
          <w:p>
            <w:pPr>
              <w:ind w:left="140"/>
              <w:spacing w:after="0"/>
              <w:rPr>
                <w:sz w:val="20"/>
                <w:szCs w:val="20"/>
                <w:color w:val="auto"/>
              </w:rPr>
            </w:pPr>
            <w:r>
              <w:rPr>
                <w:rFonts w:ascii="Arial" w:cs="Arial" w:eastAsia="Arial" w:hAnsi="Arial"/>
                <w:sz w:val="14"/>
                <w:szCs w:val="14"/>
                <w:b w:val="1"/>
                <w:bCs w:val="1"/>
                <w:color w:val="auto"/>
              </w:rPr>
              <w:t>December 31,</w:t>
            </w:r>
          </w:p>
        </w:tc>
      </w:tr>
      <w:tr>
        <w:trPr>
          <w:trHeight w:val="171"/>
        </w:trPr>
        <w:tc>
          <w:tcPr>
            <w:tcW w:w="5520" w:type="dxa"/>
            <w:vAlign w:val="bottom"/>
            <w:tcBorders>
              <w:bottom w:val="single" w:sz="8" w:color="CFF0FC"/>
            </w:tcBorders>
          </w:tcPr>
          <w:p>
            <w:pPr>
              <w:spacing w:after="0"/>
              <w:rPr>
                <w:sz w:val="14"/>
                <w:szCs w:val="14"/>
                <w:color w:val="auto"/>
              </w:rPr>
            </w:pPr>
          </w:p>
        </w:tc>
        <w:tc>
          <w:tcPr>
            <w:tcW w:w="1080" w:type="dxa"/>
            <w:vAlign w:val="bottom"/>
            <w:tcBorders>
              <w:bottom w:val="single" w:sz="8" w:color="auto"/>
            </w:tcBorders>
          </w:tcPr>
          <w:p>
            <w:pPr>
              <w:jc w:val="right"/>
              <w:ind w:right="313"/>
              <w:spacing w:after="0"/>
              <w:rPr>
                <w:sz w:val="20"/>
                <w:szCs w:val="20"/>
                <w:color w:val="auto"/>
              </w:rPr>
            </w:pPr>
            <w:r>
              <w:rPr>
                <w:rFonts w:ascii="Arial" w:cs="Arial" w:eastAsia="Arial" w:hAnsi="Arial"/>
                <w:sz w:val="14"/>
                <w:szCs w:val="14"/>
                <w:b w:val="1"/>
                <w:bCs w:val="1"/>
                <w:color w:val="auto"/>
              </w:rPr>
              <w:t>2017</w:t>
            </w:r>
          </w:p>
        </w:tc>
        <w:tc>
          <w:tcPr>
            <w:tcW w:w="200" w:type="dxa"/>
            <w:vAlign w:val="bottom"/>
            <w:tcBorders>
              <w:bottom w:val="single" w:sz="8" w:color="CFF0FC"/>
            </w:tcBorders>
          </w:tcPr>
          <w:p>
            <w:pPr>
              <w:spacing w:after="0"/>
              <w:rPr>
                <w:sz w:val="14"/>
                <w:szCs w:val="14"/>
                <w:color w:val="auto"/>
              </w:rPr>
            </w:pPr>
          </w:p>
        </w:tc>
        <w:tc>
          <w:tcPr>
            <w:tcW w:w="1120" w:type="dxa"/>
            <w:vAlign w:val="bottom"/>
            <w:tcBorders>
              <w:bottom w:val="single" w:sz="8" w:color="auto"/>
            </w:tcBorders>
          </w:tcPr>
          <w:p>
            <w:pPr>
              <w:jc w:val="right"/>
              <w:ind w:right="333"/>
              <w:spacing w:after="0"/>
              <w:rPr>
                <w:sz w:val="20"/>
                <w:szCs w:val="20"/>
                <w:color w:val="auto"/>
              </w:rPr>
            </w:pPr>
            <w:r>
              <w:rPr>
                <w:rFonts w:ascii="Arial" w:cs="Arial" w:eastAsia="Arial" w:hAnsi="Arial"/>
                <w:sz w:val="14"/>
                <w:szCs w:val="14"/>
                <w:b w:val="1"/>
                <w:bCs w:val="1"/>
                <w:color w:val="auto"/>
              </w:rPr>
              <w:t>2016</w:t>
            </w:r>
          </w:p>
        </w:tc>
        <w:tc>
          <w:tcPr>
            <w:tcW w:w="60" w:type="dxa"/>
            <w:vAlign w:val="bottom"/>
            <w:tcBorders>
              <w:bottom w:val="single" w:sz="8" w:color="CFF0FC"/>
            </w:tcBorders>
          </w:tcPr>
          <w:p>
            <w:pPr>
              <w:spacing w:after="0"/>
              <w:rPr>
                <w:sz w:val="14"/>
                <w:szCs w:val="14"/>
                <w:color w:val="auto"/>
              </w:rPr>
            </w:pPr>
          </w:p>
        </w:tc>
      </w:tr>
      <w:tr>
        <w:trPr>
          <w:trHeight w:val="209"/>
        </w:trPr>
        <w:tc>
          <w:tcPr>
            <w:tcW w:w="5520" w:type="dxa"/>
            <w:vAlign w:val="bottom"/>
            <w:shd w:val="clear" w:color="auto" w:fill="CFF0FC"/>
          </w:tcPr>
          <w:p>
            <w:pPr>
              <w:spacing w:after="0"/>
              <w:rPr>
                <w:sz w:val="20"/>
                <w:szCs w:val="20"/>
                <w:color w:val="auto"/>
              </w:rPr>
            </w:pPr>
            <w:r>
              <w:rPr>
                <w:rFonts w:ascii="Arial" w:cs="Arial" w:eastAsia="Arial" w:hAnsi="Arial"/>
                <w:sz w:val="18"/>
                <w:szCs w:val="18"/>
                <w:color w:val="auto"/>
              </w:rPr>
              <w:t>Conversion of outstanding Series A convertible</w:t>
            </w:r>
          </w:p>
        </w:tc>
        <w:tc>
          <w:tcPr>
            <w:tcW w:w="108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12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r>
      <w:tr>
        <w:trPr>
          <w:trHeight w:val="230"/>
        </w:trPr>
        <w:tc>
          <w:tcPr>
            <w:tcW w:w="5520" w:type="dxa"/>
            <w:vAlign w:val="bottom"/>
            <w:shd w:val="clear" w:color="auto" w:fill="CFF0FC"/>
          </w:tcPr>
          <w:p>
            <w:pPr>
              <w:ind w:left="140"/>
              <w:spacing w:after="0"/>
              <w:rPr>
                <w:sz w:val="20"/>
                <w:szCs w:val="20"/>
                <w:color w:val="auto"/>
              </w:rPr>
            </w:pPr>
            <w:r>
              <w:rPr>
                <w:rFonts w:ascii="Arial" w:cs="Arial" w:eastAsia="Arial" w:hAnsi="Arial"/>
                <w:sz w:val="18"/>
                <w:szCs w:val="18"/>
                <w:color w:val="auto"/>
              </w:rPr>
              <w:t>preferred stock</w:t>
            </w:r>
          </w:p>
        </w:tc>
        <w:tc>
          <w:tcPr>
            <w:tcW w:w="128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color w:val="auto"/>
              </w:rPr>
              <w:t>—</w:t>
            </w:r>
          </w:p>
        </w:tc>
        <w:tc>
          <w:tcPr>
            <w:tcW w:w="11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2,509,232</w:t>
            </w:r>
          </w:p>
        </w:tc>
        <w:tc>
          <w:tcPr>
            <w:tcW w:w="60" w:type="dxa"/>
            <w:vAlign w:val="bottom"/>
            <w:shd w:val="clear" w:color="auto" w:fill="CFF0FC"/>
          </w:tcPr>
          <w:p>
            <w:pPr>
              <w:spacing w:after="0"/>
              <w:rPr>
                <w:sz w:val="20"/>
                <w:szCs w:val="20"/>
                <w:color w:val="auto"/>
              </w:rPr>
            </w:pPr>
          </w:p>
        </w:tc>
      </w:tr>
      <w:tr>
        <w:trPr>
          <w:trHeight w:val="215"/>
        </w:trPr>
        <w:tc>
          <w:tcPr>
            <w:tcW w:w="5520" w:type="dxa"/>
            <w:vAlign w:val="bottom"/>
          </w:tcPr>
          <w:p>
            <w:pPr>
              <w:spacing w:after="0"/>
              <w:rPr>
                <w:sz w:val="20"/>
                <w:szCs w:val="20"/>
                <w:color w:val="auto"/>
              </w:rPr>
            </w:pPr>
            <w:r>
              <w:rPr>
                <w:rFonts w:ascii="Arial" w:cs="Arial" w:eastAsia="Arial" w:hAnsi="Arial"/>
                <w:sz w:val="18"/>
                <w:szCs w:val="18"/>
                <w:color w:val="auto"/>
              </w:rPr>
              <w:t>Conversion of outstanding Series B convertible</w:t>
            </w:r>
          </w:p>
        </w:tc>
        <w:tc>
          <w:tcPr>
            <w:tcW w:w="10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30"/>
        </w:trPr>
        <w:tc>
          <w:tcPr>
            <w:tcW w:w="5520" w:type="dxa"/>
            <w:vAlign w:val="bottom"/>
          </w:tcPr>
          <w:p>
            <w:pPr>
              <w:ind w:left="140"/>
              <w:spacing w:after="0"/>
              <w:rPr>
                <w:sz w:val="20"/>
                <w:szCs w:val="20"/>
                <w:color w:val="auto"/>
              </w:rPr>
            </w:pPr>
            <w:r>
              <w:rPr>
                <w:rFonts w:ascii="Arial" w:cs="Arial" w:eastAsia="Arial" w:hAnsi="Arial"/>
                <w:sz w:val="18"/>
                <w:szCs w:val="18"/>
                <w:color w:val="auto"/>
              </w:rPr>
              <w:t>preferred stock</w:t>
            </w:r>
          </w:p>
        </w:tc>
        <w:tc>
          <w:tcPr>
            <w:tcW w:w="12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3,846,132</w:t>
            </w:r>
          </w:p>
        </w:tc>
        <w:tc>
          <w:tcPr>
            <w:tcW w:w="60" w:type="dxa"/>
            <w:vAlign w:val="bottom"/>
          </w:tcPr>
          <w:p>
            <w:pPr>
              <w:spacing w:after="0"/>
              <w:rPr>
                <w:sz w:val="20"/>
                <w:szCs w:val="20"/>
                <w:color w:val="auto"/>
              </w:rPr>
            </w:pPr>
          </w:p>
        </w:tc>
      </w:tr>
      <w:tr>
        <w:trPr>
          <w:trHeight w:val="215"/>
        </w:trPr>
        <w:tc>
          <w:tcPr>
            <w:tcW w:w="5520" w:type="dxa"/>
            <w:vAlign w:val="bottom"/>
            <w:shd w:val="clear" w:color="auto" w:fill="CFF0FC"/>
          </w:tcPr>
          <w:p>
            <w:pPr>
              <w:spacing w:after="0"/>
              <w:rPr>
                <w:sz w:val="20"/>
                <w:szCs w:val="20"/>
                <w:color w:val="auto"/>
              </w:rPr>
            </w:pPr>
            <w:r>
              <w:rPr>
                <w:rFonts w:ascii="Arial" w:cs="Arial" w:eastAsia="Arial" w:hAnsi="Arial"/>
                <w:sz w:val="18"/>
                <w:szCs w:val="18"/>
                <w:color w:val="auto"/>
              </w:rPr>
              <w:t>Conversion of outstanding Series C convertible</w:t>
            </w:r>
          </w:p>
        </w:tc>
        <w:tc>
          <w:tcPr>
            <w:tcW w:w="108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12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r>
      <w:tr>
        <w:trPr>
          <w:trHeight w:val="230"/>
        </w:trPr>
        <w:tc>
          <w:tcPr>
            <w:tcW w:w="5520" w:type="dxa"/>
            <w:vAlign w:val="bottom"/>
            <w:shd w:val="clear" w:color="auto" w:fill="CFF0FC"/>
          </w:tcPr>
          <w:p>
            <w:pPr>
              <w:ind w:left="140"/>
              <w:spacing w:after="0"/>
              <w:rPr>
                <w:sz w:val="20"/>
                <w:szCs w:val="20"/>
                <w:color w:val="auto"/>
              </w:rPr>
            </w:pPr>
            <w:r>
              <w:rPr>
                <w:rFonts w:ascii="Arial" w:cs="Arial" w:eastAsia="Arial" w:hAnsi="Arial"/>
                <w:sz w:val="18"/>
                <w:szCs w:val="18"/>
                <w:color w:val="auto"/>
              </w:rPr>
              <w:t>preferred stock</w:t>
            </w:r>
          </w:p>
        </w:tc>
        <w:tc>
          <w:tcPr>
            <w:tcW w:w="128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color w:val="auto"/>
              </w:rPr>
              <w:t>—</w:t>
            </w:r>
          </w:p>
        </w:tc>
        <w:tc>
          <w:tcPr>
            <w:tcW w:w="11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14,536,931</w:t>
            </w:r>
          </w:p>
        </w:tc>
        <w:tc>
          <w:tcPr>
            <w:tcW w:w="60" w:type="dxa"/>
            <w:vAlign w:val="bottom"/>
            <w:shd w:val="clear" w:color="auto" w:fill="CFF0FC"/>
          </w:tcPr>
          <w:p>
            <w:pPr>
              <w:spacing w:after="0"/>
              <w:rPr>
                <w:sz w:val="20"/>
                <w:szCs w:val="20"/>
                <w:color w:val="auto"/>
              </w:rPr>
            </w:pPr>
          </w:p>
        </w:tc>
      </w:tr>
      <w:tr>
        <w:trPr>
          <w:trHeight w:val="215"/>
        </w:trPr>
        <w:tc>
          <w:tcPr>
            <w:tcW w:w="5520" w:type="dxa"/>
            <w:vAlign w:val="bottom"/>
          </w:tcPr>
          <w:p>
            <w:pPr>
              <w:spacing w:after="0"/>
              <w:rPr>
                <w:sz w:val="20"/>
                <w:szCs w:val="20"/>
                <w:color w:val="auto"/>
              </w:rPr>
            </w:pPr>
            <w:r>
              <w:rPr>
                <w:rFonts w:ascii="Arial" w:cs="Arial" w:eastAsia="Arial" w:hAnsi="Arial"/>
                <w:sz w:val="18"/>
                <w:szCs w:val="18"/>
                <w:color w:val="auto"/>
              </w:rPr>
              <w:t>Conversion of outstanding Series AA convertible</w:t>
            </w:r>
          </w:p>
        </w:tc>
        <w:tc>
          <w:tcPr>
            <w:tcW w:w="10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30"/>
        </w:trPr>
        <w:tc>
          <w:tcPr>
            <w:tcW w:w="5520" w:type="dxa"/>
            <w:vAlign w:val="bottom"/>
          </w:tcPr>
          <w:p>
            <w:pPr>
              <w:ind w:left="140"/>
              <w:spacing w:after="0"/>
              <w:rPr>
                <w:sz w:val="20"/>
                <w:szCs w:val="20"/>
                <w:color w:val="auto"/>
              </w:rPr>
            </w:pPr>
            <w:r>
              <w:rPr>
                <w:rFonts w:ascii="Arial" w:cs="Arial" w:eastAsia="Arial" w:hAnsi="Arial"/>
                <w:sz w:val="18"/>
                <w:szCs w:val="18"/>
                <w:color w:val="auto"/>
              </w:rPr>
              <w:t>preferred stock</w:t>
            </w:r>
          </w:p>
        </w:tc>
        <w:tc>
          <w:tcPr>
            <w:tcW w:w="12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250,000</w:t>
            </w:r>
          </w:p>
        </w:tc>
        <w:tc>
          <w:tcPr>
            <w:tcW w:w="60" w:type="dxa"/>
            <w:vAlign w:val="bottom"/>
          </w:tcPr>
          <w:p>
            <w:pPr>
              <w:spacing w:after="0"/>
              <w:rPr>
                <w:sz w:val="20"/>
                <w:szCs w:val="20"/>
                <w:color w:val="auto"/>
              </w:rPr>
            </w:pPr>
          </w:p>
        </w:tc>
      </w:tr>
      <w:tr>
        <w:trPr>
          <w:trHeight w:val="230"/>
        </w:trPr>
        <w:tc>
          <w:tcPr>
            <w:tcW w:w="5520" w:type="dxa"/>
            <w:vAlign w:val="bottom"/>
            <w:shd w:val="clear" w:color="auto" w:fill="CFF0FC"/>
          </w:tcPr>
          <w:p>
            <w:pPr>
              <w:spacing w:after="0"/>
              <w:rPr>
                <w:sz w:val="20"/>
                <w:szCs w:val="20"/>
                <w:color w:val="auto"/>
              </w:rPr>
            </w:pPr>
            <w:r>
              <w:rPr>
                <w:rFonts w:ascii="Arial" w:cs="Arial" w:eastAsia="Arial" w:hAnsi="Arial"/>
                <w:sz w:val="18"/>
                <w:szCs w:val="18"/>
                <w:color w:val="auto"/>
              </w:rPr>
              <w:t>Outstanding preferred stock warrants</w:t>
            </w:r>
          </w:p>
        </w:tc>
        <w:tc>
          <w:tcPr>
            <w:tcW w:w="128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color w:val="auto"/>
              </w:rPr>
              <w:t>—</w:t>
            </w:r>
          </w:p>
        </w:tc>
        <w:tc>
          <w:tcPr>
            <w:tcW w:w="11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385,126</w:t>
            </w:r>
          </w:p>
        </w:tc>
        <w:tc>
          <w:tcPr>
            <w:tcW w:w="60" w:type="dxa"/>
            <w:vAlign w:val="bottom"/>
            <w:shd w:val="clear" w:color="auto" w:fill="CFF0FC"/>
          </w:tcPr>
          <w:p>
            <w:pPr>
              <w:spacing w:after="0"/>
              <w:rPr>
                <w:sz w:val="19"/>
                <w:szCs w:val="19"/>
                <w:color w:val="auto"/>
              </w:rPr>
            </w:pPr>
          </w:p>
        </w:tc>
      </w:tr>
      <w:tr>
        <w:trPr>
          <w:trHeight w:val="230"/>
        </w:trPr>
        <w:tc>
          <w:tcPr>
            <w:tcW w:w="5520" w:type="dxa"/>
            <w:vAlign w:val="bottom"/>
          </w:tcPr>
          <w:p>
            <w:pPr>
              <w:spacing w:after="0"/>
              <w:rPr>
                <w:sz w:val="20"/>
                <w:szCs w:val="20"/>
                <w:color w:val="auto"/>
              </w:rPr>
            </w:pPr>
            <w:r>
              <w:rPr>
                <w:rFonts w:ascii="Arial" w:cs="Arial" w:eastAsia="Arial" w:hAnsi="Arial"/>
                <w:sz w:val="18"/>
                <w:szCs w:val="18"/>
                <w:color w:val="auto"/>
              </w:rPr>
              <w:t>Outstanding common stock warrants</w:t>
            </w:r>
          </w:p>
        </w:tc>
        <w:tc>
          <w:tcPr>
            <w:tcW w:w="1080" w:type="dxa"/>
            <w:vAlign w:val="bottom"/>
          </w:tcPr>
          <w:p>
            <w:pPr>
              <w:jc w:val="right"/>
              <w:spacing w:after="0"/>
              <w:rPr>
                <w:sz w:val="20"/>
                <w:szCs w:val="20"/>
                <w:color w:val="auto"/>
              </w:rPr>
            </w:pPr>
            <w:r>
              <w:rPr>
                <w:rFonts w:ascii="Arial" w:cs="Arial" w:eastAsia="Arial" w:hAnsi="Arial"/>
                <w:sz w:val="18"/>
                <w:szCs w:val="18"/>
                <w:color w:val="auto"/>
              </w:rPr>
              <w:t>306,456</w:t>
            </w:r>
          </w:p>
        </w:tc>
        <w:tc>
          <w:tcPr>
            <w:tcW w:w="200" w:type="dxa"/>
            <w:vAlign w:val="bottom"/>
          </w:tcPr>
          <w:p>
            <w:pPr>
              <w:spacing w:after="0"/>
              <w:rPr>
                <w:sz w:val="19"/>
                <w:szCs w:val="19"/>
                <w:color w:val="auto"/>
              </w:rPr>
            </w:pPr>
          </w:p>
        </w:tc>
        <w:tc>
          <w:tcPr>
            <w:tcW w:w="118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r>
      <w:tr>
        <w:trPr>
          <w:trHeight w:val="230"/>
        </w:trPr>
        <w:tc>
          <w:tcPr>
            <w:tcW w:w="5520" w:type="dxa"/>
            <w:vAlign w:val="bottom"/>
            <w:shd w:val="clear" w:color="auto" w:fill="CFF0FC"/>
          </w:tcPr>
          <w:p>
            <w:pPr>
              <w:spacing w:after="0"/>
              <w:rPr>
                <w:sz w:val="20"/>
                <w:szCs w:val="20"/>
                <w:color w:val="auto"/>
              </w:rPr>
            </w:pPr>
            <w:r>
              <w:rPr>
                <w:rFonts w:ascii="Arial" w:cs="Arial" w:eastAsia="Arial" w:hAnsi="Arial"/>
                <w:sz w:val="18"/>
                <w:szCs w:val="18"/>
                <w:color w:val="auto"/>
              </w:rPr>
              <w:t>Outstanding and issued stock options</w:t>
            </w:r>
          </w:p>
        </w:tc>
        <w:tc>
          <w:tcPr>
            <w:tcW w:w="10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1,930,752</w:t>
            </w:r>
          </w:p>
        </w:tc>
        <w:tc>
          <w:tcPr>
            <w:tcW w:w="200" w:type="dxa"/>
            <w:vAlign w:val="bottom"/>
            <w:shd w:val="clear" w:color="auto" w:fill="CFF0FC"/>
          </w:tcPr>
          <w:p>
            <w:pPr>
              <w:spacing w:after="0"/>
              <w:rPr>
                <w:sz w:val="19"/>
                <w:szCs w:val="19"/>
                <w:color w:val="auto"/>
              </w:rPr>
            </w:pPr>
          </w:p>
        </w:tc>
        <w:tc>
          <w:tcPr>
            <w:tcW w:w="11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1,831,757</w:t>
            </w:r>
          </w:p>
        </w:tc>
        <w:tc>
          <w:tcPr>
            <w:tcW w:w="60" w:type="dxa"/>
            <w:vAlign w:val="bottom"/>
            <w:shd w:val="clear" w:color="auto" w:fill="CFF0FC"/>
          </w:tcPr>
          <w:p>
            <w:pPr>
              <w:spacing w:after="0"/>
              <w:rPr>
                <w:sz w:val="19"/>
                <w:szCs w:val="19"/>
                <w:color w:val="auto"/>
              </w:rPr>
            </w:pPr>
          </w:p>
        </w:tc>
      </w:tr>
      <w:tr>
        <w:trPr>
          <w:trHeight w:val="230"/>
        </w:trPr>
        <w:tc>
          <w:tcPr>
            <w:tcW w:w="552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Shares reserved for future option grants</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271,490</w:t>
            </w:r>
          </w:p>
        </w:tc>
        <w:tc>
          <w:tcPr>
            <w:tcW w:w="200" w:type="dxa"/>
            <w:vAlign w:val="bottom"/>
            <w:tcBorders>
              <w:bottom w:val="single" w:sz="8" w:color="CFF0FC"/>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392,306</w:t>
            </w:r>
          </w:p>
        </w:tc>
        <w:tc>
          <w:tcPr>
            <w:tcW w:w="60" w:type="dxa"/>
            <w:vAlign w:val="bottom"/>
            <w:tcBorders>
              <w:bottom w:val="single" w:sz="8" w:color="CFF0FC"/>
            </w:tcBorders>
          </w:tcPr>
          <w:p>
            <w:pPr>
              <w:spacing w:after="0"/>
              <w:rPr>
                <w:sz w:val="19"/>
                <w:szCs w:val="19"/>
                <w:color w:val="auto"/>
              </w:rPr>
            </w:pPr>
          </w:p>
        </w:tc>
      </w:tr>
      <w:tr>
        <w:trPr>
          <w:trHeight w:val="223"/>
        </w:trPr>
        <w:tc>
          <w:tcPr>
            <w:tcW w:w="5520" w:type="dxa"/>
            <w:vAlign w:val="bottom"/>
            <w:tcBorders>
              <w:bottom w:val="single" w:sz="8" w:color="CFF0FC"/>
            </w:tcBorders>
            <w:shd w:val="clear" w:color="auto" w:fill="CFF0FC"/>
          </w:tcPr>
          <w:p>
            <w:pPr>
              <w:ind w:left="120"/>
              <w:spacing w:after="0"/>
              <w:rPr>
                <w:sz w:val="20"/>
                <w:szCs w:val="20"/>
                <w:color w:val="auto"/>
              </w:rPr>
            </w:pPr>
            <w:r>
              <w:rPr>
                <w:rFonts w:ascii="Arial" w:cs="Arial" w:eastAsia="Arial" w:hAnsi="Arial"/>
                <w:sz w:val="18"/>
                <w:szCs w:val="18"/>
                <w:color w:val="auto"/>
              </w:rPr>
              <w:t>Total common stock reserved for issuance</w:t>
            </w:r>
          </w:p>
        </w:tc>
        <w:tc>
          <w:tcPr>
            <w:tcW w:w="10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2,508,698</w:t>
            </w:r>
          </w:p>
        </w:tc>
        <w:tc>
          <w:tcPr>
            <w:tcW w:w="200" w:type="dxa"/>
            <w:vAlign w:val="bottom"/>
            <w:tcBorders>
              <w:bottom w:val="single" w:sz="8" w:color="CFF0FC"/>
            </w:tcBorders>
            <w:shd w:val="clear" w:color="auto" w:fill="CFF0FC"/>
          </w:tcPr>
          <w:p>
            <w:pPr>
              <w:spacing w:after="0"/>
              <w:rPr>
                <w:sz w:val="19"/>
                <w:szCs w:val="19"/>
                <w:color w:val="auto"/>
              </w:rPr>
            </w:pPr>
          </w:p>
        </w:tc>
        <w:tc>
          <w:tcPr>
            <w:tcW w:w="11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23,751,484</w:t>
            </w:r>
          </w:p>
        </w:tc>
        <w:tc>
          <w:tcPr>
            <w:tcW w:w="60" w:type="dxa"/>
            <w:vAlign w:val="bottom"/>
            <w:tcBorders>
              <w:bottom w:val="single" w:sz="8" w:color="CFF0FC"/>
            </w:tcBorders>
            <w:shd w:val="clear" w:color="auto" w:fill="CFF0FC"/>
          </w:tcPr>
          <w:p>
            <w:pPr>
              <w:spacing w:after="0"/>
              <w:rPr>
                <w:sz w:val="19"/>
                <w:szCs w:val="19"/>
                <w:color w:val="auto"/>
              </w:rPr>
            </w:pPr>
          </w:p>
        </w:tc>
      </w:tr>
      <w:tr>
        <w:trPr>
          <w:trHeight w:val="20"/>
        </w:trPr>
        <w:tc>
          <w:tcPr>
            <w:tcW w:w="5520" w:type="dxa"/>
            <w:vAlign w:val="bottom"/>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13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11. STOCK OPTION PLAN</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2017 Plan</w:t>
      </w:r>
    </w:p>
    <w:p>
      <w:pPr>
        <w:spacing w:after="0" w:line="117" w:lineRule="exact"/>
        <w:rPr>
          <w:sz w:val="20"/>
          <w:szCs w:val="20"/>
          <w:color w:val="auto"/>
        </w:rPr>
      </w:pPr>
    </w:p>
    <w:p>
      <w:pPr>
        <w:ind w:right="40"/>
        <w:spacing w:after="0" w:line="290" w:lineRule="auto"/>
        <w:rPr>
          <w:sz w:val="20"/>
          <w:szCs w:val="20"/>
          <w:color w:val="auto"/>
        </w:rPr>
      </w:pPr>
      <w:r>
        <w:rPr>
          <w:rFonts w:ascii="Arial" w:cs="Arial" w:eastAsia="Arial" w:hAnsi="Arial"/>
          <w:sz w:val="16"/>
          <w:szCs w:val="16"/>
          <w:color w:val="auto"/>
        </w:rPr>
        <w:t>The 2017 Equity Incentive Plan (2017 Plan) became effective on October 11, 2017. Under the 2017 Plan, 1,913,831 shares of common stock were initially reserved for the grant of incentive stock options (ISOs), nonstatutory stock options (NSOs), stock appreciation rights, restricted stock awards, restricted stock unit awards, and other forms of equity compensation to employees, directors and consultants. In addition, the Company’s 2017 Plan provides for the grant of performance cash awards to employees, directors and consultants. Prior to the 2017 Plan, 306,756 shares that had been available for future awards under 2015 Plan (defined below) as of October 11, 2017, were added to the initial reserve available under 2017 Plan, bringing the total number of shares reserved for issuance under the 2017 Plan upon effective date to 2,220,587 shares. The number of shares reserved for issuance under the 2017 Plan will increase automatically on the first day of each fiscal year beginning in 2018 and ending in 2027, equal to the lesser of (i) 4% of the shares of stock outstanding on the last day of the immediately preceding fiscal year or (ii) number of shares of stock as determined by the Company’s board of directors.</w:t>
      </w:r>
    </w:p>
    <w:p>
      <w:pPr>
        <w:spacing w:after="0" w:line="9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2005 and 2015 Plan</w:t>
      </w:r>
    </w:p>
    <w:p>
      <w:pPr>
        <w:spacing w:after="0" w:line="117" w:lineRule="exact"/>
        <w:rPr>
          <w:sz w:val="20"/>
          <w:szCs w:val="20"/>
          <w:color w:val="auto"/>
        </w:rPr>
      </w:pPr>
    </w:p>
    <w:p>
      <w:pPr>
        <w:ind w:right="60"/>
        <w:spacing w:after="0" w:line="257" w:lineRule="auto"/>
        <w:rPr>
          <w:sz w:val="20"/>
          <w:szCs w:val="20"/>
          <w:color w:val="auto"/>
        </w:rPr>
      </w:pPr>
      <w:r>
        <w:rPr>
          <w:rFonts w:ascii="Arial" w:cs="Arial" w:eastAsia="Arial" w:hAnsi="Arial"/>
          <w:sz w:val="18"/>
          <w:szCs w:val="18"/>
          <w:color w:val="auto"/>
        </w:rPr>
        <w:t>The Company granted options under 2015 Equity Incentive Plan (the 2015 Plan) and 2005 Stock Option Plan (the 2005 Plan) until October 2017 when they were terminated as to future awards, although they continue to govern the terms of options that remain outstanding under the 2005 Plan and the 2015 Plan, as the case may be. The 2005 Plan provided for the granting of ISOs and NSOs. In 2015, the Company established its 2015 Plan, which superseded and replaced the 2005 Plan. In connection with the Board of Directors approval of the 2017 Plan, all remaining shares available for future award under the 2015 Plan were transferred to the 2017 Plan, and the 2015 Plan was terminated.</w:t>
      </w:r>
    </w:p>
    <w:p>
      <w:pPr>
        <w:spacing w:after="0" w:line="80" w:lineRule="exact"/>
        <w:rPr>
          <w:sz w:val="20"/>
          <w:szCs w:val="20"/>
          <w:color w:val="auto"/>
        </w:rPr>
      </w:pPr>
    </w:p>
    <w:p>
      <w:pPr>
        <w:ind w:right="420"/>
        <w:spacing w:after="0" w:line="277" w:lineRule="auto"/>
        <w:rPr>
          <w:sz w:val="20"/>
          <w:szCs w:val="20"/>
          <w:color w:val="auto"/>
        </w:rPr>
      </w:pPr>
      <w:r>
        <w:rPr>
          <w:rFonts w:ascii="Arial" w:cs="Arial" w:eastAsia="Arial" w:hAnsi="Arial"/>
          <w:sz w:val="18"/>
          <w:szCs w:val="18"/>
          <w:color w:val="auto"/>
        </w:rPr>
        <w:t>The Company recognized stock-based compensation for its employees and non-employees in the accompanying consolidated statements of operations as follows:</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1160" w:type="dxa"/>
            <w:vAlign w:val="bottom"/>
          </w:tcPr>
          <w:p>
            <w:pPr>
              <w:spacing w:after="0"/>
              <w:rPr>
                <w:sz w:val="14"/>
                <w:szCs w:val="14"/>
                <w:color w:val="auto"/>
              </w:rPr>
            </w:pPr>
          </w:p>
        </w:tc>
        <w:tc>
          <w:tcPr>
            <w:tcW w:w="3440" w:type="dxa"/>
            <w:vAlign w:val="bottom"/>
          </w:tcPr>
          <w:p>
            <w:pPr>
              <w:spacing w:after="0"/>
              <w:rPr>
                <w:sz w:val="14"/>
                <w:szCs w:val="14"/>
                <w:color w:val="auto"/>
              </w:rPr>
            </w:pPr>
          </w:p>
        </w:tc>
        <w:tc>
          <w:tcPr>
            <w:tcW w:w="1940" w:type="dxa"/>
            <w:vAlign w:val="bottom"/>
          </w:tcPr>
          <w:p>
            <w:pPr>
              <w:spacing w:after="0"/>
              <w:rPr>
                <w:sz w:val="14"/>
                <w:szCs w:val="14"/>
                <w:color w:val="auto"/>
              </w:rPr>
            </w:pPr>
          </w:p>
        </w:tc>
        <w:tc>
          <w:tcPr>
            <w:tcW w:w="720" w:type="dxa"/>
            <w:vAlign w:val="bottom"/>
            <w:tcBorders>
              <w:bottom w:val="single" w:sz="8" w:color="auto"/>
            </w:tcBorders>
          </w:tcPr>
          <w:p>
            <w:pPr>
              <w:spacing w:after="0"/>
              <w:rPr>
                <w:sz w:val="14"/>
                <w:szCs w:val="14"/>
                <w:color w:val="auto"/>
              </w:rPr>
            </w:pPr>
          </w:p>
        </w:tc>
        <w:tc>
          <w:tcPr>
            <w:tcW w:w="2100" w:type="dxa"/>
            <w:vAlign w:val="bottom"/>
            <w:tcBorders>
              <w:bottom w:val="single" w:sz="8" w:color="auto"/>
            </w:tcBorders>
            <w:gridSpan w:val="6"/>
          </w:tcPr>
          <w:p>
            <w:pPr>
              <w:jc w:val="right"/>
              <w:ind w:right="125"/>
              <w:spacing w:after="0"/>
              <w:rPr>
                <w:sz w:val="20"/>
                <w:szCs w:val="20"/>
                <w:color w:val="auto"/>
              </w:rPr>
            </w:pPr>
            <w:r>
              <w:rPr>
                <w:rFonts w:ascii="Arial" w:cs="Arial" w:eastAsia="Arial" w:hAnsi="Arial"/>
                <w:sz w:val="14"/>
                <w:szCs w:val="14"/>
                <w:b w:val="1"/>
                <w:bCs w:val="1"/>
                <w:color w:val="auto"/>
              </w:rPr>
              <w:t>Year Ended December 31,</w:t>
            </w:r>
          </w:p>
        </w:tc>
        <w:tc>
          <w:tcPr>
            <w:tcW w:w="840" w:type="dxa"/>
            <w:vAlign w:val="bottom"/>
            <w:tcBorders>
              <w:bottom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1160" w:type="dxa"/>
            <w:vAlign w:val="bottom"/>
          </w:tcPr>
          <w:p>
            <w:pPr>
              <w:spacing w:after="0"/>
              <w:rPr>
                <w:sz w:val="13"/>
                <w:szCs w:val="13"/>
                <w:color w:val="auto"/>
              </w:rPr>
            </w:pPr>
          </w:p>
        </w:tc>
        <w:tc>
          <w:tcPr>
            <w:tcW w:w="3440" w:type="dxa"/>
            <w:vAlign w:val="bottom"/>
            <w:tcBorders>
              <w:bottom w:val="single" w:sz="8" w:color="CFF0FC"/>
            </w:tcBorders>
          </w:tcPr>
          <w:p>
            <w:pPr>
              <w:spacing w:after="0"/>
              <w:rPr>
                <w:sz w:val="13"/>
                <w:szCs w:val="13"/>
                <w:color w:val="auto"/>
              </w:rPr>
            </w:pPr>
          </w:p>
        </w:tc>
        <w:tc>
          <w:tcPr>
            <w:tcW w:w="1940" w:type="dxa"/>
            <w:vAlign w:val="bottom"/>
            <w:tcBorders>
              <w:bottom w:val="single" w:sz="8" w:color="CFF0FC"/>
            </w:tcBorders>
          </w:tcPr>
          <w:p>
            <w:pPr>
              <w:spacing w:after="0"/>
              <w:rPr>
                <w:sz w:val="13"/>
                <w:szCs w:val="13"/>
                <w:color w:val="auto"/>
              </w:rPr>
            </w:pPr>
          </w:p>
        </w:tc>
        <w:tc>
          <w:tcPr>
            <w:tcW w:w="72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b w:val="1"/>
                <w:bCs w:val="1"/>
                <w:color w:val="auto"/>
              </w:rPr>
              <w:t>2017</w:t>
            </w:r>
          </w:p>
        </w:tc>
        <w:tc>
          <w:tcPr>
            <w:tcW w:w="360" w:type="dxa"/>
            <w:vAlign w:val="bottom"/>
            <w:tcBorders>
              <w:bottom w:val="single" w:sz="8" w:color="auto"/>
            </w:tcBorders>
          </w:tcPr>
          <w:p>
            <w:pPr>
              <w:spacing w:after="0"/>
              <w:rPr>
                <w:sz w:val="13"/>
                <w:szCs w:val="13"/>
                <w:color w:val="auto"/>
              </w:rPr>
            </w:pPr>
          </w:p>
        </w:tc>
        <w:tc>
          <w:tcPr>
            <w:tcW w:w="200" w:type="dxa"/>
            <w:vAlign w:val="bottom"/>
            <w:tcBorders>
              <w:bottom w:val="single" w:sz="8" w:color="CFF0FC"/>
            </w:tcBorders>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840" w:type="dxa"/>
            <w:vAlign w:val="bottom"/>
            <w:tcBorders>
              <w:bottom w:val="single" w:sz="8" w:color="auto"/>
            </w:tcBorders>
          </w:tcPr>
          <w:p>
            <w:pPr>
              <w:jc w:val="right"/>
              <w:ind w:right="313"/>
              <w:spacing w:after="0" w:line="155" w:lineRule="exact"/>
              <w:rPr>
                <w:sz w:val="20"/>
                <w:szCs w:val="20"/>
                <w:color w:val="auto"/>
              </w:rPr>
            </w:pPr>
            <w:r>
              <w:rPr>
                <w:rFonts w:ascii="Arial" w:cs="Arial" w:eastAsia="Arial" w:hAnsi="Arial"/>
                <w:sz w:val="14"/>
                <w:szCs w:val="14"/>
                <w:b w:val="1"/>
                <w:bCs w:val="1"/>
                <w:color w:val="auto"/>
              </w:rPr>
              <w:t>2016</w:t>
            </w:r>
          </w:p>
        </w:tc>
        <w:tc>
          <w:tcPr>
            <w:tcW w:w="220" w:type="dxa"/>
            <w:vAlign w:val="bottom"/>
            <w:tcBorders>
              <w:bottom w:val="single" w:sz="8" w:color="CFF0FC"/>
            </w:tcBorders>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840" w:type="dxa"/>
            <w:vAlign w:val="bottom"/>
            <w:tcBorders>
              <w:bottom w:val="single" w:sz="8" w:color="auto"/>
            </w:tcBorders>
          </w:tcPr>
          <w:p>
            <w:pPr>
              <w:jc w:val="right"/>
              <w:ind w:right="313"/>
              <w:spacing w:after="0" w:line="155" w:lineRule="exact"/>
              <w:rPr>
                <w:sz w:val="20"/>
                <w:szCs w:val="20"/>
                <w:color w:val="auto"/>
              </w:rPr>
            </w:pPr>
            <w:r>
              <w:rPr>
                <w:rFonts w:ascii="Arial" w:cs="Arial" w:eastAsia="Arial" w:hAnsi="Arial"/>
                <w:sz w:val="14"/>
                <w:szCs w:val="14"/>
                <w:b w:val="1"/>
                <w:bCs w:val="1"/>
                <w:color w:val="auto"/>
              </w:rPr>
              <w:t>2015</w:t>
            </w:r>
          </w:p>
        </w:tc>
        <w:tc>
          <w:tcPr>
            <w:tcW w:w="80" w:type="dxa"/>
            <w:vAlign w:val="bottom"/>
            <w:tcBorders>
              <w:bottom w:val="single" w:sz="8" w:color="CFF0FC"/>
            </w:tcBorders>
          </w:tcPr>
          <w:p>
            <w:pPr>
              <w:spacing w:after="0"/>
              <w:rPr>
                <w:sz w:val="13"/>
                <w:szCs w:val="13"/>
                <w:color w:val="auto"/>
              </w:rPr>
            </w:pPr>
          </w:p>
        </w:tc>
        <w:tc>
          <w:tcPr>
            <w:tcW w:w="11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1160" w:type="dxa"/>
            <w:vAlign w:val="bottom"/>
          </w:tcPr>
          <w:p>
            <w:pPr>
              <w:spacing w:after="0"/>
              <w:rPr>
                <w:sz w:val="19"/>
                <w:szCs w:val="19"/>
                <w:color w:val="auto"/>
              </w:rPr>
            </w:pPr>
          </w:p>
        </w:tc>
        <w:tc>
          <w:tcPr>
            <w:tcW w:w="3440" w:type="dxa"/>
            <w:vAlign w:val="bottom"/>
            <w:shd w:val="clear" w:color="auto" w:fill="CFF0FC"/>
          </w:tcPr>
          <w:p>
            <w:pPr>
              <w:spacing w:after="0"/>
              <w:rPr>
                <w:sz w:val="20"/>
                <w:szCs w:val="20"/>
                <w:color w:val="auto"/>
              </w:rPr>
            </w:pPr>
            <w:r>
              <w:rPr>
                <w:rFonts w:ascii="Arial" w:cs="Arial" w:eastAsia="Arial" w:hAnsi="Arial"/>
                <w:sz w:val="18"/>
                <w:szCs w:val="18"/>
                <w:color w:val="auto"/>
              </w:rPr>
              <w:t>Cost of revenue</w:t>
            </w:r>
          </w:p>
        </w:tc>
        <w:tc>
          <w:tcPr>
            <w:tcW w:w="1940" w:type="dxa"/>
            <w:vAlign w:val="bottom"/>
            <w:shd w:val="clear" w:color="auto" w:fill="CFF0FC"/>
          </w:tcPr>
          <w:p>
            <w:pPr>
              <w:spacing w:after="0"/>
              <w:rPr>
                <w:sz w:val="19"/>
                <w:szCs w:val="19"/>
                <w:color w:val="auto"/>
              </w:rPr>
            </w:pPr>
          </w:p>
        </w:tc>
        <w:tc>
          <w:tcPr>
            <w:tcW w:w="720" w:type="dxa"/>
            <w:vAlign w:val="bottom"/>
            <w:shd w:val="clear" w:color="auto" w:fill="CFF0FC"/>
          </w:tcPr>
          <w:p>
            <w:pPr>
              <w:jc w:val="right"/>
              <w:ind w:right="566"/>
              <w:spacing w:after="0"/>
              <w:rPr>
                <w:sz w:val="20"/>
                <w:szCs w:val="20"/>
                <w:color w:val="auto"/>
              </w:rPr>
            </w:pPr>
            <w:r>
              <w:rPr>
                <w:rFonts w:ascii="Arial" w:cs="Arial" w:eastAsia="Arial" w:hAnsi="Arial"/>
                <w:sz w:val="15"/>
                <w:szCs w:val="15"/>
                <w:color w:val="auto"/>
                <w:w w:val="71"/>
              </w:rPr>
              <w:t>$</w:t>
            </w:r>
          </w:p>
        </w:tc>
        <w:tc>
          <w:tcPr>
            <w:tcW w:w="3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w:t>
            </w:r>
          </w:p>
        </w:tc>
        <w:tc>
          <w:tcPr>
            <w:tcW w:w="200" w:type="dxa"/>
            <w:vAlign w:val="bottom"/>
            <w:shd w:val="clear" w:color="auto" w:fill="CFF0FC"/>
          </w:tcPr>
          <w:p>
            <w:pPr>
              <w:spacing w:after="0"/>
              <w:rPr>
                <w:sz w:val="19"/>
                <w:szCs w:val="19"/>
                <w:color w:val="auto"/>
              </w:rPr>
            </w:pPr>
          </w:p>
        </w:tc>
        <w:tc>
          <w:tcPr>
            <w:tcW w:w="24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w w:val="79"/>
              </w:rPr>
              <w:t>$</w:t>
            </w: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w:t>
            </w:r>
          </w:p>
        </w:tc>
        <w:tc>
          <w:tcPr>
            <w:tcW w:w="220" w:type="dxa"/>
            <w:vAlign w:val="bottom"/>
            <w:shd w:val="clear" w:color="auto" w:fill="CFF0FC"/>
          </w:tcPr>
          <w:p>
            <w:pPr>
              <w:spacing w:after="0"/>
              <w:rPr>
                <w:sz w:val="19"/>
                <w:szCs w:val="19"/>
                <w:color w:val="auto"/>
              </w:rPr>
            </w:pPr>
          </w:p>
        </w:tc>
        <w:tc>
          <w:tcPr>
            <w:tcW w:w="240" w:type="dxa"/>
            <w:vAlign w:val="bottom"/>
            <w:shd w:val="clear" w:color="auto" w:fill="CFF0FC"/>
          </w:tcPr>
          <w:p>
            <w:pPr>
              <w:jc w:val="right"/>
              <w:ind w:right="85"/>
              <w:spacing w:after="0"/>
              <w:rPr>
                <w:sz w:val="20"/>
                <w:szCs w:val="20"/>
                <w:color w:val="auto"/>
              </w:rPr>
            </w:pPr>
            <w:r>
              <w:rPr>
                <w:rFonts w:ascii="Arial" w:cs="Arial" w:eastAsia="Arial" w:hAnsi="Arial"/>
                <w:sz w:val="15"/>
                <w:szCs w:val="15"/>
                <w:color w:val="auto"/>
                <w:w w:val="71"/>
              </w:rPr>
              <w:t>$</w:t>
            </w: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w:t>
            </w:r>
          </w:p>
        </w:tc>
        <w:tc>
          <w:tcPr>
            <w:tcW w:w="80" w:type="dxa"/>
            <w:vAlign w:val="bottom"/>
            <w:shd w:val="clear" w:color="auto" w:fill="CFF0FC"/>
          </w:tcPr>
          <w:p>
            <w:pPr>
              <w:spacing w:after="0"/>
              <w:rPr>
                <w:sz w:val="19"/>
                <w:szCs w:val="19"/>
                <w:color w:val="auto"/>
              </w:rPr>
            </w:pPr>
          </w:p>
        </w:tc>
        <w:tc>
          <w:tcPr>
            <w:tcW w:w="1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160" w:type="dxa"/>
            <w:vAlign w:val="bottom"/>
          </w:tcPr>
          <w:p>
            <w:pPr>
              <w:spacing w:after="0"/>
              <w:rPr>
                <w:sz w:val="19"/>
                <w:szCs w:val="19"/>
                <w:color w:val="auto"/>
              </w:rPr>
            </w:pPr>
          </w:p>
        </w:tc>
        <w:tc>
          <w:tcPr>
            <w:tcW w:w="3440" w:type="dxa"/>
            <w:vAlign w:val="bottom"/>
          </w:tcPr>
          <w:p>
            <w:pPr>
              <w:spacing w:after="0"/>
              <w:rPr>
                <w:sz w:val="20"/>
                <w:szCs w:val="20"/>
                <w:color w:val="auto"/>
              </w:rPr>
            </w:pPr>
            <w:r>
              <w:rPr>
                <w:rFonts w:ascii="Arial" w:cs="Arial" w:eastAsia="Arial" w:hAnsi="Arial"/>
                <w:sz w:val="18"/>
                <w:szCs w:val="18"/>
                <w:color w:val="auto"/>
              </w:rPr>
              <w:t>Research and development</w:t>
            </w:r>
          </w:p>
        </w:tc>
        <w:tc>
          <w:tcPr>
            <w:tcW w:w="194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360" w:type="dxa"/>
            <w:vAlign w:val="bottom"/>
          </w:tcPr>
          <w:p>
            <w:pPr>
              <w:jc w:val="right"/>
              <w:spacing w:after="0"/>
              <w:rPr>
                <w:sz w:val="20"/>
                <w:szCs w:val="20"/>
                <w:color w:val="auto"/>
              </w:rPr>
            </w:pPr>
            <w:r>
              <w:rPr>
                <w:rFonts w:ascii="Arial" w:cs="Arial" w:eastAsia="Arial" w:hAnsi="Arial"/>
                <w:sz w:val="18"/>
                <w:szCs w:val="18"/>
                <w:color w:val="auto"/>
              </w:rPr>
              <w:t>101</w:t>
            </w:r>
          </w:p>
        </w:tc>
        <w:tc>
          <w:tcPr>
            <w:tcW w:w="2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102</w:t>
            </w:r>
          </w:p>
        </w:tc>
        <w:tc>
          <w:tcPr>
            <w:tcW w:w="2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116</w:t>
            </w:r>
          </w:p>
        </w:tc>
        <w:tc>
          <w:tcPr>
            <w:tcW w:w="8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160" w:type="dxa"/>
            <w:vAlign w:val="bottom"/>
          </w:tcPr>
          <w:p>
            <w:pPr>
              <w:spacing w:after="0"/>
              <w:rPr>
                <w:sz w:val="19"/>
                <w:szCs w:val="19"/>
                <w:color w:val="auto"/>
              </w:rPr>
            </w:pPr>
          </w:p>
        </w:tc>
        <w:tc>
          <w:tcPr>
            <w:tcW w:w="3440" w:type="dxa"/>
            <w:vAlign w:val="bottom"/>
            <w:shd w:val="clear" w:color="auto" w:fill="CFF0FC"/>
          </w:tcPr>
          <w:p>
            <w:pPr>
              <w:spacing w:after="0"/>
              <w:rPr>
                <w:sz w:val="20"/>
                <w:szCs w:val="20"/>
                <w:color w:val="auto"/>
              </w:rPr>
            </w:pPr>
            <w:r>
              <w:rPr>
                <w:rFonts w:ascii="Arial" w:cs="Arial" w:eastAsia="Arial" w:hAnsi="Arial"/>
                <w:sz w:val="18"/>
                <w:szCs w:val="18"/>
                <w:color w:val="auto"/>
              </w:rPr>
              <w:t>Sales and marketing</w:t>
            </w:r>
          </w:p>
        </w:tc>
        <w:tc>
          <w:tcPr>
            <w:tcW w:w="1940" w:type="dxa"/>
            <w:vAlign w:val="bottom"/>
            <w:shd w:val="clear" w:color="auto" w:fill="CFF0FC"/>
          </w:tcPr>
          <w:p>
            <w:pPr>
              <w:spacing w:after="0"/>
              <w:rPr>
                <w:sz w:val="19"/>
                <w:szCs w:val="19"/>
                <w:color w:val="auto"/>
              </w:rPr>
            </w:pPr>
          </w:p>
        </w:tc>
        <w:tc>
          <w:tcPr>
            <w:tcW w:w="720" w:type="dxa"/>
            <w:vAlign w:val="bottom"/>
            <w:shd w:val="clear" w:color="auto" w:fill="CFF0FC"/>
          </w:tcPr>
          <w:p>
            <w:pPr>
              <w:spacing w:after="0"/>
              <w:rPr>
                <w:sz w:val="19"/>
                <w:szCs w:val="19"/>
                <w:color w:val="auto"/>
              </w:rPr>
            </w:pPr>
          </w:p>
        </w:tc>
        <w:tc>
          <w:tcPr>
            <w:tcW w:w="3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74</w:t>
            </w:r>
          </w:p>
        </w:tc>
        <w:tc>
          <w:tcPr>
            <w:tcW w:w="20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85</w:t>
            </w:r>
          </w:p>
        </w:tc>
        <w:tc>
          <w:tcPr>
            <w:tcW w:w="2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140</w:t>
            </w:r>
          </w:p>
        </w:tc>
        <w:tc>
          <w:tcPr>
            <w:tcW w:w="80" w:type="dxa"/>
            <w:vAlign w:val="bottom"/>
            <w:shd w:val="clear" w:color="auto" w:fill="CFF0FC"/>
          </w:tcPr>
          <w:p>
            <w:pPr>
              <w:spacing w:after="0"/>
              <w:rPr>
                <w:sz w:val="19"/>
                <w:szCs w:val="19"/>
                <w:color w:val="auto"/>
              </w:rPr>
            </w:pPr>
          </w:p>
        </w:tc>
        <w:tc>
          <w:tcPr>
            <w:tcW w:w="1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160" w:type="dxa"/>
            <w:vAlign w:val="bottom"/>
          </w:tcPr>
          <w:p>
            <w:pPr>
              <w:spacing w:after="0"/>
              <w:rPr>
                <w:sz w:val="19"/>
                <w:szCs w:val="19"/>
                <w:color w:val="auto"/>
              </w:rPr>
            </w:pPr>
          </w:p>
        </w:tc>
        <w:tc>
          <w:tcPr>
            <w:tcW w:w="344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General and administrative</w:t>
            </w:r>
          </w:p>
        </w:tc>
        <w:tc>
          <w:tcPr>
            <w:tcW w:w="1940" w:type="dxa"/>
            <w:vAlign w:val="bottom"/>
            <w:tcBorders>
              <w:bottom w:val="single" w:sz="8" w:color="CFF0FC"/>
            </w:tcBorders>
          </w:tcPr>
          <w:p>
            <w:pPr>
              <w:spacing w:after="0"/>
              <w:rPr>
                <w:sz w:val="19"/>
                <w:szCs w:val="19"/>
                <w:color w:val="auto"/>
              </w:rPr>
            </w:pPr>
          </w:p>
        </w:tc>
        <w:tc>
          <w:tcPr>
            <w:tcW w:w="720" w:type="dxa"/>
            <w:vAlign w:val="bottom"/>
            <w:tcBorders>
              <w:bottom w:val="single" w:sz="8" w:color="auto"/>
            </w:tcBorders>
          </w:tcPr>
          <w:p>
            <w:pPr>
              <w:spacing w:after="0"/>
              <w:rPr>
                <w:sz w:val="19"/>
                <w:szCs w:val="19"/>
                <w:color w:val="auto"/>
              </w:rPr>
            </w:pPr>
          </w:p>
        </w:tc>
        <w:tc>
          <w:tcPr>
            <w:tcW w:w="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280</w:t>
            </w:r>
          </w:p>
        </w:tc>
        <w:tc>
          <w:tcPr>
            <w:tcW w:w="200" w:type="dxa"/>
            <w:vAlign w:val="bottom"/>
            <w:tcBorders>
              <w:bottom w:val="single" w:sz="8" w:color="CFF0FC"/>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267</w:t>
            </w:r>
          </w:p>
        </w:tc>
        <w:tc>
          <w:tcPr>
            <w:tcW w:w="220" w:type="dxa"/>
            <w:vAlign w:val="bottom"/>
            <w:tcBorders>
              <w:bottom w:val="single" w:sz="8" w:color="CFF0FC"/>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161</w:t>
            </w:r>
          </w:p>
        </w:tc>
        <w:tc>
          <w:tcPr>
            <w:tcW w:w="80" w:type="dxa"/>
            <w:vAlign w:val="bottom"/>
            <w:tcBorders>
              <w:bottom w:val="single" w:sz="8" w:color="CFF0FC"/>
            </w:tcBorders>
          </w:tcPr>
          <w:p>
            <w:pPr>
              <w:spacing w:after="0"/>
              <w:rPr>
                <w:sz w:val="19"/>
                <w:szCs w:val="19"/>
                <w:color w:val="auto"/>
              </w:rPr>
            </w:pPr>
          </w:p>
        </w:tc>
        <w:tc>
          <w:tcPr>
            <w:tcW w:w="1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1160" w:type="dxa"/>
            <w:vAlign w:val="bottom"/>
          </w:tcPr>
          <w:p>
            <w:pPr>
              <w:spacing w:after="0"/>
              <w:rPr>
                <w:sz w:val="19"/>
                <w:szCs w:val="19"/>
                <w:color w:val="auto"/>
              </w:rPr>
            </w:pPr>
          </w:p>
        </w:tc>
        <w:tc>
          <w:tcPr>
            <w:tcW w:w="3440" w:type="dxa"/>
            <w:vAlign w:val="bottom"/>
            <w:tcBorders>
              <w:bottom w:val="single" w:sz="8" w:color="CFF0FC"/>
            </w:tcBorders>
            <w:shd w:val="clear" w:color="auto" w:fill="CFF0FC"/>
          </w:tcPr>
          <w:p>
            <w:pPr>
              <w:ind w:left="120"/>
              <w:spacing w:after="0"/>
              <w:rPr>
                <w:sz w:val="20"/>
                <w:szCs w:val="20"/>
                <w:color w:val="auto"/>
              </w:rPr>
            </w:pPr>
            <w:r>
              <w:rPr>
                <w:rFonts w:ascii="Arial" w:cs="Arial" w:eastAsia="Arial" w:hAnsi="Arial"/>
                <w:sz w:val="18"/>
                <w:szCs w:val="18"/>
                <w:color w:val="auto"/>
              </w:rPr>
              <w:t>Total stock-based compensation</w:t>
            </w:r>
          </w:p>
        </w:tc>
        <w:tc>
          <w:tcPr>
            <w:tcW w:w="1940" w:type="dxa"/>
            <w:vAlign w:val="bottom"/>
            <w:tcBorders>
              <w:bottom w:val="single" w:sz="8" w:color="CFF0FC"/>
            </w:tcBorders>
            <w:shd w:val="clear" w:color="auto" w:fill="CFF0FC"/>
          </w:tcPr>
          <w:p>
            <w:pPr>
              <w:spacing w:after="0"/>
              <w:rPr>
                <w:sz w:val="19"/>
                <w:szCs w:val="19"/>
                <w:color w:val="auto"/>
              </w:rPr>
            </w:pPr>
          </w:p>
        </w:tc>
        <w:tc>
          <w:tcPr>
            <w:tcW w:w="720" w:type="dxa"/>
            <w:vAlign w:val="bottom"/>
            <w:tcBorders>
              <w:bottom w:val="single" w:sz="8" w:color="auto"/>
            </w:tcBorders>
            <w:shd w:val="clear" w:color="auto" w:fill="CFF0FC"/>
          </w:tcPr>
          <w:p>
            <w:pPr>
              <w:jc w:val="right"/>
              <w:ind w:right="566"/>
              <w:spacing w:after="0"/>
              <w:rPr>
                <w:sz w:val="20"/>
                <w:szCs w:val="20"/>
                <w:color w:val="auto"/>
              </w:rPr>
            </w:pPr>
            <w:r>
              <w:rPr>
                <w:rFonts w:ascii="Arial" w:cs="Arial" w:eastAsia="Arial" w:hAnsi="Arial"/>
                <w:sz w:val="15"/>
                <w:szCs w:val="15"/>
                <w:color w:val="auto"/>
                <w:w w:val="71"/>
              </w:rPr>
              <w:t>$</w:t>
            </w:r>
          </w:p>
        </w:tc>
        <w:tc>
          <w:tcPr>
            <w:tcW w:w="3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465</w:t>
            </w:r>
          </w:p>
        </w:tc>
        <w:tc>
          <w:tcPr>
            <w:tcW w:w="200" w:type="dxa"/>
            <w:vAlign w:val="bottom"/>
            <w:tcBorders>
              <w:bottom w:val="single" w:sz="8" w:color="CFF0FC"/>
            </w:tcBorders>
            <w:shd w:val="clear" w:color="auto" w:fill="CFF0FC"/>
          </w:tcPr>
          <w:p>
            <w:pPr>
              <w:spacing w:after="0"/>
              <w:rPr>
                <w:sz w:val="19"/>
                <w:szCs w:val="19"/>
                <w:color w:val="auto"/>
              </w:rPr>
            </w:pPr>
          </w:p>
        </w:tc>
        <w:tc>
          <w:tcPr>
            <w:tcW w:w="240" w:type="dxa"/>
            <w:vAlign w:val="bottom"/>
            <w:tcBorders>
              <w:bottom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color w:val="auto"/>
                <w:w w:val="79"/>
              </w:rPr>
              <w:t>$</w:t>
            </w:r>
          </w:p>
        </w:tc>
        <w:tc>
          <w:tcPr>
            <w:tcW w:w="8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466</w:t>
            </w:r>
          </w:p>
        </w:tc>
        <w:tc>
          <w:tcPr>
            <w:tcW w:w="220" w:type="dxa"/>
            <w:vAlign w:val="bottom"/>
            <w:tcBorders>
              <w:bottom w:val="single" w:sz="8" w:color="CFF0FC"/>
            </w:tcBorders>
            <w:shd w:val="clear" w:color="auto" w:fill="CFF0FC"/>
          </w:tcPr>
          <w:p>
            <w:pPr>
              <w:spacing w:after="0"/>
              <w:rPr>
                <w:sz w:val="19"/>
                <w:szCs w:val="19"/>
                <w:color w:val="auto"/>
              </w:rPr>
            </w:pPr>
          </w:p>
        </w:tc>
        <w:tc>
          <w:tcPr>
            <w:tcW w:w="240" w:type="dxa"/>
            <w:vAlign w:val="bottom"/>
            <w:tcBorders>
              <w:bottom w:val="single" w:sz="8" w:color="auto"/>
            </w:tcBorders>
            <w:shd w:val="clear" w:color="auto" w:fill="CFF0FC"/>
          </w:tcPr>
          <w:p>
            <w:pPr>
              <w:jc w:val="right"/>
              <w:ind w:right="85"/>
              <w:spacing w:after="0"/>
              <w:rPr>
                <w:sz w:val="20"/>
                <w:szCs w:val="20"/>
                <w:color w:val="auto"/>
              </w:rPr>
            </w:pPr>
            <w:r>
              <w:rPr>
                <w:rFonts w:ascii="Arial" w:cs="Arial" w:eastAsia="Arial" w:hAnsi="Arial"/>
                <w:sz w:val="15"/>
                <w:szCs w:val="15"/>
                <w:color w:val="auto"/>
                <w:w w:val="71"/>
              </w:rPr>
              <w:t>$</w:t>
            </w:r>
          </w:p>
        </w:tc>
        <w:tc>
          <w:tcPr>
            <w:tcW w:w="8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429</w:t>
            </w:r>
          </w:p>
        </w:tc>
        <w:tc>
          <w:tcPr>
            <w:tcW w:w="80" w:type="dxa"/>
            <w:vAlign w:val="bottom"/>
            <w:tcBorders>
              <w:bottom w:val="single" w:sz="8" w:color="CFF0FC"/>
            </w:tcBorders>
            <w:shd w:val="clear" w:color="auto" w:fill="CFF0FC"/>
          </w:tcPr>
          <w:p>
            <w:pPr>
              <w:spacing w:after="0"/>
              <w:rPr>
                <w:sz w:val="19"/>
                <w:szCs w:val="19"/>
                <w:color w:val="auto"/>
              </w:rPr>
            </w:pPr>
          </w:p>
        </w:tc>
        <w:tc>
          <w:tcPr>
            <w:tcW w:w="1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160" w:type="dxa"/>
            <w:vAlign w:val="bottom"/>
          </w:tcPr>
          <w:p>
            <w:pPr>
              <w:spacing w:after="0" w:line="20" w:lineRule="exact"/>
              <w:rPr>
                <w:sz w:val="1"/>
                <w:szCs w:val="1"/>
                <w:color w:val="auto"/>
              </w:rPr>
            </w:pPr>
          </w:p>
        </w:tc>
        <w:tc>
          <w:tcPr>
            <w:tcW w:w="3440" w:type="dxa"/>
            <w:vAlign w:val="bottom"/>
          </w:tcPr>
          <w:p>
            <w:pPr>
              <w:spacing w:after="0" w:line="20" w:lineRule="exact"/>
              <w:rPr>
                <w:sz w:val="1"/>
                <w:szCs w:val="1"/>
                <w:color w:val="auto"/>
              </w:rPr>
            </w:pPr>
          </w:p>
        </w:tc>
        <w:tc>
          <w:tcPr>
            <w:tcW w:w="1940" w:type="dxa"/>
            <w:vAlign w:val="bottom"/>
            <w:vMerge w:val="restart"/>
          </w:tcPr>
          <w:p>
            <w:pPr>
              <w:jc w:val="right"/>
              <w:ind w:right="650"/>
              <w:spacing w:after="0"/>
              <w:rPr>
                <w:sz w:val="20"/>
                <w:szCs w:val="20"/>
                <w:color w:val="auto"/>
              </w:rPr>
            </w:pPr>
            <w:r>
              <w:rPr>
                <w:rFonts w:ascii="Arial" w:cs="Arial" w:eastAsia="Arial" w:hAnsi="Arial"/>
                <w:sz w:val="18"/>
                <w:szCs w:val="18"/>
                <w:color w:val="auto"/>
              </w:rPr>
              <w:t>94</w:t>
            </w:r>
          </w:p>
        </w:tc>
        <w:tc>
          <w:tcPr>
            <w:tcW w:w="72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61"/>
        </w:trPr>
        <w:tc>
          <w:tcPr>
            <w:tcW w:w="1160" w:type="dxa"/>
            <w:vAlign w:val="bottom"/>
          </w:tcPr>
          <w:p>
            <w:pPr>
              <w:spacing w:after="0"/>
              <w:rPr>
                <w:sz w:val="24"/>
                <w:szCs w:val="24"/>
                <w:color w:val="auto"/>
              </w:rPr>
            </w:pPr>
          </w:p>
        </w:tc>
        <w:tc>
          <w:tcPr>
            <w:tcW w:w="3440" w:type="dxa"/>
            <w:vAlign w:val="bottom"/>
          </w:tcPr>
          <w:p>
            <w:pPr>
              <w:spacing w:after="0"/>
              <w:rPr>
                <w:sz w:val="24"/>
                <w:szCs w:val="24"/>
                <w:color w:val="auto"/>
              </w:rPr>
            </w:pPr>
          </w:p>
        </w:tc>
        <w:tc>
          <w:tcPr>
            <w:tcW w:w="1940" w:type="dxa"/>
            <w:vAlign w:val="bottom"/>
            <w:vMerge w:val="continue"/>
          </w:tcPr>
          <w:p>
            <w:pPr>
              <w:spacing w:after="0"/>
              <w:rPr>
                <w:sz w:val="24"/>
                <w:szCs w:val="24"/>
                <w:color w:val="auto"/>
              </w:rPr>
            </w:pPr>
          </w:p>
        </w:tc>
        <w:tc>
          <w:tcPr>
            <w:tcW w:w="7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1160" w:type="dxa"/>
            <w:vAlign w:val="bottom"/>
            <w:tcBorders>
              <w:bottom w:val="single" w:sz="8" w:color="9A9A9A"/>
            </w:tcBorders>
          </w:tcPr>
          <w:p>
            <w:pPr>
              <w:spacing w:after="0"/>
              <w:rPr>
                <w:sz w:val="10"/>
                <w:szCs w:val="10"/>
                <w:color w:val="auto"/>
              </w:rPr>
            </w:pPr>
          </w:p>
        </w:tc>
        <w:tc>
          <w:tcPr>
            <w:tcW w:w="3440" w:type="dxa"/>
            <w:vAlign w:val="bottom"/>
            <w:tcBorders>
              <w:bottom w:val="single" w:sz="8" w:color="9A9A9A"/>
            </w:tcBorders>
          </w:tcPr>
          <w:p>
            <w:pPr>
              <w:spacing w:after="0"/>
              <w:rPr>
                <w:sz w:val="10"/>
                <w:szCs w:val="10"/>
                <w:color w:val="auto"/>
              </w:rPr>
            </w:pPr>
          </w:p>
        </w:tc>
        <w:tc>
          <w:tcPr>
            <w:tcW w:w="1940" w:type="dxa"/>
            <w:vAlign w:val="bottom"/>
            <w:tcBorders>
              <w:bottom w:val="single" w:sz="8" w:color="9A9A9A"/>
            </w:tcBorders>
          </w:tcPr>
          <w:p>
            <w:pPr>
              <w:spacing w:after="0"/>
              <w:rPr>
                <w:sz w:val="10"/>
                <w:szCs w:val="10"/>
                <w:color w:val="auto"/>
              </w:rPr>
            </w:pPr>
          </w:p>
        </w:tc>
        <w:tc>
          <w:tcPr>
            <w:tcW w:w="720" w:type="dxa"/>
            <w:vAlign w:val="bottom"/>
            <w:tcBorders>
              <w:bottom w:val="single" w:sz="8" w:color="9A9A9A"/>
            </w:tcBorders>
          </w:tcPr>
          <w:p>
            <w:pPr>
              <w:spacing w:after="0"/>
              <w:rPr>
                <w:sz w:val="10"/>
                <w:szCs w:val="10"/>
                <w:color w:val="auto"/>
              </w:rPr>
            </w:pPr>
          </w:p>
        </w:tc>
        <w:tc>
          <w:tcPr>
            <w:tcW w:w="360" w:type="dxa"/>
            <w:vAlign w:val="bottom"/>
            <w:tcBorders>
              <w:bottom w:val="single" w:sz="8" w:color="9A9A9A"/>
            </w:tcBorders>
          </w:tcPr>
          <w:p>
            <w:pPr>
              <w:spacing w:after="0"/>
              <w:rPr>
                <w:sz w:val="10"/>
                <w:szCs w:val="10"/>
                <w:color w:val="auto"/>
              </w:rPr>
            </w:pPr>
          </w:p>
        </w:tc>
        <w:tc>
          <w:tcPr>
            <w:tcW w:w="200" w:type="dxa"/>
            <w:vAlign w:val="bottom"/>
            <w:tcBorders>
              <w:bottom w:val="single" w:sz="8" w:color="9A9A9A"/>
            </w:tcBorders>
          </w:tcPr>
          <w:p>
            <w:pPr>
              <w:spacing w:after="0"/>
              <w:rPr>
                <w:sz w:val="10"/>
                <w:szCs w:val="10"/>
                <w:color w:val="auto"/>
              </w:rPr>
            </w:pPr>
          </w:p>
        </w:tc>
        <w:tc>
          <w:tcPr>
            <w:tcW w:w="240" w:type="dxa"/>
            <w:vAlign w:val="bottom"/>
            <w:tcBorders>
              <w:bottom w:val="single" w:sz="8" w:color="9A9A9A"/>
            </w:tcBorders>
          </w:tcPr>
          <w:p>
            <w:pPr>
              <w:spacing w:after="0"/>
              <w:rPr>
                <w:sz w:val="10"/>
                <w:szCs w:val="10"/>
                <w:color w:val="auto"/>
              </w:rPr>
            </w:pPr>
          </w:p>
        </w:tc>
        <w:tc>
          <w:tcPr>
            <w:tcW w:w="84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240" w:type="dxa"/>
            <w:vAlign w:val="bottom"/>
            <w:tcBorders>
              <w:bottom w:val="single" w:sz="8" w:color="9A9A9A"/>
            </w:tcBorders>
          </w:tcPr>
          <w:p>
            <w:pPr>
              <w:spacing w:after="0"/>
              <w:rPr>
                <w:sz w:val="10"/>
                <w:szCs w:val="10"/>
                <w:color w:val="auto"/>
              </w:rPr>
            </w:pPr>
          </w:p>
        </w:tc>
        <w:tc>
          <w:tcPr>
            <w:tcW w:w="84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116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7247255</wp:posOffset>
            </wp:positionH>
            <wp:positionV relativeFrom="paragraph">
              <wp:posOffset>-29210</wp:posOffset>
            </wp:positionV>
            <wp:extent cx="34290" cy="4254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440"/>
          </w:cols>
          <w:pgMar w:left="240" w:top="337" w:right="219" w:bottom="1440" w:gutter="0" w:footer="0" w:header="0"/>
        </w:sectPr>
      </w:pPr>
    </w:p>
    <w:bookmarkStart w:id="95" w:name="page96"/>
    <w:bookmarkEnd w:id="95"/>
    <w:p>
      <w:pPr>
        <w:spacing w:after="0"/>
        <w:rPr>
          <w:sz w:val="20"/>
          <w:szCs w:val="20"/>
          <w:color w:val="auto"/>
        </w:rPr>
      </w:pPr>
      <w:r>
        <w:rPr>
          <w:rFonts w:ascii="Arial" w:cs="Arial" w:eastAsia="Arial" w:hAnsi="Arial"/>
          <w:sz w:val="18"/>
          <w:szCs w:val="18"/>
          <w:b w:val="1"/>
          <w:bCs w:val="1"/>
          <w:i w:val="1"/>
          <w:iCs w:val="1"/>
          <w:color w:val="auto"/>
        </w:rPr>
        <w:t>Determination of Fair Value</w:t>
      </w:r>
    </w:p>
    <w:p>
      <w:pPr>
        <w:spacing w:after="0" w:line="117"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color w:val="auto"/>
        </w:rPr>
        <w:t>The estimated grant-date fair value of all of the Company’s stock-based awards was calculated using the Black-Scholes-Merton option pricing model, based on the following assumptions:</w:t>
      </w:r>
    </w:p>
    <w:p>
      <w:pPr>
        <w:spacing w:after="0" w:line="230" w:lineRule="exact"/>
        <w:rPr>
          <w:sz w:val="20"/>
          <w:szCs w:val="20"/>
          <w:color w:val="auto"/>
        </w:rPr>
      </w:pPr>
    </w:p>
    <w:tbl>
      <w:tblPr>
        <w:tblLayout w:type="fixed"/>
        <w:tblInd w:w="114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3860" w:type="dxa"/>
            <w:vAlign w:val="bottom"/>
          </w:tcPr>
          <w:p>
            <w:pPr>
              <w:spacing w:after="0"/>
              <w:rPr>
                <w:sz w:val="14"/>
                <w:szCs w:val="14"/>
                <w:color w:val="auto"/>
              </w:rPr>
            </w:pPr>
          </w:p>
        </w:tc>
        <w:tc>
          <w:tcPr>
            <w:tcW w:w="166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800" w:type="dxa"/>
            <w:vAlign w:val="bottom"/>
            <w:tcBorders>
              <w:bottom w:val="single" w:sz="8" w:color="auto"/>
            </w:tcBorders>
            <w:gridSpan w:val="2"/>
          </w:tcPr>
          <w:p>
            <w:pPr>
              <w:ind w:left="40"/>
              <w:spacing w:after="0"/>
              <w:rPr>
                <w:sz w:val="20"/>
                <w:szCs w:val="20"/>
                <w:color w:val="auto"/>
              </w:rPr>
            </w:pPr>
            <w:r>
              <w:rPr>
                <w:rFonts w:ascii="Arial" w:cs="Arial" w:eastAsia="Arial" w:hAnsi="Arial"/>
                <w:sz w:val="14"/>
                <w:szCs w:val="14"/>
                <w:b w:val="1"/>
                <w:bCs w:val="1"/>
                <w:color w:val="auto"/>
              </w:rPr>
              <w:t>Year Ended December 31,</w:t>
            </w:r>
          </w:p>
        </w:tc>
        <w:tc>
          <w:tcPr>
            <w:tcW w:w="1680" w:type="dxa"/>
            <w:vAlign w:val="bottom"/>
            <w:tcBorders>
              <w:bottom w:val="single" w:sz="8" w:color="auto"/>
            </w:tcBorders>
          </w:tcPr>
          <w:p>
            <w:pPr>
              <w:spacing w:after="0"/>
              <w:rPr>
                <w:sz w:val="14"/>
                <w:szCs w:val="14"/>
                <w:color w:val="auto"/>
              </w:rPr>
            </w:pPr>
          </w:p>
        </w:tc>
      </w:tr>
      <w:tr>
        <w:trPr>
          <w:trHeight w:val="156"/>
        </w:trPr>
        <w:tc>
          <w:tcPr>
            <w:tcW w:w="20" w:type="dxa"/>
            <w:vAlign w:val="bottom"/>
          </w:tcPr>
          <w:p>
            <w:pPr>
              <w:spacing w:after="0"/>
              <w:rPr>
                <w:sz w:val="13"/>
                <w:szCs w:val="13"/>
                <w:color w:val="auto"/>
              </w:rPr>
            </w:pPr>
          </w:p>
        </w:tc>
        <w:tc>
          <w:tcPr>
            <w:tcW w:w="3860" w:type="dxa"/>
            <w:vAlign w:val="bottom"/>
            <w:tcBorders>
              <w:bottom w:val="single" w:sz="8" w:color="CFF0FC"/>
            </w:tcBorders>
          </w:tcPr>
          <w:p>
            <w:pPr>
              <w:spacing w:after="0"/>
              <w:rPr>
                <w:sz w:val="13"/>
                <w:szCs w:val="13"/>
                <w:color w:val="auto"/>
              </w:rPr>
            </w:pPr>
          </w:p>
        </w:tc>
        <w:tc>
          <w:tcPr>
            <w:tcW w:w="1660" w:type="dxa"/>
            <w:vAlign w:val="bottom"/>
            <w:tcBorders>
              <w:bottom w:val="single" w:sz="8" w:color="auto"/>
            </w:tcBorders>
          </w:tcPr>
          <w:p>
            <w:pPr>
              <w:jc w:val="right"/>
              <w:ind w:right="614"/>
              <w:spacing w:after="0" w:line="155" w:lineRule="exact"/>
              <w:rPr>
                <w:sz w:val="20"/>
                <w:szCs w:val="20"/>
                <w:color w:val="auto"/>
              </w:rPr>
            </w:pPr>
            <w:r>
              <w:rPr>
                <w:rFonts w:ascii="Arial" w:cs="Arial" w:eastAsia="Arial" w:hAnsi="Arial"/>
                <w:sz w:val="14"/>
                <w:szCs w:val="14"/>
                <w:b w:val="1"/>
                <w:bCs w:val="1"/>
                <w:color w:val="auto"/>
              </w:rPr>
              <w:t>2017</w:t>
            </w:r>
          </w:p>
        </w:tc>
        <w:tc>
          <w:tcPr>
            <w:tcW w:w="120" w:type="dxa"/>
            <w:vAlign w:val="bottom"/>
            <w:tcBorders>
              <w:bottom w:val="single" w:sz="8" w:color="CFF0FC"/>
            </w:tcBorders>
          </w:tcPr>
          <w:p>
            <w:pPr>
              <w:spacing w:after="0"/>
              <w:rPr>
                <w:sz w:val="13"/>
                <w:szCs w:val="13"/>
                <w:color w:val="auto"/>
              </w:rPr>
            </w:pPr>
          </w:p>
        </w:tc>
        <w:tc>
          <w:tcPr>
            <w:tcW w:w="1680" w:type="dxa"/>
            <w:vAlign w:val="bottom"/>
            <w:tcBorders>
              <w:bottom w:val="single" w:sz="8" w:color="auto"/>
            </w:tcBorders>
          </w:tcPr>
          <w:p>
            <w:pPr>
              <w:jc w:val="right"/>
              <w:ind w:right="636"/>
              <w:spacing w:after="0" w:line="155" w:lineRule="exact"/>
              <w:rPr>
                <w:sz w:val="20"/>
                <w:szCs w:val="20"/>
                <w:color w:val="auto"/>
              </w:rPr>
            </w:pPr>
            <w:r>
              <w:rPr>
                <w:rFonts w:ascii="Arial" w:cs="Arial" w:eastAsia="Arial" w:hAnsi="Arial"/>
                <w:sz w:val="14"/>
                <w:szCs w:val="14"/>
                <w:b w:val="1"/>
                <w:bCs w:val="1"/>
                <w:color w:val="auto"/>
              </w:rPr>
              <w:t>2016</w:t>
            </w:r>
          </w:p>
        </w:tc>
        <w:tc>
          <w:tcPr>
            <w:tcW w:w="120" w:type="dxa"/>
            <w:vAlign w:val="bottom"/>
            <w:tcBorders>
              <w:bottom w:val="single" w:sz="8" w:color="CFF0FC"/>
            </w:tcBorders>
          </w:tcPr>
          <w:p>
            <w:pPr>
              <w:spacing w:after="0"/>
              <w:rPr>
                <w:sz w:val="13"/>
                <w:szCs w:val="13"/>
                <w:color w:val="auto"/>
              </w:rPr>
            </w:pPr>
          </w:p>
        </w:tc>
        <w:tc>
          <w:tcPr>
            <w:tcW w:w="1680" w:type="dxa"/>
            <w:vAlign w:val="bottom"/>
            <w:tcBorders>
              <w:bottom w:val="single" w:sz="8" w:color="auto"/>
            </w:tcBorders>
          </w:tcPr>
          <w:p>
            <w:pPr>
              <w:jc w:val="right"/>
              <w:ind w:right="614"/>
              <w:spacing w:after="0" w:line="155" w:lineRule="exact"/>
              <w:rPr>
                <w:sz w:val="20"/>
                <w:szCs w:val="20"/>
                <w:color w:val="auto"/>
              </w:rPr>
            </w:pPr>
            <w:r>
              <w:rPr>
                <w:rFonts w:ascii="Arial" w:cs="Arial" w:eastAsia="Arial" w:hAnsi="Arial"/>
                <w:sz w:val="14"/>
                <w:szCs w:val="14"/>
                <w:b w:val="1"/>
                <w:bCs w:val="1"/>
                <w:color w:val="auto"/>
              </w:rPr>
              <w:t>2015</w:t>
            </w:r>
          </w:p>
        </w:tc>
      </w:tr>
      <w:tr>
        <w:trPr>
          <w:trHeight w:val="223"/>
        </w:trPr>
        <w:tc>
          <w:tcPr>
            <w:tcW w:w="20" w:type="dxa"/>
            <w:vAlign w:val="bottom"/>
          </w:tcPr>
          <w:p>
            <w:pPr>
              <w:spacing w:after="0"/>
              <w:rPr>
                <w:sz w:val="19"/>
                <w:szCs w:val="19"/>
                <w:color w:val="auto"/>
              </w:rPr>
            </w:pPr>
          </w:p>
        </w:tc>
        <w:tc>
          <w:tcPr>
            <w:tcW w:w="3860" w:type="dxa"/>
            <w:vAlign w:val="bottom"/>
            <w:shd w:val="clear" w:color="auto" w:fill="CFF0FC"/>
          </w:tcPr>
          <w:p>
            <w:pPr>
              <w:spacing w:after="0"/>
              <w:rPr>
                <w:sz w:val="20"/>
                <w:szCs w:val="20"/>
                <w:color w:val="auto"/>
              </w:rPr>
            </w:pPr>
            <w:r>
              <w:rPr>
                <w:rFonts w:ascii="Arial" w:cs="Arial" w:eastAsia="Arial" w:hAnsi="Arial"/>
                <w:sz w:val="18"/>
                <w:szCs w:val="18"/>
                <w:color w:val="auto"/>
              </w:rPr>
              <w:t>Expected term (in years)</w:t>
            </w:r>
          </w:p>
        </w:tc>
        <w:tc>
          <w:tcPr>
            <w:tcW w:w="16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4.95-7.50</w:t>
            </w:r>
          </w:p>
        </w:tc>
        <w:tc>
          <w:tcPr>
            <w:tcW w:w="120" w:type="dxa"/>
            <w:vAlign w:val="bottom"/>
            <w:shd w:val="clear" w:color="auto" w:fill="CFF0FC"/>
          </w:tcPr>
          <w:p>
            <w:pPr>
              <w:spacing w:after="0"/>
              <w:rPr>
                <w:sz w:val="19"/>
                <w:szCs w:val="19"/>
                <w:color w:val="auto"/>
              </w:rPr>
            </w:pPr>
          </w:p>
        </w:tc>
        <w:tc>
          <w:tcPr>
            <w:tcW w:w="16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5.53–6.11</w:t>
            </w:r>
          </w:p>
        </w:tc>
        <w:tc>
          <w:tcPr>
            <w:tcW w:w="120" w:type="dxa"/>
            <w:vAlign w:val="bottom"/>
            <w:shd w:val="clear" w:color="auto" w:fill="CFF0FC"/>
          </w:tcPr>
          <w:p>
            <w:pPr>
              <w:spacing w:after="0"/>
              <w:rPr>
                <w:sz w:val="19"/>
                <w:szCs w:val="19"/>
                <w:color w:val="auto"/>
              </w:rPr>
            </w:pPr>
          </w:p>
        </w:tc>
        <w:tc>
          <w:tcPr>
            <w:tcW w:w="16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5.00 – 6.07</w:t>
            </w:r>
          </w:p>
        </w:tc>
      </w:tr>
      <w:tr>
        <w:trPr>
          <w:trHeight w:val="230"/>
        </w:trPr>
        <w:tc>
          <w:tcPr>
            <w:tcW w:w="20" w:type="dxa"/>
            <w:vAlign w:val="bottom"/>
          </w:tcPr>
          <w:p>
            <w:pPr>
              <w:spacing w:after="0"/>
              <w:rPr>
                <w:sz w:val="19"/>
                <w:szCs w:val="19"/>
                <w:color w:val="auto"/>
              </w:rPr>
            </w:pPr>
          </w:p>
        </w:tc>
        <w:tc>
          <w:tcPr>
            <w:tcW w:w="3860" w:type="dxa"/>
            <w:vAlign w:val="bottom"/>
          </w:tcPr>
          <w:p>
            <w:pPr>
              <w:spacing w:after="0"/>
              <w:rPr>
                <w:sz w:val="20"/>
                <w:szCs w:val="20"/>
                <w:color w:val="auto"/>
              </w:rPr>
            </w:pPr>
            <w:r>
              <w:rPr>
                <w:rFonts w:ascii="Arial" w:cs="Arial" w:eastAsia="Arial" w:hAnsi="Arial"/>
                <w:sz w:val="18"/>
                <w:szCs w:val="18"/>
                <w:color w:val="auto"/>
              </w:rPr>
              <w:t>Risk-free interest rate</w:t>
            </w:r>
          </w:p>
        </w:tc>
        <w:tc>
          <w:tcPr>
            <w:tcW w:w="1660" w:type="dxa"/>
            <w:vAlign w:val="bottom"/>
          </w:tcPr>
          <w:p>
            <w:pPr>
              <w:jc w:val="right"/>
              <w:spacing w:after="0"/>
              <w:rPr>
                <w:sz w:val="20"/>
                <w:szCs w:val="20"/>
                <w:color w:val="auto"/>
              </w:rPr>
            </w:pPr>
            <w:r>
              <w:rPr>
                <w:rFonts w:ascii="Arial" w:cs="Arial" w:eastAsia="Arial" w:hAnsi="Arial"/>
                <w:sz w:val="18"/>
                <w:szCs w:val="18"/>
                <w:color w:val="auto"/>
              </w:rPr>
              <w:t>1.77-2.13%</w:t>
            </w:r>
          </w:p>
        </w:tc>
        <w:tc>
          <w:tcPr>
            <w:tcW w:w="120" w:type="dxa"/>
            <w:vAlign w:val="bottom"/>
          </w:tcPr>
          <w:p>
            <w:pPr>
              <w:spacing w:after="0"/>
              <w:rPr>
                <w:sz w:val="19"/>
                <w:szCs w:val="19"/>
                <w:color w:val="auto"/>
              </w:rPr>
            </w:pPr>
          </w:p>
        </w:tc>
        <w:tc>
          <w:tcPr>
            <w:tcW w:w="1800" w:type="dxa"/>
            <w:vAlign w:val="bottom"/>
            <w:gridSpan w:val="2"/>
          </w:tcPr>
          <w:p>
            <w:pPr>
              <w:jc w:val="right"/>
              <w:ind w:right="140"/>
              <w:spacing w:after="0"/>
              <w:rPr>
                <w:sz w:val="20"/>
                <w:szCs w:val="20"/>
                <w:color w:val="auto"/>
              </w:rPr>
            </w:pPr>
            <w:r>
              <w:rPr>
                <w:rFonts w:ascii="Arial" w:cs="Arial" w:eastAsia="Arial" w:hAnsi="Arial"/>
                <w:sz w:val="18"/>
                <w:szCs w:val="18"/>
                <w:color w:val="auto"/>
              </w:rPr>
              <w:t>1.30–1.84%</w:t>
            </w:r>
          </w:p>
        </w:tc>
        <w:tc>
          <w:tcPr>
            <w:tcW w:w="1680" w:type="dxa"/>
            <w:vAlign w:val="bottom"/>
          </w:tcPr>
          <w:p>
            <w:pPr>
              <w:jc w:val="right"/>
              <w:spacing w:after="0"/>
              <w:rPr>
                <w:sz w:val="20"/>
                <w:szCs w:val="20"/>
                <w:color w:val="auto"/>
              </w:rPr>
            </w:pPr>
            <w:r>
              <w:rPr>
                <w:rFonts w:ascii="Arial" w:cs="Arial" w:eastAsia="Arial" w:hAnsi="Arial"/>
                <w:sz w:val="18"/>
                <w:szCs w:val="18"/>
                <w:color w:val="auto"/>
              </w:rPr>
              <w:t>1.47– 1.82%</w:t>
            </w:r>
          </w:p>
        </w:tc>
      </w:tr>
      <w:tr>
        <w:trPr>
          <w:trHeight w:val="230"/>
        </w:trPr>
        <w:tc>
          <w:tcPr>
            <w:tcW w:w="20" w:type="dxa"/>
            <w:vAlign w:val="bottom"/>
          </w:tcPr>
          <w:p>
            <w:pPr>
              <w:spacing w:after="0"/>
              <w:rPr>
                <w:sz w:val="19"/>
                <w:szCs w:val="19"/>
                <w:color w:val="auto"/>
              </w:rPr>
            </w:pPr>
          </w:p>
        </w:tc>
        <w:tc>
          <w:tcPr>
            <w:tcW w:w="3860" w:type="dxa"/>
            <w:vAlign w:val="bottom"/>
            <w:shd w:val="clear" w:color="auto" w:fill="CFF0FC"/>
          </w:tcPr>
          <w:p>
            <w:pPr>
              <w:spacing w:after="0"/>
              <w:rPr>
                <w:sz w:val="20"/>
                <w:szCs w:val="20"/>
                <w:color w:val="auto"/>
              </w:rPr>
            </w:pPr>
            <w:r>
              <w:rPr>
                <w:rFonts w:ascii="Arial" w:cs="Arial" w:eastAsia="Arial" w:hAnsi="Arial"/>
                <w:sz w:val="18"/>
                <w:szCs w:val="18"/>
                <w:color w:val="auto"/>
              </w:rPr>
              <w:t>Expected volatility</w:t>
            </w:r>
          </w:p>
        </w:tc>
        <w:tc>
          <w:tcPr>
            <w:tcW w:w="16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51.62-55.38%</w:t>
            </w:r>
          </w:p>
        </w:tc>
        <w:tc>
          <w:tcPr>
            <w:tcW w:w="120" w:type="dxa"/>
            <w:vAlign w:val="bottom"/>
            <w:shd w:val="clear" w:color="auto" w:fill="CFF0FC"/>
          </w:tcPr>
          <w:p>
            <w:pPr>
              <w:spacing w:after="0"/>
              <w:rPr>
                <w:sz w:val="19"/>
                <w:szCs w:val="19"/>
                <w:color w:val="auto"/>
              </w:rPr>
            </w:pPr>
          </w:p>
        </w:tc>
        <w:tc>
          <w:tcPr>
            <w:tcW w:w="180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52.71–56.58%</w:t>
            </w:r>
          </w:p>
        </w:tc>
        <w:tc>
          <w:tcPr>
            <w:tcW w:w="16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51.93-58.21%</w:t>
            </w:r>
          </w:p>
        </w:tc>
      </w:tr>
      <w:tr>
        <w:trPr>
          <w:trHeight w:val="230"/>
        </w:trPr>
        <w:tc>
          <w:tcPr>
            <w:tcW w:w="20" w:type="dxa"/>
            <w:vAlign w:val="bottom"/>
          </w:tcPr>
          <w:p>
            <w:pPr>
              <w:spacing w:after="0"/>
              <w:rPr>
                <w:sz w:val="20"/>
                <w:szCs w:val="20"/>
                <w:color w:val="auto"/>
              </w:rPr>
            </w:pPr>
          </w:p>
        </w:tc>
        <w:tc>
          <w:tcPr>
            <w:tcW w:w="3860" w:type="dxa"/>
            <w:vAlign w:val="bottom"/>
          </w:tcPr>
          <w:p>
            <w:pPr>
              <w:spacing w:after="0"/>
              <w:rPr>
                <w:sz w:val="20"/>
                <w:szCs w:val="20"/>
                <w:color w:val="auto"/>
              </w:rPr>
            </w:pPr>
            <w:r>
              <w:rPr>
                <w:rFonts w:ascii="Arial" w:cs="Arial" w:eastAsia="Arial" w:hAnsi="Arial"/>
                <w:sz w:val="18"/>
                <w:szCs w:val="18"/>
                <w:color w:val="auto"/>
              </w:rPr>
              <w:t>Expected dividend rate</w:t>
            </w:r>
          </w:p>
        </w:tc>
        <w:tc>
          <w:tcPr>
            <w:tcW w:w="1660" w:type="dxa"/>
            <w:vAlign w:val="bottom"/>
          </w:tcPr>
          <w:p>
            <w:pPr>
              <w:jc w:val="right"/>
              <w:spacing w:after="0"/>
              <w:rPr>
                <w:sz w:val="20"/>
                <w:szCs w:val="20"/>
                <w:color w:val="auto"/>
              </w:rPr>
            </w:pPr>
            <w:r>
              <w:rPr>
                <w:rFonts w:ascii="Arial" w:cs="Arial" w:eastAsia="Arial" w:hAnsi="Arial"/>
                <w:sz w:val="18"/>
                <w:szCs w:val="18"/>
                <w:color w:val="auto"/>
              </w:rPr>
              <w:t>0%</w:t>
            </w:r>
          </w:p>
        </w:tc>
        <w:tc>
          <w:tcPr>
            <w:tcW w:w="120" w:type="dxa"/>
            <w:vAlign w:val="bottom"/>
          </w:tcPr>
          <w:p>
            <w:pPr>
              <w:spacing w:after="0"/>
              <w:rPr>
                <w:sz w:val="20"/>
                <w:szCs w:val="20"/>
                <w:color w:val="auto"/>
              </w:rPr>
            </w:pPr>
          </w:p>
        </w:tc>
        <w:tc>
          <w:tcPr>
            <w:tcW w:w="1680" w:type="dxa"/>
            <w:vAlign w:val="bottom"/>
          </w:tcPr>
          <w:p>
            <w:pPr>
              <w:jc w:val="right"/>
              <w:spacing w:after="0"/>
              <w:rPr>
                <w:sz w:val="20"/>
                <w:szCs w:val="20"/>
                <w:color w:val="auto"/>
              </w:rPr>
            </w:pPr>
            <w:r>
              <w:rPr>
                <w:rFonts w:ascii="Arial" w:cs="Arial" w:eastAsia="Arial" w:hAnsi="Arial"/>
                <w:sz w:val="18"/>
                <w:szCs w:val="18"/>
                <w:color w:val="auto"/>
              </w:rPr>
              <w:t>0%</w:t>
            </w:r>
          </w:p>
        </w:tc>
        <w:tc>
          <w:tcPr>
            <w:tcW w:w="120" w:type="dxa"/>
            <w:vAlign w:val="bottom"/>
          </w:tcPr>
          <w:p>
            <w:pPr>
              <w:spacing w:after="0"/>
              <w:rPr>
                <w:sz w:val="20"/>
                <w:szCs w:val="20"/>
                <w:color w:val="auto"/>
              </w:rPr>
            </w:pPr>
          </w:p>
        </w:tc>
        <w:tc>
          <w:tcPr>
            <w:tcW w:w="1680" w:type="dxa"/>
            <w:vAlign w:val="bottom"/>
          </w:tcPr>
          <w:p>
            <w:pPr>
              <w:jc w:val="right"/>
              <w:spacing w:after="0"/>
              <w:rPr>
                <w:sz w:val="20"/>
                <w:szCs w:val="20"/>
                <w:color w:val="auto"/>
              </w:rPr>
            </w:pPr>
            <w:r>
              <w:rPr>
                <w:rFonts w:ascii="Arial" w:cs="Arial" w:eastAsia="Arial" w:hAnsi="Arial"/>
                <w:sz w:val="18"/>
                <w:szCs w:val="18"/>
                <w:color w:val="auto"/>
              </w:rPr>
              <w:t>0%</w:t>
            </w:r>
          </w:p>
        </w:tc>
      </w:tr>
    </w:tbl>
    <w:p>
      <w:pPr>
        <w:spacing w:after="0" w:line="187" w:lineRule="exact"/>
        <w:rPr>
          <w:sz w:val="20"/>
          <w:szCs w:val="20"/>
          <w:color w:val="auto"/>
        </w:rPr>
      </w:pPr>
    </w:p>
    <w:p>
      <w:pPr>
        <w:ind w:right="520"/>
        <w:spacing w:after="0" w:line="277" w:lineRule="auto"/>
        <w:rPr>
          <w:sz w:val="20"/>
          <w:szCs w:val="20"/>
          <w:color w:val="auto"/>
        </w:rPr>
      </w:pPr>
      <w:r>
        <w:rPr>
          <w:rFonts w:ascii="Arial" w:cs="Arial" w:eastAsia="Arial" w:hAnsi="Arial"/>
          <w:sz w:val="18"/>
          <w:szCs w:val="18"/>
          <w:color w:val="auto"/>
        </w:rPr>
        <w:t>The fair value of each stock option grant was determined by the Company using the methods and assumptions discussed below. Each of these inputs is subjective and generally requires significant judgment and estimation by management.</w:t>
      </w:r>
    </w:p>
    <w:p>
      <w:pPr>
        <w:spacing w:after="0" w:line="62" w:lineRule="exact"/>
        <w:rPr>
          <w:sz w:val="20"/>
          <w:szCs w:val="20"/>
          <w:color w:val="auto"/>
        </w:rPr>
      </w:pPr>
    </w:p>
    <w:p>
      <w:pPr>
        <w:ind w:right="120"/>
        <w:spacing w:after="0" w:line="264" w:lineRule="auto"/>
        <w:rPr>
          <w:sz w:val="20"/>
          <w:szCs w:val="20"/>
          <w:color w:val="auto"/>
        </w:rPr>
      </w:pPr>
      <w:r>
        <w:rPr>
          <w:rFonts w:ascii="Arial" w:cs="Arial" w:eastAsia="Arial" w:hAnsi="Arial"/>
          <w:sz w:val="18"/>
          <w:szCs w:val="18"/>
          <w:i w:val="1"/>
          <w:iCs w:val="1"/>
          <w:color w:val="auto"/>
        </w:rPr>
        <w:t>Expected Term</w:t>
      </w:r>
      <w:r>
        <w:rPr>
          <w:rFonts w:ascii="Arial" w:cs="Arial" w:eastAsia="Arial" w:hAnsi="Arial"/>
          <w:sz w:val="18"/>
          <w:szCs w:val="18"/>
          <w:color w:val="auto"/>
        </w:rPr>
        <w:t>—The expected term represents the period that stock-based awards are expected to be outstanding. The expected term for option grants is</w:t>
      </w:r>
      <w:r>
        <w:rPr>
          <w:rFonts w:ascii="Arial" w:cs="Arial" w:eastAsia="Arial" w:hAnsi="Arial"/>
          <w:sz w:val="18"/>
          <w:szCs w:val="18"/>
          <w:i w:val="1"/>
          <w:iCs w:val="1"/>
          <w:color w:val="auto"/>
        </w:rPr>
        <w:t xml:space="preserve"> </w:t>
      </w:r>
      <w:r>
        <w:rPr>
          <w:rFonts w:ascii="Arial" w:cs="Arial" w:eastAsia="Arial" w:hAnsi="Arial"/>
          <w:sz w:val="18"/>
          <w:szCs w:val="18"/>
          <w:color w:val="auto"/>
        </w:rPr>
        <w:t>determined using the simplified method. The simplified method deems the term to be the average of the time-to-vesting and the contractual life of the stock-based awards. The expected term for options issued to non-employees is the contractual term.</w:t>
      </w:r>
    </w:p>
    <w:p>
      <w:pPr>
        <w:spacing w:after="0" w:line="73" w:lineRule="exact"/>
        <w:rPr>
          <w:sz w:val="20"/>
          <w:szCs w:val="20"/>
          <w:color w:val="auto"/>
        </w:rPr>
      </w:pPr>
    </w:p>
    <w:p>
      <w:pPr>
        <w:ind w:right="60"/>
        <w:spacing w:after="0" w:line="264" w:lineRule="auto"/>
        <w:rPr>
          <w:sz w:val="20"/>
          <w:szCs w:val="20"/>
          <w:color w:val="auto"/>
        </w:rPr>
      </w:pPr>
      <w:r>
        <w:rPr>
          <w:rFonts w:ascii="Arial" w:cs="Arial" w:eastAsia="Arial" w:hAnsi="Arial"/>
          <w:sz w:val="18"/>
          <w:szCs w:val="18"/>
          <w:i w:val="1"/>
          <w:iCs w:val="1"/>
          <w:color w:val="auto"/>
        </w:rPr>
        <w:t>Expected Volatility</w:t>
      </w:r>
      <w:r>
        <w:rPr>
          <w:rFonts w:ascii="Arial" w:cs="Arial" w:eastAsia="Arial" w:hAnsi="Arial"/>
          <w:sz w:val="18"/>
          <w:szCs w:val="18"/>
          <w:color w:val="auto"/>
        </w:rPr>
        <w:t>—Since the Company does not have a trading history for its common stock, the expected volatility was derived from the historical stock</w:t>
      </w:r>
      <w:r>
        <w:rPr>
          <w:rFonts w:ascii="Arial" w:cs="Arial" w:eastAsia="Arial" w:hAnsi="Arial"/>
          <w:sz w:val="18"/>
          <w:szCs w:val="18"/>
          <w:i w:val="1"/>
          <w:iCs w:val="1"/>
          <w:color w:val="auto"/>
        </w:rPr>
        <w:t xml:space="preserve"> </w:t>
      </w:r>
      <w:r>
        <w:rPr>
          <w:rFonts w:ascii="Arial" w:cs="Arial" w:eastAsia="Arial" w:hAnsi="Arial"/>
          <w:sz w:val="18"/>
          <w:szCs w:val="18"/>
          <w:color w:val="auto"/>
        </w:rPr>
        <w:t>volatilities of comparable peer public companies within its industry that are considered to be comparable to the Company’s business over a period equivalent to the expected term of the stock-based awards.</w:t>
      </w:r>
    </w:p>
    <w:p>
      <w:pPr>
        <w:spacing w:after="0" w:line="73" w:lineRule="exact"/>
        <w:rPr>
          <w:sz w:val="20"/>
          <w:szCs w:val="20"/>
          <w:color w:val="auto"/>
        </w:rPr>
      </w:pPr>
    </w:p>
    <w:p>
      <w:pPr>
        <w:spacing w:after="0" w:line="277" w:lineRule="auto"/>
        <w:rPr>
          <w:sz w:val="20"/>
          <w:szCs w:val="20"/>
          <w:color w:val="auto"/>
        </w:rPr>
      </w:pPr>
      <w:r>
        <w:rPr>
          <w:rFonts w:ascii="Arial" w:cs="Arial" w:eastAsia="Arial" w:hAnsi="Arial"/>
          <w:sz w:val="18"/>
          <w:szCs w:val="18"/>
          <w:i w:val="1"/>
          <w:iCs w:val="1"/>
          <w:color w:val="auto"/>
        </w:rPr>
        <w:t>Risk-Free Interest Rate</w:t>
      </w:r>
      <w:r>
        <w:rPr>
          <w:rFonts w:ascii="Arial" w:cs="Arial" w:eastAsia="Arial" w:hAnsi="Arial"/>
          <w:sz w:val="18"/>
          <w:szCs w:val="18"/>
          <w:color w:val="auto"/>
        </w:rPr>
        <w:t>—The risk-free interest rate is based on the U.S. Treasury yield curve in effect at the date of grant for zero-coupon U.S. Treasury notes</w:t>
      </w:r>
      <w:r>
        <w:rPr>
          <w:rFonts w:ascii="Arial" w:cs="Arial" w:eastAsia="Arial" w:hAnsi="Arial"/>
          <w:sz w:val="18"/>
          <w:szCs w:val="18"/>
          <w:i w:val="1"/>
          <w:iCs w:val="1"/>
          <w:color w:val="auto"/>
        </w:rPr>
        <w:t xml:space="preserve"> </w:t>
      </w:r>
      <w:r>
        <w:rPr>
          <w:rFonts w:ascii="Arial" w:cs="Arial" w:eastAsia="Arial" w:hAnsi="Arial"/>
          <w:sz w:val="18"/>
          <w:szCs w:val="18"/>
          <w:color w:val="auto"/>
        </w:rPr>
        <w:t>with maturities approximately equal to the stock-based awards’ expected term.</w:t>
      </w:r>
    </w:p>
    <w:p>
      <w:pPr>
        <w:spacing w:after="0" w:line="62"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i w:val="1"/>
          <w:iCs w:val="1"/>
          <w:color w:val="auto"/>
        </w:rPr>
        <w:t>Expected Dividend Rate</w:t>
      </w:r>
      <w:r>
        <w:rPr>
          <w:rFonts w:ascii="Arial" w:cs="Arial" w:eastAsia="Arial" w:hAnsi="Arial"/>
          <w:sz w:val="18"/>
          <w:szCs w:val="18"/>
          <w:color w:val="auto"/>
        </w:rPr>
        <w:t>—The expected dividend is zero as the Company has not paid nor does it anticipate paying any dividends on its common stock in the</w:t>
      </w:r>
      <w:r>
        <w:rPr>
          <w:rFonts w:ascii="Arial" w:cs="Arial" w:eastAsia="Arial" w:hAnsi="Arial"/>
          <w:sz w:val="18"/>
          <w:szCs w:val="18"/>
          <w:i w:val="1"/>
          <w:iCs w:val="1"/>
          <w:color w:val="auto"/>
        </w:rPr>
        <w:t xml:space="preserve"> </w:t>
      </w:r>
      <w:r>
        <w:rPr>
          <w:rFonts w:ascii="Arial" w:cs="Arial" w:eastAsia="Arial" w:hAnsi="Arial"/>
          <w:sz w:val="18"/>
          <w:szCs w:val="18"/>
          <w:color w:val="auto"/>
        </w:rPr>
        <w:t>foreseeable future.</w:t>
      </w:r>
    </w:p>
    <w:p>
      <w:pPr>
        <w:spacing w:after="0" w:line="62" w:lineRule="exact"/>
        <w:rPr>
          <w:sz w:val="20"/>
          <w:szCs w:val="20"/>
          <w:color w:val="auto"/>
        </w:rPr>
      </w:pPr>
    </w:p>
    <w:p>
      <w:pPr>
        <w:spacing w:after="0" w:line="259" w:lineRule="auto"/>
        <w:rPr>
          <w:sz w:val="20"/>
          <w:szCs w:val="20"/>
          <w:color w:val="auto"/>
        </w:rPr>
      </w:pPr>
      <w:r>
        <w:rPr>
          <w:rFonts w:ascii="Arial" w:cs="Arial" w:eastAsia="Arial" w:hAnsi="Arial"/>
          <w:sz w:val="18"/>
          <w:szCs w:val="18"/>
          <w:i w:val="1"/>
          <w:iCs w:val="1"/>
          <w:color w:val="auto"/>
        </w:rPr>
        <w:t>Forfeiture Rate</w:t>
      </w:r>
      <w:r>
        <w:rPr>
          <w:rFonts w:ascii="Arial" w:cs="Arial" w:eastAsia="Arial" w:hAnsi="Arial"/>
          <w:sz w:val="18"/>
          <w:szCs w:val="18"/>
          <w:color w:val="auto"/>
        </w:rPr>
        <w:t>—The forfeiture rate is estimated based on an analysis of actual forfeitures. Management will continue to evaluate the adequacy of the</w:t>
      </w:r>
      <w:r>
        <w:rPr>
          <w:rFonts w:ascii="Arial" w:cs="Arial" w:eastAsia="Arial" w:hAnsi="Arial"/>
          <w:sz w:val="18"/>
          <w:szCs w:val="18"/>
          <w:i w:val="1"/>
          <w:iCs w:val="1"/>
          <w:color w:val="auto"/>
        </w:rPr>
        <w:t xml:space="preserve"> </w:t>
      </w:r>
      <w:r>
        <w:rPr>
          <w:rFonts w:ascii="Arial" w:cs="Arial" w:eastAsia="Arial" w:hAnsi="Arial"/>
          <w:sz w:val="18"/>
          <w:szCs w:val="18"/>
          <w:color w:val="auto"/>
        </w:rPr>
        <w:t>forfeiture rate based on actual forfeiture experience, analysis of employee turnover behavior and other factors. The impact from any forfeiture rate adjustment would be recognized in full in the period of adjustment and if the actual number of future forfeitures differs from management’s estimates, the Company might be required to record adjustments to stock-based compensation in future periods.</w:t>
      </w:r>
    </w:p>
    <w:p>
      <w:pPr>
        <w:spacing w:after="0" w:line="79" w:lineRule="exact"/>
        <w:rPr>
          <w:sz w:val="20"/>
          <w:szCs w:val="20"/>
          <w:color w:val="auto"/>
        </w:rPr>
      </w:pPr>
    </w:p>
    <w:p>
      <w:pPr>
        <w:ind w:right="40"/>
        <w:spacing w:after="0" w:line="255" w:lineRule="auto"/>
        <w:rPr>
          <w:sz w:val="20"/>
          <w:szCs w:val="20"/>
          <w:color w:val="auto"/>
        </w:rPr>
      </w:pPr>
      <w:r>
        <w:rPr>
          <w:rFonts w:ascii="Arial" w:cs="Arial" w:eastAsia="Arial" w:hAnsi="Arial"/>
          <w:sz w:val="18"/>
          <w:szCs w:val="18"/>
          <w:i w:val="1"/>
          <w:iCs w:val="1"/>
          <w:color w:val="auto"/>
        </w:rPr>
        <w:t>Fair Value of Common Stock</w:t>
      </w:r>
      <w:r>
        <w:rPr>
          <w:rFonts w:ascii="Arial" w:cs="Arial" w:eastAsia="Arial" w:hAnsi="Arial"/>
          <w:sz w:val="18"/>
          <w:szCs w:val="18"/>
          <w:color w:val="auto"/>
        </w:rPr>
        <w:t>—Prior to the closing of the Company’s IPO, the fair value of the Company’s common stock was determined by the Company’s</w:t>
      </w:r>
      <w:r>
        <w:rPr>
          <w:rFonts w:ascii="Arial" w:cs="Arial" w:eastAsia="Arial" w:hAnsi="Arial"/>
          <w:sz w:val="18"/>
          <w:szCs w:val="18"/>
          <w:i w:val="1"/>
          <w:iCs w:val="1"/>
          <w:color w:val="auto"/>
        </w:rPr>
        <w:t xml:space="preserve"> </w:t>
      </w:r>
      <w:r>
        <w:rPr>
          <w:rFonts w:ascii="Arial" w:cs="Arial" w:eastAsia="Arial" w:hAnsi="Arial"/>
          <w:sz w:val="18"/>
          <w:szCs w:val="18"/>
          <w:color w:val="auto"/>
        </w:rPr>
        <w:t>board of directors because there was no public market for the Company’s common stock as the Company was a private company. The Company’s board of directors determined the fair value of the common stock by considering a number of objective and subjective factors, including having valuations of its common stock performed by an unrelated valuation specialist, valuations of comparable peer public companies, sales of the Company’s convertible preferred stock to unrelated third parties, operating and financial performance, the lack of liquidity of the Company’s capital stock, and general and industry-specific economic outlook. After the closing of the Company’s IPO, the fair value of the Company’s common stock is used to estimate the fair value of the stock-based awards at grant date.</w:t>
      </w:r>
    </w:p>
    <w:p>
      <w:pPr>
        <w:spacing w:after="0" w:line="18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95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380"/>
          </w:cols>
          <w:pgMar w:left="240" w:top="341" w:right="279" w:bottom="1440" w:gutter="0" w:footer="0" w:header="0"/>
        </w:sectPr>
      </w:pPr>
    </w:p>
    <w:bookmarkStart w:id="96" w:name="page97"/>
    <w:bookmarkEnd w:id="96"/>
    <w:p>
      <w:pPr>
        <w:spacing w:after="0"/>
        <w:rPr>
          <w:sz w:val="20"/>
          <w:szCs w:val="20"/>
          <w:color w:val="auto"/>
        </w:rPr>
      </w:pPr>
      <w:r>
        <w:rPr>
          <w:rFonts w:ascii="Arial" w:cs="Arial" w:eastAsia="Arial" w:hAnsi="Arial"/>
          <w:sz w:val="18"/>
          <w:szCs w:val="18"/>
          <w:color w:val="auto"/>
        </w:rPr>
        <w:t>The following table summarizes stock option activity under the Company’s stock option plan:</w:t>
      </w:r>
    </w:p>
    <w:p>
      <w:pPr>
        <w:spacing w:after="0" w:line="204" w:lineRule="exact"/>
        <w:rPr>
          <w:sz w:val="20"/>
          <w:szCs w:val="20"/>
          <w:color w:val="auto"/>
        </w:rPr>
      </w:pPr>
    </w:p>
    <w:tbl>
      <w:tblPr>
        <w:tblLayout w:type="fixed"/>
        <w:tblInd w:w="580" w:type="dxa"/>
        <w:tblCellMar>
          <w:top w:w="0" w:type="dxa"/>
          <w:left w:w="0" w:type="dxa"/>
          <w:bottom w:w="0" w:type="dxa"/>
          <w:right w:w="0" w:type="dxa"/>
        </w:tblCellMar>
      </w:tblPr>
      <w:tr>
        <w:trPr>
          <w:trHeight w:val="161"/>
        </w:trPr>
        <w:tc>
          <w:tcPr>
            <w:tcW w:w="532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20" w:type="dxa"/>
            <w:vAlign w:val="bottom"/>
            <w:gridSpan w:val="2"/>
          </w:tcPr>
          <w:p>
            <w:pPr>
              <w:jc w:val="center"/>
              <w:ind w:right="400"/>
              <w:spacing w:after="0"/>
              <w:rPr>
                <w:sz w:val="20"/>
                <w:szCs w:val="20"/>
                <w:color w:val="auto"/>
              </w:rPr>
            </w:pPr>
            <w:r>
              <w:rPr>
                <w:rFonts w:ascii="Arial" w:cs="Arial" w:eastAsia="Arial" w:hAnsi="Arial"/>
                <w:sz w:val="14"/>
                <w:szCs w:val="14"/>
                <w:b w:val="1"/>
                <w:bCs w:val="1"/>
                <w:color w:val="auto"/>
                <w:w w:val="94"/>
              </w:rPr>
              <w:t>Weighted-</w:t>
            </w:r>
          </w:p>
        </w:tc>
        <w:tc>
          <w:tcPr>
            <w:tcW w:w="1040" w:type="dxa"/>
            <w:vAlign w:val="bottom"/>
          </w:tcPr>
          <w:p>
            <w:pPr>
              <w:jc w:val="center"/>
              <w:spacing w:after="0"/>
              <w:rPr>
                <w:sz w:val="20"/>
                <w:szCs w:val="20"/>
                <w:color w:val="auto"/>
              </w:rPr>
            </w:pPr>
            <w:r>
              <w:rPr>
                <w:rFonts w:ascii="Arial" w:cs="Arial" w:eastAsia="Arial" w:hAnsi="Arial"/>
                <w:sz w:val="14"/>
                <w:szCs w:val="14"/>
                <w:b w:val="1"/>
                <w:bCs w:val="1"/>
                <w:color w:val="auto"/>
                <w:w w:val="91"/>
              </w:rPr>
              <w:t>Weighted-</w:t>
            </w:r>
          </w:p>
        </w:tc>
        <w:tc>
          <w:tcPr>
            <w:tcW w:w="2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532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20" w:type="dxa"/>
            <w:vAlign w:val="bottom"/>
            <w:gridSpan w:val="2"/>
          </w:tcPr>
          <w:p>
            <w:pPr>
              <w:jc w:val="center"/>
              <w:ind w:right="380"/>
              <w:spacing w:after="0" w:line="149" w:lineRule="exact"/>
              <w:rPr>
                <w:sz w:val="20"/>
                <w:szCs w:val="20"/>
                <w:color w:val="auto"/>
              </w:rPr>
            </w:pPr>
            <w:r>
              <w:rPr>
                <w:rFonts w:ascii="Arial" w:cs="Arial" w:eastAsia="Arial" w:hAnsi="Arial"/>
                <w:sz w:val="14"/>
                <w:szCs w:val="14"/>
                <w:b w:val="1"/>
                <w:bCs w:val="1"/>
                <w:color w:val="auto"/>
                <w:w w:val="90"/>
              </w:rPr>
              <w:t>Average</w:t>
            </w:r>
          </w:p>
        </w:tc>
        <w:tc>
          <w:tcPr>
            <w:tcW w:w="10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0"/>
              </w:rPr>
              <w:t>Average</w:t>
            </w: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40" w:type="dxa"/>
            <w:vAlign w:val="bottom"/>
            <w:gridSpan w:val="2"/>
            <w:vMerge w:val="restart"/>
          </w:tcPr>
          <w:p>
            <w:pPr>
              <w:jc w:val="center"/>
              <w:ind w:right="280"/>
              <w:spacing w:after="0"/>
              <w:rPr>
                <w:sz w:val="20"/>
                <w:szCs w:val="20"/>
                <w:color w:val="auto"/>
              </w:rPr>
            </w:pPr>
            <w:r>
              <w:rPr>
                <w:rFonts w:ascii="Arial" w:cs="Arial" w:eastAsia="Arial" w:hAnsi="Arial"/>
                <w:sz w:val="14"/>
                <w:szCs w:val="14"/>
                <w:b w:val="1"/>
                <w:bCs w:val="1"/>
                <w:color w:val="auto"/>
                <w:w w:val="92"/>
              </w:rPr>
              <w:t>Aggregate</w:t>
            </w:r>
          </w:p>
        </w:tc>
        <w:tc>
          <w:tcPr>
            <w:tcW w:w="0" w:type="dxa"/>
            <w:vAlign w:val="bottom"/>
          </w:tcPr>
          <w:p>
            <w:pPr>
              <w:spacing w:after="0"/>
              <w:rPr>
                <w:sz w:val="1"/>
                <w:szCs w:val="1"/>
                <w:color w:val="auto"/>
              </w:rPr>
            </w:pPr>
          </w:p>
        </w:tc>
      </w:tr>
      <w:tr>
        <w:trPr>
          <w:trHeight w:val="149"/>
        </w:trPr>
        <w:tc>
          <w:tcPr>
            <w:tcW w:w="5320" w:type="dxa"/>
            <w:vAlign w:val="bottom"/>
          </w:tcPr>
          <w:p>
            <w:pPr>
              <w:spacing w:after="0"/>
              <w:rPr>
                <w:sz w:val="12"/>
                <w:szCs w:val="12"/>
                <w:color w:val="auto"/>
              </w:rPr>
            </w:pPr>
          </w:p>
        </w:tc>
        <w:tc>
          <w:tcPr>
            <w:tcW w:w="1160" w:type="dxa"/>
            <w:vAlign w:val="bottom"/>
            <w:gridSpan w:val="2"/>
            <w:vMerge w:val="restart"/>
          </w:tcPr>
          <w:p>
            <w:pPr>
              <w:jc w:val="right"/>
              <w:ind w:right="320"/>
              <w:spacing w:after="0"/>
              <w:rPr>
                <w:sz w:val="20"/>
                <w:szCs w:val="20"/>
                <w:color w:val="auto"/>
              </w:rPr>
            </w:pPr>
            <w:r>
              <w:rPr>
                <w:rFonts w:ascii="Arial" w:cs="Arial" w:eastAsia="Arial" w:hAnsi="Arial"/>
                <w:sz w:val="14"/>
                <w:szCs w:val="14"/>
                <w:b w:val="1"/>
                <w:bCs w:val="1"/>
                <w:color w:val="auto"/>
              </w:rPr>
              <w:t>Number of</w:t>
            </w: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20" w:type="dxa"/>
            <w:vAlign w:val="bottom"/>
            <w:gridSpan w:val="2"/>
          </w:tcPr>
          <w:p>
            <w:pPr>
              <w:jc w:val="center"/>
              <w:ind w:right="400"/>
              <w:spacing w:after="0" w:line="149" w:lineRule="exact"/>
              <w:rPr>
                <w:sz w:val="20"/>
                <w:szCs w:val="20"/>
                <w:color w:val="auto"/>
              </w:rPr>
            </w:pPr>
            <w:r>
              <w:rPr>
                <w:rFonts w:ascii="Arial" w:cs="Arial" w:eastAsia="Arial" w:hAnsi="Arial"/>
                <w:sz w:val="14"/>
                <w:szCs w:val="14"/>
                <w:b w:val="1"/>
                <w:bCs w:val="1"/>
                <w:color w:val="auto"/>
                <w:w w:val="90"/>
              </w:rPr>
              <w:t>Exercise</w:t>
            </w:r>
          </w:p>
        </w:tc>
        <w:tc>
          <w:tcPr>
            <w:tcW w:w="10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2"/>
              </w:rPr>
              <w:t>Remaining</w:t>
            </w: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4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5320" w:type="dxa"/>
            <w:vAlign w:val="bottom"/>
          </w:tcPr>
          <w:p>
            <w:pPr>
              <w:spacing w:after="0"/>
              <w:rPr>
                <w:sz w:val="12"/>
                <w:szCs w:val="12"/>
                <w:color w:val="auto"/>
              </w:rPr>
            </w:pPr>
          </w:p>
        </w:tc>
        <w:tc>
          <w:tcPr>
            <w:tcW w:w="1160" w:type="dxa"/>
            <w:vAlign w:val="bottom"/>
            <w:gridSpan w:val="2"/>
            <w:vMerge w:val="continue"/>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20" w:type="dxa"/>
            <w:vAlign w:val="bottom"/>
            <w:gridSpan w:val="2"/>
          </w:tcPr>
          <w:p>
            <w:pPr>
              <w:jc w:val="center"/>
              <w:ind w:right="400"/>
              <w:spacing w:after="0" w:line="149" w:lineRule="exact"/>
              <w:rPr>
                <w:sz w:val="20"/>
                <w:szCs w:val="20"/>
                <w:color w:val="auto"/>
              </w:rPr>
            </w:pPr>
            <w:r>
              <w:rPr>
                <w:rFonts w:ascii="Arial" w:cs="Arial" w:eastAsia="Arial" w:hAnsi="Arial"/>
                <w:sz w:val="14"/>
                <w:szCs w:val="14"/>
                <w:b w:val="1"/>
                <w:bCs w:val="1"/>
                <w:color w:val="auto"/>
                <w:w w:val="93"/>
              </w:rPr>
              <w:t>Price per</w:t>
            </w:r>
          </w:p>
        </w:tc>
        <w:tc>
          <w:tcPr>
            <w:tcW w:w="10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5"/>
              </w:rPr>
              <w:t>Contractual</w:t>
            </w: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4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95"/>
              </w:rPr>
              <w:t>Intrinsic</w:t>
            </w:r>
          </w:p>
        </w:tc>
        <w:tc>
          <w:tcPr>
            <w:tcW w:w="0" w:type="dxa"/>
            <w:vAlign w:val="bottom"/>
          </w:tcPr>
          <w:p>
            <w:pPr>
              <w:spacing w:after="0"/>
              <w:rPr>
                <w:sz w:val="1"/>
                <w:szCs w:val="1"/>
                <w:color w:val="auto"/>
              </w:rPr>
            </w:pPr>
          </w:p>
        </w:tc>
      </w:tr>
      <w:tr>
        <w:trPr>
          <w:trHeight w:val="171"/>
        </w:trPr>
        <w:tc>
          <w:tcPr>
            <w:tcW w:w="5320" w:type="dxa"/>
            <w:vAlign w:val="bottom"/>
          </w:tcPr>
          <w:p>
            <w:pPr>
              <w:spacing w:after="0"/>
              <w:rPr>
                <w:sz w:val="14"/>
                <w:szCs w:val="14"/>
                <w:color w:val="auto"/>
              </w:rPr>
            </w:pPr>
          </w:p>
        </w:tc>
        <w:tc>
          <w:tcPr>
            <w:tcW w:w="1160" w:type="dxa"/>
            <w:vAlign w:val="bottom"/>
            <w:gridSpan w:val="2"/>
          </w:tcPr>
          <w:p>
            <w:pPr>
              <w:jc w:val="right"/>
              <w:ind w:right="440"/>
              <w:spacing w:after="0"/>
              <w:rPr>
                <w:sz w:val="20"/>
                <w:szCs w:val="20"/>
                <w:color w:val="auto"/>
              </w:rPr>
            </w:pPr>
            <w:r>
              <w:rPr>
                <w:rFonts w:ascii="Arial" w:cs="Arial" w:eastAsia="Arial" w:hAnsi="Arial"/>
                <w:sz w:val="14"/>
                <w:szCs w:val="14"/>
                <w:b w:val="1"/>
                <w:bCs w:val="1"/>
                <w:color w:val="auto"/>
              </w:rPr>
              <w:t>Shares</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20" w:type="dxa"/>
            <w:vAlign w:val="bottom"/>
            <w:gridSpan w:val="2"/>
          </w:tcPr>
          <w:p>
            <w:pPr>
              <w:jc w:val="center"/>
              <w:ind w:right="400"/>
              <w:spacing w:after="0"/>
              <w:rPr>
                <w:sz w:val="20"/>
                <w:szCs w:val="20"/>
                <w:color w:val="auto"/>
              </w:rPr>
            </w:pPr>
            <w:r>
              <w:rPr>
                <w:rFonts w:ascii="Arial" w:cs="Arial" w:eastAsia="Arial" w:hAnsi="Arial"/>
                <w:sz w:val="14"/>
                <w:szCs w:val="14"/>
                <w:b w:val="1"/>
                <w:bCs w:val="1"/>
                <w:color w:val="auto"/>
                <w:w w:val="92"/>
              </w:rPr>
              <w:t>Share</w:t>
            </w:r>
          </w:p>
        </w:tc>
        <w:tc>
          <w:tcPr>
            <w:tcW w:w="1040" w:type="dxa"/>
            <w:vAlign w:val="bottom"/>
          </w:tcPr>
          <w:p>
            <w:pPr>
              <w:jc w:val="center"/>
              <w:spacing w:after="0"/>
              <w:rPr>
                <w:sz w:val="20"/>
                <w:szCs w:val="20"/>
                <w:color w:val="auto"/>
              </w:rPr>
            </w:pPr>
            <w:r>
              <w:rPr>
                <w:rFonts w:ascii="Arial" w:cs="Arial" w:eastAsia="Arial" w:hAnsi="Arial"/>
                <w:sz w:val="14"/>
                <w:szCs w:val="14"/>
                <w:b w:val="1"/>
                <w:bCs w:val="1"/>
                <w:color w:val="auto"/>
                <w:w w:val="99"/>
              </w:rPr>
              <w:t>Term</w:t>
            </w:r>
          </w:p>
        </w:tc>
        <w:tc>
          <w:tcPr>
            <w:tcW w:w="2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4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6"/>
              </w:rPr>
              <w:t>Value</w:t>
            </w:r>
          </w:p>
        </w:tc>
        <w:tc>
          <w:tcPr>
            <w:tcW w:w="0" w:type="dxa"/>
            <w:vAlign w:val="bottom"/>
          </w:tcPr>
          <w:p>
            <w:pPr>
              <w:spacing w:after="0"/>
              <w:rPr>
                <w:sz w:val="1"/>
                <w:szCs w:val="1"/>
                <w:color w:val="auto"/>
              </w:rPr>
            </w:pPr>
          </w:p>
        </w:tc>
      </w:tr>
      <w:tr>
        <w:trPr>
          <w:trHeight w:val="223"/>
        </w:trPr>
        <w:tc>
          <w:tcPr>
            <w:tcW w:w="532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Outstanding – January 1, 2015</w:t>
            </w:r>
          </w:p>
        </w:tc>
        <w:tc>
          <w:tcPr>
            <w:tcW w:w="10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1,258,429</w:t>
            </w:r>
          </w:p>
        </w:tc>
        <w:tc>
          <w:tcPr>
            <w:tcW w:w="12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1.80</w:t>
            </w:r>
          </w:p>
        </w:tc>
        <w:tc>
          <w:tcPr>
            <w:tcW w:w="220" w:type="dxa"/>
            <w:vAlign w:val="bottom"/>
            <w:tcBorders>
              <w:top w:val="single" w:sz="8" w:color="CFF0FC"/>
            </w:tcBorders>
            <w:shd w:val="clear" w:color="auto" w:fill="CFF0FC"/>
          </w:tcPr>
          <w:p>
            <w:pPr>
              <w:spacing w:after="0"/>
              <w:rPr>
                <w:sz w:val="19"/>
                <w:szCs w:val="19"/>
                <w:color w:val="auto"/>
              </w:rPr>
            </w:pPr>
          </w:p>
        </w:tc>
        <w:tc>
          <w:tcPr>
            <w:tcW w:w="1040" w:type="dxa"/>
            <w:vAlign w:val="bottom"/>
            <w:tcBorders>
              <w:top w:val="single" w:sz="8" w:color="auto"/>
            </w:tcBorders>
            <w:shd w:val="clear" w:color="auto" w:fill="CFF0FC"/>
          </w:tcPr>
          <w:p>
            <w:pPr>
              <w:spacing w:after="0"/>
              <w:rPr>
                <w:sz w:val="19"/>
                <w:szCs w:val="19"/>
                <w:color w:val="auto"/>
              </w:rPr>
            </w:pPr>
          </w:p>
        </w:tc>
        <w:tc>
          <w:tcPr>
            <w:tcW w:w="22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auto"/>
            </w:tcBorders>
            <w:shd w:val="clear" w:color="auto" w:fill="CFF0FC"/>
          </w:tcPr>
          <w:p>
            <w:pPr>
              <w:spacing w:after="0"/>
              <w:rPr>
                <w:sz w:val="19"/>
                <w:szCs w:val="19"/>
                <w:color w:val="auto"/>
              </w:rPr>
            </w:pPr>
          </w:p>
        </w:tc>
        <w:tc>
          <w:tcPr>
            <w:tcW w:w="920" w:type="dxa"/>
            <w:vAlign w:val="bottom"/>
            <w:tcBorders>
              <w:top w:val="single" w:sz="8" w:color="auto"/>
            </w:tcBorders>
            <w:shd w:val="clear" w:color="auto" w:fill="CFF0FC"/>
          </w:tcPr>
          <w:p>
            <w:pPr>
              <w:spacing w:after="0"/>
              <w:rPr>
                <w:sz w:val="19"/>
                <w:szCs w:val="19"/>
                <w:color w:val="auto"/>
              </w:rPr>
            </w:pPr>
          </w:p>
        </w:tc>
        <w:tc>
          <w:tcPr>
            <w:tcW w:w="12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320" w:type="dxa"/>
            <w:vAlign w:val="bottom"/>
          </w:tcPr>
          <w:p>
            <w:pPr>
              <w:ind w:left="120"/>
              <w:spacing w:after="0"/>
              <w:rPr>
                <w:sz w:val="20"/>
                <w:szCs w:val="20"/>
                <w:color w:val="auto"/>
              </w:rPr>
            </w:pPr>
            <w:r>
              <w:rPr>
                <w:rFonts w:ascii="Arial" w:cs="Arial" w:eastAsia="Arial" w:hAnsi="Arial"/>
                <w:sz w:val="18"/>
                <w:szCs w:val="18"/>
                <w:color w:val="auto"/>
              </w:rPr>
              <w:t>Options granted</w:t>
            </w:r>
          </w:p>
        </w:tc>
        <w:tc>
          <w:tcPr>
            <w:tcW w:w="1040" w:type="dxa"/>
            <w:vAlign w:val="bottom"/>
          </w:tcPr>
          <w:p>
            <w:pPr>
              <w:jc w:val="right"/>
              <w:spacing w:after="0"/>
              <w:rPr>
                <w:sz w:val="20"/>
                <w:szCs w:val="20"/>
                <w:color w:val="auto"/>
              </w:rPr>
            </w:pPr>
            <w:r>
              <w:rPr>
                <w:rFonts w:ascii="Arial" w:cs="Arial" w:eastAsia="Arial" w:hAnsi="Arial"/>
                <w:sz w:val="18"/>
                <w:szCs w:val="18"/>
                <w:color w:val="auto"/>
              </w:rPr>
              <w:t>532,930</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1.80</w:t>
            </w:r>
          </w:p>
        </w:tc>
        <w:tc>
          <w:tcPr>
            <w:tcW w:w="22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320" w:type="dxa"/>
            <w:vAlign w:val="bottom"/>
            <w:shd w:val="clear" w:color="auto" w:fill="CFF0FC"/>
          </w:tcPr>
          <w:p>
            <w:pPr>
              <w:ind w:left="120"/>
              <w:spacing w:after="0"/>
              <w:rPr>
                <w:sz w:val="20"/>
                <w:szCs w:val="20"/>
                <w:color w:val="auto"/>
              </w:rPr>
            </w:pPr>
            <w:r>
              <w:rPr>
                <w:rFonts w:ascii="Arial" w:cs="Arial" w:eastAsia="Arial" w:hAnsi="Arial"/>
                <w:sz w:val="18"/>
                <w:szCs w:val="18"/>
                <w:color w:val="auto"/>
              </w:rPr>
              <w:t>Options exercised</w:t>
            </w:r>
          </w:p>
        </w:tc>
        <w:tc>
          <w:tcPr>
            <w:tcW w:w="116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(79,893)</w:t>
            </w:r>
          </w:p>
        </w:tc>
        <w:tc>
          <w:tcPr>
            <w:tcW w:w="1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1.40</w:t>
            </w:r>
          </w:p>
        </w:tc>
        <w:tc>
          <w:tcPr>
            <w:tcW w:w="220" w:type="dxa"/>
            <w:vAlign w:val="bottom"/>
            <w:shd w:val="clear" w:color="auto" w:fill="CFF0FC"/>
          </w:tcPr>
          <w:p>
            <w:pPr>
              <w:spacing w:after="0"/>
              <w:rPr>
                <w:sz w:val="19"/>
                <w:szCs w:val="19"/>
                <w:color w:val="auto"/>
              </w:rPr>
            </w:pPr>
          </w:p>
        </w:tc>
        <w:tc>
          <w:tcPr>
            <w:tcW w:w="104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9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320" w:type="dxa"/>
            <w:vAlign w:val="bottom"/>
          </w:tcPr>
          <w:p>
            <w:pPr>
              <w:ind w:left="120"/>
              <w:spacing w:after="0"/>
              <w:rPr>
                <w:sz w:val="20"/>
                <w:szCs w:val="20"/>
                <w:color w:val="auto"/>
              </w:rPr>
            </w:pPr>
            <w:r>
              <w:rPr>
                <w:rFonts w:ascii="Arial" w:cs="Arial" w:eastAsia="Arial" w:hAnsi="Arial"/>
                <w:sz w:val="18"/>
                <w:szCs w:val="18"/>
                <w:color w:val="auto"/>
              </w:rPr>
              <w:t>Options cancelled</w:t>
            </w:r>
          </w:p>
        </w:tc>
        <w:tc>
          <w:tcPr>
            <w:tcW w:w="1160" w:type="dxa"/>
            <w:vAlign w:val="bottom"/>
            <w:gridSpan w:val="2"/>
          </w:tcPr>
          <w:p>
            <w:pPr>
              <w:jc w:val="right"/>
              <w:ind w:right="80"/>
              <w:spacing w:after="0"/>
              <w:rPr>
                <w:sz w:val="20"/>
                <w:szCs w:val="20"/>
                <w:color w:val="auto"/>
              </w:rPr>
            </w:pPr>
            <w:r>
              <w:rPr>
                <w:rFonts w:ascii="Arial" w:cs="Arial" w:eastAsia="Arial" w:hAnsi="Arial"/>
                <w:sz w:val="18"/>
                <w:szCs w:val="18"/>
                <w:color w:val="auto"/>
              </w:rPr>
              <w:t>(294,654)</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1.40</w:t>
            </w:r>
          </w:p>
        </w:tc>
        <w:tc>
          <w:tcPr>
            <w:tcW w:w="22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320" w:type="dxa"/>
            <w:vAlign w:val="bottom"/>
            <w:shd w:val="clear" w:color="auto" w:fill="CFF0FC"/>
          </w:tcPr>
          <w:p>
            <w:pPr>
              <w:ind w:left="120"/>
              <w:spacing w:after="0"/>
              <w:rPr>
                <w:sz w:val="20"/>
                <w:szCs w:val="20"/>
                <w:color w:val="auto"/>
              </w:rPr>
            </w:pPr>
            <w:r>
              <w:rPr>
                <w:rFonts w:ascii="Arial" w:cs="Arial" w:eastAsia="Arial" w:hAnsi="Arial"/>
                <w:sz w:val="18"/>
                <w:szCs w:val="18"/>
                <w:color w:val="auto"/>
              </w:rPr>
              <w:t>Options expired</w:t>
            </w:r>
          </w:p>
        </w:tc>
        <w:tc>
          <w:tcPr>
            <w:tcW w:w="116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(6,104)</w:t>
            </w:r>
          </w:p>
        </w:tc>
        <w:tc>
          <w:tcPr>
            <w:tcW w:w="1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2.30</w:t>
            </w:r>
          </w:p>
        </w:tc>
        <w:tc>
          <w:tcPr>
            <w:tcW w:w="220" w:type="dxa"/>
            <w:vAlign w:val="bottom"/>
            <w:shd w:val="clear" w:color="auto" w:fill="CFF0FC"/>
          </w:tcPr>
          <w:p>
            <w:pPr>
              <w:spacing w:after="0"/>
              <w:rPr>
                <w:sz w:val="19"/>
                <w:szCs w:val="19"/>
                <w:color w:val="auto"/>
              </w:rPr>
            </w:pPr>
          </w:p>
        </w:tc>
        <w:tc>
          <w:tcPr>
            <w:tcW w:w="104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9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320" w:type="dxa"/>
            <w:vAlign w:val="bottom"/>
          </w:tcPr>
          <w:p>
            <w:pPr>
              <w:spacing w:after="0"/>
              <w:rPr>
                <w:sz w:val="20"/>
                <w:szCs w:val="20"/>
                <w:color w:val="auto"/>
              </w:rPr>
            </w:pPr>
            <w:r>
              <w:rPr>
                <w:rFonts w:ascii="Arial" w:cs="Arial" w:eastAsia="Arial" w:hAnsi="Arial"/>
                <w:sz w:val="18"/>
                <w:szCs w:val="18"/>
                <w:color w:val="auto"/>
              </w:rPr>
              <w:t>Outstanding – December 31, 2015</w:t>
            </w:r>
          </w:p>
        </w:tc>
        <w:tc>
          <w:tcPr>
            <w:tcW w:w="10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1,410,708</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1.90</w:t>
            </w:r>
          </w:p>
        </w:tc>
        <w:tc>
          <w:tcPr>
            <w:tcW w:w="2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7.9</w:t>
            </w:r>
          </w:p>
        </w:tc>
        <w:tc>
          <w:tcPr>
            <w:tcW w:w="36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104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5320" w:type="dxa"/>
            <w:vAlign w:val="bottom"/>
            <w:shd w:val="clear" w:color="auto" w:fill="CFF0FC"/>
          </w:tcPr>
          <w:p>
            <w:pPr>
              <w:ind w:left="120"/>
              <w:spacing w:after="0"/>
              <w:rPr>
                <w:sz w:val="20"/>
                <w:szCs w:val="20"/>
                <w:color w:val="auto"/>
              </w:rPr>
            </w:pPr>
            <w:r>
              <w:rPr>
                <w:rFonts w:ascii="Arial" w:cs="Arial" w:eastAsia="Arial" w:hAnsi="Arial"/>
                <w:sz w:val="18"/>
                <w:szCs w:val="18"/>
                <w:color w:val="auto"/>
              </w:rPr>
              <w:t>Options granted</w:t>
            </w: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1,179,644</w:t>
            </w:r>
          </w:p>
        </w:tc>
        <w:tc>
          <w:tcPr>
            <w:tcW w:w="1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1.70</w:t>
            </w:r>
          </w:p>
        </w:tc>
        <w:tc>
          <w:tcPr>
            <w:tcW w:w="220" w:type="dxa"/>
            <w:vAlign w:val="bottom"/>
            <w:shd w:val="clear" w:color="auto" w:fill="CFF0FC"/>
          </w:tcPr>
          <w:p>
            <w:pPr>
              <w:spacing w:after="0"/>
              <w:rPr>
                <w:sz w:val="19"/>
                <w:szCs w:val="19"/>
                <w:color w:val="auto"/>
              </w:rPr>
            </w:pPr>
          </w:p>
        </w:tc>
        <w:tc>
          <w:tcPr>
            <w:tcW w:w="104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9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320" w:type="dxa"/>
            <w:vAlign w:val="bottom"/>
          </w:tcPr>
          <w:p>
            <w:pPr>
              <w:ind w:left="120"/>
              <w:spacing w:after="0"/>
              <w:rPr>
                <w:sz w:val="20"/>
                <w:szCs w:val="20"/>
                <w:color w:val="auto"/>
              </w:rPr>
            </w:pPr>
            <w:r>
              <w:rPr>
                <w:rFonts w:ascii="Arial" w:cs="Arial" w:eastAsia="Arial" w:hAnsi="Arial"/>
                <w:sz w:val="18"/>
                <w:szCs w:val="18"/>
                <w:color w:val="auto"/>
              </w:rPr>
              <w:t>Options exercised</w:t>
            </w:r>
          </w:p>
        </w:tc>
        <w:tc>
          <w:tcPr>
            <w:tcW w:w="1160" w:type="dxa"/>
            <w:vAlign w:val="bottom"/>
            <w:gridSpan w:val="2"/>
          </w:tcPr>
          <w:p>
            <w:pPr>
              <w:jc w:val="right"/>
              <w:ind w:right="80"/>
              <w:spacing w:after="0"/>
              <w:rPr>
                <w:sz w:val="20"/>
                <w:szCs w:val="20"/>
                <w:color w:val="auto"/>
              </w:rPr>
            </w:pPr>
            <w:r>
              <w:rPr>
                <w:rFonts w:ascii="Arial" w:cs="Arial" w:eastAsia="Arial" w:hAnsi="Arial"/>
                <w:sz w:val="18"/>
                <w:szCs w:val="18"/>
                <w:color w:val="auto"/>
              </w:rPr>
              <w:t>(20,218)</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2.00</w:t>
            </w:r>
          </w:p>
        </w:tc>
        <w:tc>
          <w:tcPr>
            <w:tcW w:w="22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320" w:type="dxa"/>
            <w:vAlign w:val="bottom"/>
            <w:shd w:val="clear" w:color="auto" w:fill="CFF0FC"/>
          </w:tcPr>
          <w:p>
            <w:pPr>
              <w:ind w:left="120"/>
              <w:spacing w:after="0"/>
              <w:rPr>
                <w:sz w:val="20"/>
                <w:szCs w:val="20"/>
                <w:color w:val="auto"/>
              </w:rPr>
            </w:pPr>
            <w:r>
              <w:rPr>
                <w:rFonts w:ascii="Arial" w:cs="Arial" w:eastAsia="Arial" w:hAnsi="Arial"/>
                <w:sz w:val="18"/>
                <w:szCs w:val="18"/>
                <w:color w:val="auto"/>
              </w:rPr>
              <w:t>Options cancelled</w:t>
            </w:r>
          </w:p>
        </w:tc>
        <w:tc>
          <w:tcPr>
            <w:tcW w:w="116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(737,377)</w:t>
            </w:r>
          </w:p>
        </w:tc>
        <w:tc>
          <w:tcPr>
            <w:tcW w:w="1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2.00</w:t>
            </w:r>
          </w:p>
        </w:tc>
        <w:tc>
          <w:tcPr>
            <w:tcW w:w="220" w:type="dxa"/>
            <w:vAlign w:val="bottom"/>
            <w:shd w:val="clear" w:color="auto" w:fill="CFF0FC"/>
          </w:tcPr>
          <w:p>
            <w:pPr>
              <w:spacing w:after="0"/>
              <w:rPr>
                <w:sz w:val="19"/>
                <w:szCs w:val="19"/>
                <w:color w:val="auto"/>
              </w:rPr>
            </w:pPr>
          </w:p>
        </w:tc>
        <w:tc>
          <w:tcPr>
            <w:tcW w:w="104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9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320" w:type="dxa"/>
            <w:vAlign w:val="bottom"/>
          </w:tcPr>
          <w:p>
            <w:pPr>
              <w:ind w:left="120"/>
              <w:spacing w:after="0"/>
              <w:rPr>
                <w:sz w:val="20"/>
                <w:szCs w:val="20"/>
                <w:color w:val="auto"/>
              </w:rPr>
            </w:pPr>
            <w:r>
              <w:rPr>
                <w:rFonts w:ascii="Arial" w:cs="Arial" w:eastAsia="Arial" w:hAnsi="Arial"/>
                <w:sz w:val="18"/>
                <w:szCs w:val="18"/>
                <w:color w:val="auto"/>
              </w:rPr>
              <w:t>Options expired</w:t>
            </w:r>
          </w:p>
        </w:tc>
        <w:tc>
          <w:tcPr>
            <w:tcW w:w="1160" w:type="dxa"/>
            <w:vAlign w:val="bottom"/>
            <w:gridSpan w:val="2"/>
          </w:tcPr>
          <w:p>
            <w:pPr>
              <w:jc w:val="right"/>
              <w:ind w:right="80"/>
              <w:spacing w:after="0"/>
              <w:rPr>
                <w:sz w:val="20"/>
                <w:szCs w:val="20"/>
                <w:color w:val="auto"/>
              </w:rPr>
            </w:pPr>
            <w:r>
              <w:rPr>
                <w:rFonts w:ascii="Arial" w:cs="Arial" w:eastAsia="Arial" w:hAnsi="Arial"/>
                <w:sz w:val="18"/>
                <w:szCs w:val="18"/>
                <w:color w:val="auto"/>
              </w:rPr>
              <w:t>(1,000)</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0.50</w:t>
            </w:r>
          </w:p>
        </w:tc>
        <w:tc>
          <w:tcPr>
            <w:tcW w:w="22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32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Outstanding – December 31, 2016</w:t>
            </w:r>
          </w:p>
        </w:tc>
        <w:tc>
          <w:tcPr>
            <w:tcW w:w="10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1,831,757</w:t>
            </w:r>
          </w:p>
        </w:tc>
        <w:tc>
          <w:tcPr>
            <w:tcW w:w="12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CFF0FC"/>
            </w:tcBorders>
            <w:shd w:val="clear" w:color="auto" w:fill="CFF0FC"/>
          </w:tcPr>
          <w:p>
            <w:pPr>
              <w:spacing w:after="0"/>
              <w:rPr>
                <w:sz w:val="19"/>
                <w:szCs w:val="19"/>
                <w:color w:val="auto"/>
              </w:rPr>
            </w:pPr>
          </w:p>
        </w:tc>
        <w:tc>
          <w:tcPr>
            <w:tcW w:w="900" w:type="dxa"/>
            <w:vAlign w:val="bottom"/>
            <w:tcBorders>
              <w:top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1.80</w:t>
            </w:r>
          </w:p>
        </w:tc>
        <w:tc>
          <w:tcPr>
            <w:tcW w:w="220" w:type="dxa"/>
            <w:vAlign w:val="bottom"/>
            <w:tcBorders>
              <w:top w:val="single" w:sz="8" w:color="CFF0FC"/>
            </w:tcBorders>
            <w:shd w:val="clear" w:color="auto" w:fill="CFF0FC"/>
          </w:tcPr>
          <w:p>
            <w:pPr>
              <w:spacing w:after="0"/>
              <w:rPr>
                <w:sz w:val="19"/>
                <w:szCs w:val="19"/>
                <w:color w:val="auto"/>
              </w:rPr>
            </w:pPr>
          </w:p>
        </w:tc>
        <w:tc>
          <w:tcPr>
            <w:tcW w:w="1040" w:type="dxa"/>
            <w:vAlign w:val="bottom"/>
            <w:tcBorders>
              <w:top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8.7</w:t>
            </w:r>
          </w:p>
        </w:tc>
        <w:tc>
          <w:tcPr>
            <w:tcW w:w="360" w:type="dxa"/>
            <w:vAlign w:val="bottom"/>
            <w:tcBorders>
              <w:top w:val="single" w:sz="8" w:color="CFF0FC"/>
            </w:tcBorders>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w:t>
            </w:r>
          </w:p>
        </w:tc>
        <w:tc>
          <w:tcPr>
            <w:tcW w:w="920" w:type="dxa"/>
            <w:vAlign w:val="bottom"/>
            <w:tcBorders>
              <w:top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14</w:t>
            </w:r>
          </w:p>
        </w:tc>
        <w:tc>
          <w:tcPr>
            <w:tcW w:w="12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320" w:type="dxa"/>
            <w:vAlign w:val="bottom"/>
          </w:tcPr>
          <w:p>
            <w:pPr>
              <w:ind w:left="120"/>
              <w:spacing w:after="0"/>
              <w:rPr>
                <w:sz w:val="20"/>
                <w:szCs w:val="20"/>
                <w:color w:val="auto"/>
              </w:rPr>
            </w:pPr>
            <w:r>
              <w:rPr>
                <w:rFonts w:ascii="Arial" w:cs="Arial" w:eastAsia="Arial" w:hAnsi="Arial"/>
                <w:sz w:val="18"/>
                <w:szCs w:val="18"/>
                <w:color w:val="auto"/>
              </w:rPr>
              <w:t>Options granted</w:t>
            </w:r>
          </w:p>
        </w:tc>
        <w:tc>
          <w:tcPr>
            <w:tcW w:w="1040" w:type="dxa"/>
            <w:vAlign w:val="bottom"/>
          </w:tcPr>
          <w:p>
            <w:pPr>
              <w:jc w:val="right"/>
              <w:spacing w:after="0"/>
              <w:rPr>
                <w:sz w:val="20"/>
                <w:szCs w:val="20"/>
                <w:color w:val="auto"/>
              </w:rPr>
            </w:pPr>
            <w:r>
              <w:rPr>
                <w:rFonts w:ascii="Arial" w:cs="Arial" w:eastAsia="Arial" w:hAnsi="Arial"/>
                <w:sz w:val="18"/>
                <w:szCs w:val="18"/>
                <w:color w:val="auto"/>
              </w:rPr>
              <w:t>192,420</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3.12</w:t>
            </w:r>
          </w:p>
        </w:tc>
        <w:tc>
          <w:tcPr>
            <w:tcW w:w="22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320" w:type="dxa"/>
            <w:vAlign w:val="bottom"/>
            <w:shd w:val="clear" w:color="auto" w:fill="CFF0FC"/>
          </w:tcPr>
          <w:p>
            <w:pPr>
              <w:ind w:left="120"/>
              <w:spacing w:after="0"/>
              <w:rPr>
                <w:sz w:val="20"/>
                <w:szCs w:val="20"/>
                <w:color w:val="auto"/>
              </w:rPr>
            </w:pPr>
            <w:r>
              <w:rPr>
                <w:rFonts w:ascii="Arial" w:cs="Arial" w:eastAsia="Arial" w:hAnsi="Arial"/>
                <w:sz w:val="18"/>
                <w:szCs w:val="18"/>
                <w:color w:val="auto"/>
              </w:rPr>
              <w:t>Options exercised</w:t>
            </w:r>
          </w:p>
        </w:tc>
        <w:tc>
          <w:tcPr>
            <w:tcW w:w="116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(21,843)</w:t>
            </w:r>
          </w:p>
        </w:tc>
        <w:tc>
          <w:tcPr>
            <w:tcW w:w="1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2.01</w:t>
            </w:r>
          </w:p>
        </w:tc>
        <w:tc>
          <w:tcPr>
            <w:tcW w:w="220" w:type="dxa"/>
            <w:vAlign w:val="bottom"/>
            <w:shd w:val="clear" w:color="auto" w:fill="CFF0FC"/>
          </w:tcPr>
          <w:p>
            <w:pPr>
              <w:spacing w:after="0"/>
              <w:rPr>
                <w:sz w:val="19"/>
                <w:szCs w:val="19"/>
                <w:color w:val="auto"/>
              </w:rPr>
            </w:pPr>
          </w:p>
        </w:tc>
        <w:tc>
          <w:tcPr>
            <w:tcW w:w="104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9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320" w:type="dxa"/>
            <w:vAlign w:val="bottom"/>
          </w:tcPr>
          <w:p>
            <w:pPr>
              <w:ind w:left="120"/>
              <w:spacing w:after="0"/>
              <w:rPr>
                <w:sz w:val="20"/>
                <w:szCs w:val="20"/>
                <w:color w:val="auto"/>
              </w:rPr>
            </w:pPr>
            <w:r>
              <w:rPr>
                <w:rFonts w:ascii="Arial" w:cs="Arial" w:eastAsia="Arial" w:hAnsi="Arial"/>
                <w:sz w:val="18"/>
                <w:szCs w:val="18"/>
                <w:color w:val="auto"/>
              </w:rPr>
              <w:t>Options cancelled</w:t>
            </w:r>
          </w:p>
        </w:tc>
        <w:tc>
          <w:tcPr>
            <w:tcW w:w="1160" w:type="dxa"/>
            <w:vAlign w:val="bottom"/>
            <w:gridSpan w:val="2"/>
          </w:tcPr>
          <w:p>
            <w:pPr>
              <w:jc w:val="right"/>
              <w:ind w:right="80"/>
              <w:spacing w:after="0"/>
              <w:rPr>
                <w:sz w:val="20"/>
                <w:szCs w:val="20"/>
                <w:color w:val="auto"/>
              </w:rPr>
            </w:pPr>
            <w:r>
              <w:rPr>
                <w:rFonts w:ascii="Arial" w:cs="Arial" w:eastAsia="Arial" w:hAnsi="Arial"/>
                <w:sz w:val="18"/>
                <w:szCs w:val="18"/>
                <w:color w:val="auto"/>
              </w:rPr>
              <w:t>(71,582)</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1.81</w:t>
            </w:r>
          </w:p>
        </w:tc>
        <w:tc>
          <w:tcPr>
            <w:tcW w:w="22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32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Outstanding – December 31, 2017</w:t>
            </w:r>
          </w:p>
        </w:tc>
        <w:tc>
          <w:tcPr>
            <w:tcW w:w="10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1,930,752</w:t>
            </w:r>
          </w:p>
        </w:tc>
        <w:tc>
          <w:tcPr>
            <w:tcW w:w="120" w:type="dxa"/>
            <w:vAlign w:val="bottom"/>
            <w:tcBorders>
              <w:top w:val="single" w:sz="8" w:color="CFF0FC"/>
            </w:tcBorders>
            <w:shd w:val="clear" w:color="auto" w:fill="CFF0FC"/>
          </w:tcPr>
          <w:p>
            <w:pPr>
              <w:spacing w:after="0"/>
              <w:rPr>
                <w:sz w:val="19"/>
                <w:szCs w:val="19"/>
                <w:color w:val="auto"/>
              </w:rPr>
            </w:pPr>
          </w:p>
        </w:tc>
        <w:tc>
          <w:tcPr>
            <w:tcW w:w="240" w:type="dxa"/>
            <w:vAlign w:val="bottom"/>
            <w:tcBorders>
              <w:top w:val="single" w:sz="8" w:color="CFF0FC"/>
            </w:tcBorders>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900" w:type="dxa"/>
            <w:vAlign w:val="bottom"/>
            <w:tcBorders>
              <w:top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1.90</w:t>
            </w:r>
          </w:p>
        </w:tc>
        <w:tc>
          <w:tcPr>
            <w:tcW w:w="220" w:type="dxa"/>
            <w:vAlign w:val="bottom"/>
            <w:tcBorders>
              <w:top w:val="single" w:sz="8" w:color="CFF0FC"/>
            </w:tcBorders>
            <w:shd w:val="clear" w:color="auto" w:fill="CFF0FC"/>
          </w:tcPr>
          <w:p>
            <w:pPr>
              <w:spacing w:after="0"/>
              <w:rPr>
                <w:sz w:val="19"/>
                <w:szCs w:val="19"/>
                <w:color w:val="auto"/>
              </w:rPr>
            </w:pPr>
          </w:p>
        </w:tc>
        <w:tc>
          <w:tcPr>
            <w:tcW w:w="1040" w:type="dxa"/>
            <w:vAlign w:val="bottom"/>
            <w:tcBorders>
              <w:top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7.9</w:t>
            </w:r>
          </w:p>
        </w:tc>
        <w:tc>
          <w:tcPr>
            <w:tcW w:w="360" w:type="dxa"/>
            <w:vAlign w:val="bottom"/>
            <w:tcBorders>
              <w:top w:val="single" w:sz="8" w:color="CFF0FC"/>
            </w:tcBorders>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w:t>
            </w:r>
          </w:p>
        </w:tc>
        <w:tc>
          <w:tcPr>
            <w:tcW w:w="920" w:type="dxa"/>
            <w:vAlign w:val="bottom"/>
            <w:tcBorders>
              <w:top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5,322</w:t>
            </w:r>
          </w:p>
        </w:tc>
        <w:tc>
          <w:tcPr>
            <w:tcW w:w="12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70"/>
        </w:trPr>
        <w:tc>
          <w:tcPr>
            <w:tcW w:w="532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Vested and expected to vest – December 31, 2017</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1,667,332</w:t>
            </w:r>
          </w:p>
        </w:tc>
        <w:tc>
          <w:tcPr>
            <w:tcW w:w="120" w:type="dxa"/>
            <w:vAlign w:val="bottom"/>
            <w:tcBorders>
              <w:bottom w:val="single" w:sz="8" w:color="CFF0FC"/>
            </w:tcBorders>
          </w:tcPr>
          <w:p>
            <w:pPr>
              <w:spacing w:after="0"/>
              <w:rPr>
                <w:sz w:val="23"/>
                <w:szCs w:val="23"/>
                <w:color w:val="auto"/>
              </w:rPr>
            </w:pPr>
          </w:p>
        </w:tc>
        <w:tc>
          <w:tcPr>
            <w:tcW w:w="240" w:type="dxa"/>
            <w:vAlign w:val="bottom"/>
            <w:tcBorders>
              <w:bottom w:val="single" w:sz="8" w:color="CFF0FC"/>
            </w:tcBorders>
            <w:gridSpan w:val="2"/>
          </w:tcPr>
          <w:p>
            <w:pPr>
              <w:jc w:val="right"/>
              <w:spacing w:after="0"/>
              <w:rPr>
                <w:sz w:val="20"/>
                <w:szCs w:val="20"/>
                <w:color w:val="auto"/>
              </w:rPr>
            </w:pPr>
            <w:r>
              <w:rPr>
                <w:rFonts w:ascii="Arial" w:cs="Arial" w:eastAsia="Arial" w:hAnsi="Arial"/>
                <w:sz w:val="18"/>
                <w:szCs w:val="18"/>
                <w:color w:val="auto"/>
              </w:rPr>
              <w:t>$</w:t>
            </w:r>
          </w:p>
        </w:tc>
        <w:tc>
          <w:tcPr>
            <w:tcW w:w="900" w:type="dxa"/>
            <w:vAlign w:val="bottom"/>
            <w:tcBorders>
              <w:bottom w:val="single" w:sz="8" w:color="CFF0FC"/>
            </w:tcBorders>
          </w:tcPr>
          <w:p>
            <w:pPr>
              <w:jc w:val="right"/>
              <w:spacing w:after="0"/>
              <w:rPr>
                <w:sz w:val="20"/>
                <w:szCs w:val="20"/>
                <w:color w:val="auto"/>
              </w:rPr>
            </w:pPr>
            <w:r>
              <w:rPr>
                <w:rFonts w:ascii="Arial" w:cs="Arial" w:eastAsia="Arial" w:hAnsi="Arial"/>
                <w:sz w:val="18"/>
                <w:szCs w:val="18"/>
                <w:color w:val="auto"/>
              </w:rPr>
              <w:t>1.90</w:t>
            </w:r>
          </w:p>
        </w:tc>
        <w:tc>
          <w:tcPr>
            <w:tcW w:w="220" w:type="dxa"/>
            <w:vAlign w:val="bottom"/>
            <w:tcBorders>
              <w:bottom w:val="single" w:sz="8" w:color="CFF0FC"/>
            </w:tcBorders>
          </w:tcPr>
          <w:p>
            <w:pPr>
              <w:spacing w:after="0"/>
              <w:rPr>
                <w:sz w:val="23"/>
                <w:szCs w:val="23"/>
                <w:color w:val="auto"/>
              </w:rPr>
            </w:pPr>
          </w:p>
        </w:tc>
        <w:tc>
          <w:tcPr>
            <w:tcW w:w="1040" w:type="dxa"/>
            <w:vAlign w:val="bottom"/>
            <w:tcBorders>
              <w:bottom w:val="single" w:sz="8" w:color="CFF0FC"/>
            </w:tcBorders>
          </w:tcPr>
          <w:p>
            <w:pPr>
              <w:jc w:val="right"/>
              <w:spacing w:after="0"/>
              <w:rPr>
                <w:sz w:val="20"/>
                <w:szCs w:val="20"/>
                <w:color w:val="auto"/>
              </w:rPr>
            </w:pPr>
            <w:r>
              <w:rPr>
                <w:rFonts w:ascii="Arial" w:cs="Arial" w:eastAsia="Arial" w:hAnsi="Arial"/>
                <w:sz w:val="18"/>
                <w:szCs w:val="18"/>
                <w:color w:val="auto"/>
              </w:rPr>
              <w:t>7.8</w:t>
            </w:r>
          </w:p>
        </w:tc>
        <w:tc>
          <w:tcPr>
            <w:tcW w:w="360" w:type="dxa"/>
            <w:vAlign w:val="bottom"/>
            <w:tcBorders>
              <w:bottom w:val="single" w:sz="8" w:color="CFF0FC"/>
            </w:tcBorders>
            <w:gridSpan w:val="2"/>
          </w:tcPr>
          <w:p>
            <w:pPr>
              <w:jc w:val="right"/>
              <w:ind w:right="60"/>
              <w:spacing w:after="0"/>
              <w:rPr>
                <w:sz w:val="20"/>
                <w:szCs w:val="20"/>
                <w:color w:val="auto"/>
              </w:rPr>
            </w:pPr>
            <w:r>
              <w:rPr>
                <w:rFonts w:ascii="Arial" w:cs="Arial" w:eastAsia="Arial" w:hAnsi="Arial"/>
                <w:sz w:val="18"/>
                <w:szCs w:val="18"/>
                <w:color w:val="auto"/>
              </w:rPr>
              <w:t>$</w:t>
            </w:r>
          </w:p>
        </w:tc>
        <w:tc>
          <w:tcPr>
            <w:tcW w:w="920" w:type="dxa"/>
            <w:vAlign w:val="bottom"/>
            <w:tcBorders>
              <w:bottom w:val="single" w:sz="8" w:color="CFF0FC"/>
            </w:tcBorders>
          </w:tcPr>
          <w:p>
            <w:pPr>
              <w:jc w:val="right"/>
              <w:spacing w:after="0"/>
              <w:rPr>
                <w:sz w:val="20"/>
                <w:szCs w:val="20"/>
                <w:color w:val="auto"/>
              </w:rPr>
            </w:pPr>
            <w:r>
              <w:rPr>
                <w:rFonts w:ascii="Arial" w:cs="Arial" w:eastAsia="Arial" w:hAnsi="Arial"/>
                <w:sz w:val="18"/>
                <w:szCs w:val="18"/>
                <w:color w:val="auto"/>
              </w:rPr>
              <w:t>4,590</w:t>
            </w:r>
          </w:p>
        </w:tc>
        <w:tc>
          <w:tcPr>
            <w:tcW w:w="120" w:type="dxa"/>
            <w:vAlign w:val="bottom"/>
            <w:tcBorders>
              <w:bottom w:val="single" w:sz="8" w:color="CFF0FC"/>
            </w:tcBorders>
          </w:tcPr>
          <w:p>
            <w:pPr>
              <w:spacing w:after="0"/>
              <w:rPr>
                <w:sz w:val="23"/>
                <w:szCs w:val="23"/>
                <w:color w:val="auto"/>
              </w:rPr>
            </w:pPr>
          </w:p>
        </w:tc>
        <w:tc>
          <w:tcPr>
            <w:tcW w:w="0" w:type="dxa"/>
            <w:vAlign w:val="bottom"/>
          </w:tcPr>
          <w:p>
            <w:pPr>
              <w:spacing w:after="0"/>
              <w:rPr>
                <w:sz w:val="1"/>
                <w:szCs w:val="1"/>
                <w:color w:val="auto"/>
              </w:rPr>
            </w:pPr>
          </w:p>
        </w:tc>
      </w:tr>
      <w:tr>
        <w:trPr>
          <w:trHeight w:val="210"/>
        </w:trPr>
        <w:tc>
          <w:tcPr>
            <w:tcW w:w="532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Exercisable – December 31, 2017</w:t>
            </w:r>
          </w:p>
        </w:tc>
        <w:tc>
          <w:tcPr>
            <w:tcW w:w="10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960,933</w:t>
            </w:r>
          </w:p>
        </w:tc>
        <w:tc>
          <w:tcPr>
            <w:tcW w:w="120" w:type="dxa"/>
            <w:vAlign w:val="bottom"/>
            <w:tcBorders>
              <w:bottom w:val="single" w:sz="8" w:color="CFF0FC"/>
            </w:tcBorders>
            <w:shd w:val="clear" w:color="auto" w:fill="CFF0FC"/>
          </w:tcPr>
          <w:p>
            <w:pPr>
              <w:spacing w:after="0"/>
              <w:rPr>
                <w:sz w:val="18"/>
                <w:szCs w:val="18"/>
                <w:color w:val="auto"/>
              </w:rPr>
            </w:pPr>
          </w:p>
        </w:tc>
        <w:tc>
          <w:tcPr>
            <w:tcW w:w="240" w:type="dxa"/>
            <w:vAlign w:val="bottom"/>
            <w:tcBorders>
              <w:bottom w:val="single" w:sz="8" w:color="CFF0FC"/>
            </w:tcBorders>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90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1.80</w:t>
            </w:r>
          </w:p>
        </w:tc>
        <w:tc>
          <w:tcPr>
            <w:tcW w:w="220" w:type="dxa"/>
            <w:vAlign w:val="bottom"/>
            <w:tcBorders>
              <w:bottom w:val="single" w:sz="8" w:color="CFF0FC"/>
            </w:tcBorders>
            <w:shd w:val="clear" w:color="auto" w:fill="CFF0FC"/>
          </w:tcPr>
          <w:p>
            <w:pPr>
              <w:spacing w:after="0"/>
              <w:rPr>
                <w:sz w:val="18"/>
                <w:szCs w:val="18"/>
                <w:color w:val="auto"/>
              </w:rPr>
            </w:pPr>
          </w:p>
        </w:tc>
        <w:tc>
          <w:tcPr>
            <w:tcW w:w="104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7.2</w:t>
            </w:r>
          </w:p>
        </w:tc>
        <w:tc>
          <w:tcPr>
            <w:tcW w:w="360" w:type="dxa"/>
            <w:vAlign w:val="bottom"/>
            <w:tcBorders>
              <w:bottom w:val="single" w:sz="8" w:color="CFF0FC"/>
            </w:tcBorders>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w:t>
            </w:r>
          </w:p>
        </w:tc>
        <w:tc>
          <w:tcPr>
            <w:tcW w:w="92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3,257</w:t>
            </w:r>
          </w:p>
        </w:tc>
        <w:tc>
          <w:tcPr>
            <w:tcW w:w="120" w:type="dxa"/>
            <w:vAlign w:val="bottom"/>
            <w:tcBorders>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32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88" w:lineRule="exact"/>
        <w:rPr>
          <w:sz w:val="20"/>
          <w:szCs w:val="20"/>
          <w:color w:val="auto"/>
        </w:rPr>
      </w:pPr>
    </w:p>
    <w:p>
      <w:pPr>
        <w:spacing w:after="0"/>
        <w:rPr>
          <w:sz w:val="20"/>
          <w:szCs w:val="20"/>
          <w:color w:val="auto"/>
        </w:rPr>
      </w:pPr>
      <w:r>
        <w:rPr>
          <w:rFonts w:ascii="Arial" w:cs="Arial" w:eastAsia="Arial" w:hAnsi="Arial"/>
          <w:sz w:val="16"/>
          <w:szCs w:val="16"/>
          <w:color w:val="auto"/>
        </w:rPr>
        <w:t>The weighted-average grant date fair value of options granted was $1.73, $0.86 and $1.10 per share for years ended December 31, 2017, 2016 and 2015.</w:t>
      </w:r>
    </w:p>
    <w:p>
      <w:pPr>
        <w:spacing w:after="0" w:line="140" w:lineRule="exact"/>
        <w:rPr>
          <w:sz w:val="20"/>
          <w:szCs w:val="20"/>
          <w:color w:val="auto"/>
        </w:rPr>
      </w:pPr>
    </w:p>
    <w:p>
      <w:pPr>
        <w:spacing w:after="0"/>
        <w:rPr>
          <w:sz w:val="20"/>
          <w:szCs w:val="20"/>
          <w:color w:val="auto"/>
        </w:rPr>
      </w:pPr>
      <w:r>
        <w:rPr>
          <w:rFonts w:ascii="Arial" w:cs="Arial" w:eastAsia="Arial" w:hAnsi="Arial"/>
          <w:sz w:val="18"/>
          <w:szCs w:val="18"/>
          <w:color w:val="auto"/>
        </w:rPr>
        <w:t>The total intrinsic value of options exercised were $1.18, $0 and $47 for years ended December 31, 2017, 2016 and 2015.</w:t>
      </w:r>
    </w:p>
    <w:p>
      <w:pPr>
        <w:spacing w:after="0" w:line="117" w:lineRule="exact"/>
        <w:rPr>
          <w:sz w:val="20"/>
          <w:szCs w:val="20"/>
          <w:color w:val="auto"/>
        </w:rPr>
      </w:pPr>
    </w:p>
    <w:p>
      <w:pPr>
        <w:ind w:right="840"/>
        <w:spacing w:after="0" w:line="277" w:lineRule="auto"/>
        <w:rPr>
          <w:sz w:val="20"/>
          <w:szCs w:val="20"/>
          <w:color w:val="auto"/>
        </w:rPr>
      </w:pPr>
      <w:r>
        <w:rPr>
          <w:rFonts w:ascii="Arial" w:cs="Arial" w:eastAsia="Arial" w:hAnsi="Arial"/>
          <w:sz w:val="18"/>
          <w:szCs w:val="18"/>
          <w:color w:val="auto"/>
        </w:rPr>
        <w:t>Unamortized stock-based compensation was $722 as of December 31, 2017, which is expected to be recognized over a weighted-average period of approximately 2.63 years.</w:t>
      </w:r>
    </w:p>
    <w:p>
      <w:pPr>
        <w:spacing w:after="0" w:line="9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12. INCOME TAXES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The geographical breakdown of loss before provision for income taxes is as follows:</w:t>
      </w:r>
    </w:p>
    <w:p>
      <w:pPr>
        <w:spacing w:after="0" w:line="284"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1160" w:type="dxa"/>
            <w:vAlign w:val="bottom"/>
          </w:tcPr>
          <w:p>
            <w:pPr>
              <w:spacing w:after="0"/>
              <w:rPr>
                <w:sz w:val="14"/>
                <w:szCs w:val="14"/>
                <w:color w:val="auto"/>
              </w:rPr>
            </w:pPr>
          </w:p>
        </w:tc>
        <w:tc>
          <w:tcPr>
            <w:tcW w:w="3820" w:type="dxa"/>
            <w:vAlign w:val="bottom"/>
          </w:tcPr>
          <w:p>
            <w:pPr>
              <w:spacing w:after="0"/>
              <w:rPr>
                <w:sz w:val="14"/>
                <w:szCs w:val="14"/>
                <w:color w:val="auto"/>
              </w:rPr>
            </w:pPr>
          </w:p>
        </w:tc>
        <w:tc>
          <w:tcPr>
            <w:tcW w:w="15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600" w:type="dxa"/>
            <w:vAlign w:val="bottom"/>
            <w:gridSpan w:val="6"/>
          </w:tcPr>
          <w:p>
            <w:pPr>
              <w:jc w:val="right"/>
              <w:ind w:right="125"/>
              <w:spacing w:after="0"/>
              <w:rPr>
                <w:sz w:val="20"/>
                <w:szCs w:val="20"/>
                <w:color w:val="auto"/>
              </w:rPr>
            </w:pPr>
            <w:r>
              <w:rPr>
                <w:rFonts w:ascii="Arial" w:cs="Arial" w:eastAsia="Arial" w:hAnsi="Arial"/>
                <w:sz w:val="14"/>
                <w:szCs w:val="14"/>
                <w:b w:val="1"/>
                <w:bCs w:val="1"/>
                <w:color w:val="auto"/>
              </w:rPr>
              <w:t>Year Ended December 31,</w:t>
            </w:r>
          </w:p>
        </w:tc>
        <w:tc>
          <w:tcPr>
            <w:tcW w:w="8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1160" w:type="dxa"/>
            <w:vAlign w:val="bottom"/>
          </w:tcPr>
          <w:p>
            <w:pPr>
              <w:spacing w:after="0"/>
              <w:rPr>
                <w:sz w:val="14"/>
                <w:szCs w:val="14"/>
                <w:color w:val="auto"/>
              </w:rPr>
            </w:pPr>
          </w:p>
        </w:tc>
        <w:tc>
          <w:tcPr>
            <w:tcW w:w="3820" w:type="dxa"/>
            <w:vAlign w:val="bottom"/>
            <w:tcBorders>
              <w:bottom w:val="single" w:sz="8" w:color="CFF0FC"/>
            </w:tcBorders>
          </w:tcPr>
          <w:p>
            <w:pPr>
              <w:spacing w:after="0"/>
              <w:rPr>
                <w:sz w:val="14"/>
                <w:szCs w:val="14"/>
                <w:color w:val="auto"/>
              </w:rPr>
            </w:pPr>
          </w:p>
        </w:tc>
        <w:tc>
          <w:tcPr>
            <w:tcW w:w="1560" w:type="dxa"/>
            <w:vAlign w:val="bottom"/>
            <w:tcBorders>
              <w:bottom w:val="single" w:sz="8" w:color="CFF0FC"/>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jc w:val="right"/>
              <w:ind w:right="337"/>
              <w:spacing w:after="0"/>
              <w:rPr>
                <w:sz w:val="20"/>
                <w:szCs w:val="20"/>
                <w:color w:val="auto"/>
              </w:rPr>
            </w:pPr>
            <w:r>
              <w:rPr>
                <w:rFonts w:ascii="Arial" w:cs="Arial" w:eastAsia="Arial" w:hAnsi="Arial"/>
                <w:sz w:val="14"/>
                <w:szCs w:val="14"/>
                <w:b w:val="1"/>
                <w:bCs w:val="1"/>
                <w:color w:val="auto"/>
              </w:rPr>
              <w:t>2017</w:t>
            </w:r>
          </w:p>
        </w:tc>
        <w:tc>
          <w:tcPr>
            <w:tcW w:w="200" w:type="dxa"/>
            <w:vAlign w:val="bottom"/>
            <w:tcBorders>
              <w:bottom w:val="single" w:sz="8" w:color="CFF0FC"/>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jc w:val="right"/>
              <w:ind w:right="314"/>
              <w:spacing w:after="0"/>
              <w:rPr>
                <w:sz w:val="20"/>
                <w:szCs w:val="20"/>
                <w:color w:val="auto"/>
              </w:rPr>
            </w:pPr>
            <w:r>
              <w:rPr>
                <w:rFonts w:ascii="Arial" w:cs="Arial" w:eastAsia="Arial" w:hAnsi="Arial"/>
                <w:sz w:val="14"/>
                <w:szCs w:val="14"/>
                <w:b w:val="1"/>
                <w:bCs w:val="1"/>
                <w:color w:val="auto"/>
              </w:rPr>
              <w:t>2016</w:t>
            </w:r>
          </w:p>
        </w:tc>
        <w:tc>
          <w:tcPr>
            <w:tcW w:w="220" w:type="dxa"/>
            <w:vAlign w:val="bottom"/>
            <w:tcBorders>
              <w:bottom w:val="single" w:sz="8" w:color="CFF0FC"/>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jc w:val="right"/>
              <w:ind w:right="314"/>
              <w:spacing w:after="0"/>
              <w:rPr>
                <w:sz w:val="20"/>
                <w:szCs w:val="20"/>
                <w:color w:val="auto"/>
              </w:rPr>
            </w:pPr>
            <w:r>
              <w:rPr>
                <w:rFonts w:ascii="Arial" w:cs="Arial" w:eastAsia="Arial" w:hAnsi="Arial"/>
                <w:sz w:val="14"/>
                <w:szCs w:val="14"/>
                <w:b w:val="1"/>
                <w:bCs w:val="1"/>
                <w:color w:val="auto"/>
              </w:rPr>
              <w:t>2015</w:t>
            </w:r>
          </w:p>
        </w:tc>
        <w:tc>
          <w:tcPr>
            <w:tcW w:w="80" w:type="dxa"/>
            <w:vAlign w:val="bottom"/>
            <w:tcBorders>
              <w:bottom w:val="single" w:sz="8" w:color="CFF0FC"/>
            </w:tcBorders>
          </w:tcPr>
          <w:p>
            <w:pPr>
              <w:spacing w:after="0"/>
              <w:rPr>
                <w:sz w:val="14"/>
                <w:szCs w:val="14"/>
                <w:color w:val="auto"/>
              </w:rPr>
            </w:pPr>
          </w:p>
        </w:tc>
        <w:tc>
          <w:tcPr>
            <w:tcW w:w="1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3"/>
        </w:trPr>
        <w:tc>
          <w:tcPr>
            <w:tcW w:w="1160" w:type="dxa"/>
            <w:vAlign w:val="bottom"/>
          </w:tcPr>
          <w:p>
            <w:pPr>
              <w:spacing w:after="0"/>
              <w:rPr>
                <w:sz w:val="19"/>
                <w:szCs w:val="19"/>
                <w:color w:val="auto"/>
              </w:rPr>
            </w:pPr>
          </w:p>
        </w:tc>
        <w:tc>
          <w:tcPr>
            <w:tcW w:w="3820" w:type="dxa"/>
            <w:vAlign w:val="bottom"/>
            <w:shd w:val="clear" w:color="auto" w:fill="CFF0FC"/>
          </w:tcPr>
          <w:p>
            <w:pPr>
              <w:spacing w:after="0"/>
              <w:rPr>
                <w:sz w:val="20"/>
                <w:szCs w:val="20"/>
                <w:color w:val="auto"/>
              </w:rPr>
            </w:pPr>
            <w:r>
              <w:rPr>
                <w:rFonts w:ascii="Arial" w:cs="Arial" w:eastAsia="Arial" w:hAnsi="Arial"/>
                <w:sz w:val="18"/>
                <w:szCs w:val="18"/>
                <w:color w:val="auto"/>
              </w:rPr>
              <w:t>Domestic</w:t>
            </w:r>
          </w:p>
        </w:tc>
        <w:tc>
          <w:tcPr>
            <w:tcW w:w="1560" w:type="dxa"/>
            <w:vAlign w:val="bottom"/>
            <w:shd w:val="clear" w:color="auto" w:fill="CFF0FC"/>
          </w:tcPr>
          <w:p>
            <w:pPr>
              <w:spacing w:after="0"/>
              <w:rPr>
                <w:sz w:val="19"/>
                <w:szCs w:val="19"/>
                <w:color w:val="auto"/>
              </w:rPr>
            </w:pPr>
          </w:p>
        </w:tc>
        <w:tc>
          <w:tcPr>
            <w:tcW w:w="220" w:type="dxa"/>
            <w:vAlign w:val="bottom"/>
            <w:shd w:val="clear" w:color="auto" w:fill="CFF0FC"/>
          </w:tcPr>
          <w:p>
            <w:pPr>
              <w:jc w:val="right"/>
              <w:ind w:right="65"/>
              <w:spacing w:after="0"/>
              <w:rPr>
                <w:sz w:val="20"/>
                <w:szCs w:val="20"/>
                <w:color w:val="auto"/>
              </w:rPr>
            </w:pPr>
            <w:r>
              <w:rPr>
                <w:rFonts w:ascii="Arial" w:cs="Arial" w:eastAsia="Arial" w:hAnsi="Arial"/>
                <w:sz w:val="15"/>
                <w:szCs w:val="15"/>
                <w:color w:val="auto"/>
                <w:w w:val="71"/>
              </w:rPr>
              <w:t>$</w:t>
            </w: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(17,732)</w:t>
            </w:r>
          </w:p>
        </w:tc>
        <w:tc>
          <w:tcPr>
            <w:tcW w:w="200" w:type="dxa"/>
            <w:vAlign w:val="bottom"/>
            <w:shd w:val="clear" w:color="auto" w:fill="CFF0FC"/>
          </w:tcPr>
          <w:p>
            <w:pPr>
              <w:spacing w:after="0"/>
              <w:rPr>
                <w:sz w:val="19"/>
                <w:szCs w:val="19"/>
                <w:color w:val="auto"/>
              </w:rPr>
            </w:pPr>
          </w:p>
        </w:tc>
        <w:tc>
          <w:tcPr>
            <w:tcW w:w="24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w w:val="79"/>
              </w:rPr>
              <w:t>$</w:t>
            </w: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(21,696)</w:t>
            </w:r>
          </w:p>
        </w:tc>
        <w:tc>
          <w:tcPr>
            <w:tcW w:w="220" w:type="dxa"/>
            <w:vAlign w:val="bottom"/>
            <w:shd w:val="clear" w:color="auto" w:fill="CFF0FC"/>
          </w:tcPr>
          <w:p>
            <w:pPr>
              <w:spacing w:after="0"/>
              <w:rPr>
                <w:sz w:val="19"/>
                <w:szCs w:val="19"/>
                <w:color w:val="auto"/>
              </w:rPr>
            </w:pPr>
          </w:p>
        </w:tc>
        <w:tc>
          <w:tcPr>
            <w:tcW w:w="240" w:type="dxa"/>
            <w:vAlign w:val="bottom"/>
            <w:shd w:val="clear" w:color="auto" w:fill="CFF0FC"/>
          </w:tcPr>
          <w:p>
            <w:pPr>
              <w:jc w:val="right"/>
              <w:ind w:right="85"/>
              <w:spacing w:after="0"/>
              <w:rPr>
                <w:sz w:val="20"/>
                <w:szCs w:val="20"/>
                <w:color w:val="auto"/>
              </w:rPr>
            </w:pPr>
            <w:r>
              <w:rPr>
                <w:rFonts w:ascii="Arial" w:cs="Arial" w:eastAsia="Arial" w:hAnsi="Arial"/>
                <w:sz w:val="15"/>
                <w:szCs w:val="15"/>
                <w:color w:val="auto"/>
                <w:w w:val="71"/>
              </w:rPr>
              <w:t>$</w:t>
            </w: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(22,535)</w:t>
            </w:r>
          </w:p>
        </w:tc>
        <w:tc>
          <w:tcPr>
            <w:tcW w:w="80" w:type="dxa"/>
            <w:vAlign w:val="bottom"/>
            <w:shd w:val="clear" w:color="auto" w:fill="CFF0FC"/>
          </w:tcPr>
          <w:p>
            <w:pPr>
              <w:spacing w:after="0"/>
              <w:rPr>
                <w:sz w:val="19"/>
                <w:szCs w:val="19"/>
                <w:color w:val="auto"/>
              </w:rPr>
            </w:pPr>
          </w:p>
        </w:tc>
        <w:tc>
          <w:tcPr>
            <w:tcW w:w="1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160" w:type="dxa"/>
            <w:vAlign w:val="bottom"/>
          </w:tcPr>
          <w:p>
            <w:pPr>
              <w:spacing w:after="0"/>
              <w:rPr>
                <w:sz w:val="19"/>
                <w:szCs w:val="19"/>
                <w:color w:val="auto"/>
              </w:rPr>
            </w:pPr>
          </w:p>
        </w:tc>
        <w:tc>
          <w:tcPr>
            <w:tcW w:w="3820" w:type="dxa"/>
            <w:vAlign w:val="bottom"/>
          </w:tcPr>
          <w:p>
            <w:pPr>
              <w:spacing w:after="0"/>
              <w:rPr>
                <w:sz w:val="20"/>
                <w:szCs w:val="20"/>
                <w:color w:val="auto"/>
              </w:rPr>
            </w:pPr>
            <w:r>
              <w:rPr>
                <w:rFonts w:ascii="Arial" w:cs="Arial" w:eastAsia="Arial" w:hAnsi="Arial"/>
                <w:sz w:val="18"/>
                <w:szCs w:val="18"/>
                <w:color w:val="auto"/>
              </w:rPr>
              <w:t>Foreign</w:t>
            </w:r>
          </w:p>
        </w:tc>
        <w:tc>
          <w:tcPr>
            <w:tcW w:w="15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60" w:type="dxa"/>
            <w:vAlign w:val="bottom"/>
            <w:gridSpan w:val="2"/>
          </w:tcPr>
          <w:p>
            <w:pPr>
              <w:jc w:val="right"/>
              <w:ind w:right="160"/>
              <w:spacing w:after="0"/>
              <w:rPr>
                <w:sz w:val="20"/>
                <w:szCs w:val="20"/>
                <w:color w:val="auto"/>
              </w:rPr>
            </w:pPr>
            <w:r>
              <w:rPr>
                <w:rFonts w:ascii="Arial" w:cs="Arial" w:eastAsia="Arial" w:hAnsi="Arial"/>
                <w:sz w:val="18"/>
                <w:szCs w:val="18"/>
                <w:color w:val="auto"/>
              </w:rPr>
              <w:t>(54)</w:t>
            </w:r>
          </w:p>
        </w:tc>
        <w:tc>
          <w:tcPr>
            <w:tcW w:w="240" w:type="dxa"/>
            <w:vAlign w:val="bottom"/>
          </w:tcPr>
          <w:p>
            <w:pPr>
              <w:spacing w:after="0"/>
              <w:rPr>
                <w:sz w:val="19"/>
                <w:szCs w:val="19"/>
                <w:color w:val="auto"/>
              </w:rPr>
            </w:pPr>
          </w:p>
        </w:tc>
        <w:tc>
          <w:tcPr>
            <w:tcW w:w="1060" w:type="dxa"/>
            <w:vAlign w:val="bottom"/>
            <w:gridSpan w:val="2"/>
          </w:tcPr>
          <w:p>
            <w:pPr>
              <w:jc w:val="right"/>
              <w:ind w:right="160"/>
              <w:spacing w:after="0"/>
              <w:rPr>
                <w:sz w:val="20"/>
                <w:szCs w:val="20"/>
                <w:color w:val="auto"/>
              </w:rPr>
            </w:pPr>
            <w:r>
              <w:rPr>
                <w:rFonts w:ascii="Arial" w:cs="Arial" w:eastAsia="Arial" w:hAnsi="Arial"/>
                <w:sz w:val="18"/>
                <w:szCs w:val="18"/>
                <w:color w:val="auto"/>
              </w:rPr>
              <w:t>(150)</w:t>
            </w:r>
          </w:p>
        </w:tc>
        <w:tc>
          <w:tcPr>
            <w:tcW w:w="240" w:type="dxa"/>
            <w:vAlign w:val="bottom"/>
          </w:tcPr>
          <w:p>
            <w:pPr>
              <w:spacing w:after="0"/>
              <w:rPr>
                <w:sz w:val="19"/>
                <w:szCs w:val="19"/>
                <w:color w:val="auto"/>
              </w:rPr>
            </w:pPr>
          </w:p>
        </w:tc>
        <w:tc>
          <w:tcPr>
            <w:tcW w:w="920" w:type="dxa"/>
            <w:vAlign w:val="bottom"/>
            <w:gridSpan w:val="2"/>
          </w:tcPr>
          <w:p>
            <w:pPr>
              <w:jc w:val="right"/>
              <w:ind w:right="20"/>
              <w:spacing w:after="0"/>
              <w:rPr>
                <w:sz w:val="20"/>
                <w:szCs w:val="20"/>
                <w:color w:val="auto"/>
              </w:rPr>
            </w:pPr>
            <w:r>
              <w:rPr>
                <w:rFonts w:ascii="Arial" w:cs="Arial" w:eastAsia="Arial" w:hAnsi="Arial"/>
                <w:sz w:val="18"/>
                <w:szCs w:val="18"/>
                <w:color w:val="auto"/>
              </w:rPr>
              <w:t>(436)</w:t>
            </w:r>
          </w:p>
        </w:tc>
        <w:tc>
          <w:tcPr>
            <w:tcW w:w="1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1160" w:type="dxa"/>
            <w:vAlign w:val="bottom"/>
          </w:tcPr>
          <w:p>
            <w:pPr>
              <w:spacing w:after="0"/>
              <w:rPr>
                <w:sz w:val="19"/>
                <w:szCs w:val="19"/>
                <w:color w:val="auto"/>
              </w:rPr>
            </w:pPr>
          </w:p>
        </w:tc>
        <w:tc>
          <w:tcPr>
            <w:tcW w:w="3820" w:type="dxa"/>
            <w:vAlign w:val="bottom"/>
            <w:tcBorders>
              <w:top w:val="single" w:sz="8" w:color="CFF0FC"/>
              <w:bottom w:val="single" w:sz="8" w:color="CFF0FC"/>
            </w:tcBorders>
            <w:shd w:val="clear" w:color="auto" w:fill="CFF0FC"/>
          </w:tcPr>
          <w:p>
            <w:pPr>
              <w:ind w:left="120"/>
              <w:spacing w:after="0"/>
              <w:rPr>
                <w:sz w:val="20"/>
                <w:szCs w:val="20"/>
                <w:color w:val="auto"/>
              </w:rPr>
            </w:pPr>
            <w:r>
              <w:rPr>
                <w:rFonts w:ascii="Arial" w:cs="Arial" w:eastAsia="Arial" w:hAnsi="Arial"/>
                <w:sz w:val="18"/>
                <w:szCs w:val="18"/>
                <w:color w:val="auto"/>
              </w:rPr>
              <w:t>Net loss before provision for income taxes</w:t>
            </w:r>
          </w:p>
        </w:tc>
        <w:tc>
          <w:tcPr>
            <w:tcW w:w="1560" w:type="dxa"/>
            <w:vAlign w:val="bottom"/>
            <w:tcBorders>
              <w:top w:val="single" w:sz="8" w:color="CFF0FC"/>
              <w:bottom w:val="single" w:sz="8" w:color="CFF0FC"/>
            </w:tcBorders>
            <w:shd w:val="clear" w:color="auto" w:fill="CFF0FC"/>
          </w:tcPr>
          <w:p>
            <w:pPr>
              <w:spacing w:after="0"/>
              <w:rPr>
                <w:sz w:val="19"/>
                <w:szCs w:val="19"/>
                <w:color w:val="auto"/>
              </w:rPr>
            </w:pPr>
          </w:p>
        </w:tc>
        <w:tc>
          <w:tcPr>
            <w:tcW w:w="220" w:type="dxa"/>
            <w:vAlign w:val="bottom"/>
            <w:tcBorders>
              <w:top w:val="single" w:sz="8" w:color="auto"/>
              <w:bottom w:val="single" w:sz="8" w:color="auto"/>
            </w:tcBorders>
            <w:shd w:val="clear" w:color="auto" w:fill="CFF0FC"/>
          </w:tcPr>
          <w:p>
            <w:pPr>
              <w:jc w:val="right"/>
              <w:ind w:right="65"/>
              <w:spacing w:after="0"/>
              <w:rPr>
                <w:sz w:val="20"/>
                <w:szCs w:val="20"/>
                <w:color w:val="auto"/>
              </w:rPr>
            </w:pPr>
            <w:r>
              <w:rPr>
                <w:rFonts w:ascii="Arial" w:cs="Arial" w:eastAsia="Arial" w:hAnsi="Arial"/>
                <w:sz w:val="15"/>
                <w:szCs w:val="15"/>
                <w:color w:val="auto"/>
                <w:w w:val="71"/>
              </w:rPr>
              <w:t>$</w:t>
            </w:r>
          </w:p>
        </w:tc>
        <w:tc>
          <w:tcPr>
            <w:tcW w:w="8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(17,786)</w:t>
            </w:r>
          </w:p>
        </w:tc>
        <w:tc>
          <w:tcPr>
            <w:tcW w:w="200" w:type="dxa"/>
            <w:vAlign w:val="bottom"/>
            <w:tcBorders>
              <w:top w:val="single" w:sz="8" w:color="CFF0FC"/>
              <w:bottom w:val="single" w:sz="8" w:color="CFF0FC"/>
            </w:tcBorders>
            <w:shd w:val="clear" w:color="auto" w:fill="CFF0FC"/>
          </w:tcPr>
          <w:p>
            <w:pPr>
              <w:spacing w:after="0"/>
              <w:rPr>
                <w:sz w:val="19"/>
                <w:szCs w:val="19"/>
                <w:color w:val="auto"/>
              </w:rPr>
            </w:pPr>
          </w:p>
        </w:tc>
        <w:tc>
          <w:tcPr>
            <w:tcW w:w="240" w:type="dxa"/>
            <w:vAlign w:val="bottom"/>
            <w:tcBorders>
              <w:top w:val="single" w:sz="8" w:color="auto"/>
              <w:bottom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color w:val="auto"/>
                <w:w w:val="79"/>
              </w:rPr>
              <w:t>$</w:t>
            </w:r>
          </w:p>
        </w:tc>
        <w:tc>
          <w:tcPr>
            <w:tcW w:w="8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(21,846)</w:t>
            </w:r>
          </w:p>
        </w:tc>
        <w:tc>
          <w:tcPr>
            <w:tcW w:w="220" w:type="dxa"/>
            <w:vAlign w:val="bottom"/>
            <w:tcBorders>
              <w:top w:val="single" w:sz="8" w:color="CFF0FC"/>
              <w:bottom w:val="single" w:sz="8" w:color="CFF0FC"/>
            </w:tcBorders>
            <w:shd w:val="clear" w:color="auto" w:fill="CFF0FC"/>
          </w:tcPr>
          <w:p>
            <w:pPr>
              <w:spacing w:after="0"/>
              <w:rPr>
                <w:sz w:val="19"/>
                <w:szCs w:val="19"/>
                <w:color w:val="auto"/>
              </w:rPr>
            </w:pPr>
          </w:p>
        </w:tc>
        <w:tc>
          <w:tcPr>
            <w:tcW w:w="240" w:type="dxa"/>
            <w:vAlign w:val="bottom"/>
            <w:tcBorders>
              <w:top w:val="single" w:sz="8" w:color="auto"/>
              <w:bottom w:val="single" w:sz="8" w:color="auto"/>
            </w:tcBorders>
            <w:shd w:val="clear" w:color="auto" w:fill="CFF0FC"/>
          </w:tcPr>
          <w:p>
            <w:pPr>
              <w:jc w:val="right"/>
              <w:ind w:right="85"/>
              <w:spacing w:after="0"/>
              <w:rPr>
                <w:sz w:val="20"/>
                <w:szCs w:val="20"/>
                <w:color w:val="auto"/>
              </w:rPr>
            </w:pPr>
            <w:r>
              <w:rPr>
                <w:rFonts w:ascii="Arial" w:cs="Arial" w:eastAsia="Arial" w:hAnsi="Arial"/>
                <w:sz w:val="15"/>
                <w:szCs w:val="15"/>
                <w:color w:val="auto"/>
                <w:w w:val="71"/>
              </w:rPr>
              <w:t>$</w:t>
            </w:r>
          </w:p>
        </w:tc>
        <w:tc>
          <w:tcPr>
            <w:tcW w:w="8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(22,971)</w:t>
            </w:r>
          </w:p>
        </w:tc>
        <w:tc>
          <w:tcPr>
            <w:tcW w:w="80" w:type="dxa"/>
            <w:vAlign w:val="bottom"/>
            <w:tcBorders>
              <w:top w:val="single" w:sz="8" w:color="CFF0FC"/>
              <w:bottom w:val="single" w:sz="8" w:color="CFF0FC"/>
            </w:tcBorders>
            <w:shd w:val="clear" w:color="auto" w:fill="CFF0FC"/>
          </w:tcPr>
          <w:p>
            <w:pPr>
              <w:spacing w:after="0"/>
              <w:rPr>
                <w:sz w:val="19"/>
                <w:szCs w:val="19"/>
                <w:color w:val="auto"/>
              </w:rPr>
            </w:pPr>
          </w:p>
        </w:tc>
        <w:tc>
          <w:tcPr>
            <w:tcW w:w="1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160" w:type="dxa"/>
            <w:vAlign w:val="bottom"/>
          </w:tcPr>
          <w:p>
            <w:pPr>
              <w:spacing w:after="0" w:line="20" w:lineRule="exact"/>
              <w:rPr>
                <w:sz w:val="1"/>
                <w:szCs w:val="1"/>
                <w:color w:val="auto"/>
              </w:rPr>
            </w:pPr>
          </w:p>
        </w:tc>
        <w:tc>
          <w:tcPr>
            <w:tcW w:w="3820" w:type="dxa"/>
            <w:vAlign w:val="bottom"/>
          </w:tcPr>
          <w:p>
            <w:pPr>
              <w:spacing w:after="0" w:line="20" w:lineRule="exact"/>
              <w:rPr>
                <w:sz w:val="1"/>
                <w:szCs w:val="1"/>
                <w:color w:val="auto"/>
              </w:rPr>
            </w:pPr>
          </w:p>
        </w:tc>
        <w:tc>
          <w:tcPr>
            <w:tcW w:w="1560" w:type="dxa"/>
            <w:vAlign w:val="bottom"/>
            <w:vMerge w:val="restart"/>
          </w:tcPr>
          <w:p>
            <w:pPr>
              <w:jc w:val="right"/>
              <w:ind w:right="650"/>
              <w:spacing w:after="0"/>
              <w:rPr>
                <w:sz w:val="20"/>
                <w:szCs w:val="20"/>
                <w:color w:val="auto"/>
              </w:rPr>
            </w:pPr>
            <w:r>
              <w:rPr>
                <w:rFonts w:ascii="Arial" w:cs="Arial" w:eastAsia="Arial" w:hAnsi="Arial"/>
                <w:sz w:val="18"/>
                <w:szCs w:val="18"/>
                <w:color w:val="auto"/>
              </w:rPr>
              <w:t>96</w:t>
            </w:r>
          </w:p>
        </w:tc>
        <w:tc>
          <w:tcPr>
            <w:tcW w:w="22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15"/>
        </w:trPr>
        <w:tc>
          <w:tcPr>
            <w:tcW w:w="1160" w:type="dxa"/>
            <w:vAlign w:val="bottom"/>
          </w:tcPr>
          <w:p>
            <w:pPr>
              <w:spacing w:after="0"/>
              <w:rPr>
                <w:sz w:val="24"/>
                <w:szCs w:val="24"/>
                <w:color w:val="auto"/>
              </w:rPr>
            </w:pPr>
          </w:p>
        </w:tc>
        <w:tc>
          <w:tcPr>
            <w:tcW w:w="3820" w:type="dxa"/>
            <w:vAlign w:val="bottom"/>
          </w:tcPr>
          <w:p>
            <w:pPr>
              <w:spacing w:after="0"/>
              <w:rPr>
                <w:sz w:val="24"/>
                <w:szCs w:val="24"/>
                <w:color w:val="auto"/>
              </w:rPr>
            </w:pPr>
          </w:p>
        </w:tc>
        <w:tc>
          <w:tcPr>
            <w:tcW w:w="1560" w:type="dxa"/>
            <w:vAlign w:val="bottom"/>
            <w:vMerge w:val="continue"/>
          </w:tcPr>
          <w:p>
            <w:pPr>
              <w:spacing w:after="0"/>
              <w:rPr>
                <w:sz w:val="24"/>
                <w:szCs w:val="24"/>
                <w:color w:val="auto"/>
              </w:rPr>
            </w:pPr>
          </w:p>
        </w:tc>
        <w:tc>
          <w:tcPr>
            <w:tcW w:w="2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1160" w:type="dxa"/>
            <w:vAlign w:val="bottom"/>
            <w:tcBorders>
              <w:bottom w:val="single" w:sz="8" w:color="9A9A9A"/>
            </w:tcBorders>
          </w:tcPr>
          <w:p>
            <w:pPr>
              <w:spacing w:after="0"/>
              <w:rPr>
                <w:sz w:val="10"/>
                <w:szCs w:val="10"/>
                <w:color w:val="auto"/>
              </w:rPr>
            </w:pPr>
          </w:p>
        </w:tc>
        <w:tc>
          <w:tcPr>
            <w:tcW w:w="3820" w:type="dxa"/>
            <w:vAlign w:val="bottom"/>
            <w:tcBorders>
              <w:bottom w:val="single" w:sz="8" w:color="9A9A9A"/>
            </w:tcBorders>
          </w:tcPr>
          <w:p>
            <w:pPr>
              <w:spacing w:after="0"/>
              <w:rPr>
                <w:sz w:val="10"/>
                <w:szCs w:val="10"/>
                <w:color w:val="auto"/>
              </w:rPr>
            </w:pPr>
          </w:p>
        </w:tc>
        <w:tc>
          <w:tcPr>
            <w:tcW w:w="156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860" w:type="dxa"/>
            <w:vAlign w:val="bottom"/>
            <w:tcBorders>
              <w:bottom w:val="single" w:sz="8" w:color="9A9A9A"/>
            </w:tcBorders>
          </w:tcPr>
          <w:p>
            <w:pPr>
              <w:spacing w:after="0"/>
              <w:rPr>
                <w:sz w:val="10"/>
                <w:szCs w:val="10"/>
                <w:color w:val="auto"/>
              </w:rPr>
            </w:pPr>
          </w:p>
        </w:tc>
        <w:tc>
          <w:tcPr>
            <w:tcW w:w="200" w:type="dxa"/>
            <w:vAlign w:val="bottom"/>
            <w:tcBorders>
              <w:bottom w:val="single" w:sz="8" w:color="9A9A9A"/>
            </w:tcBorders>
          </w:tcPr>
          <w:p>
            <w:pPr>
              <w:spacing w:after="0"/>
              <w:rPr>
                <w:sz w:val="10"/>
                <w:szCs w:val="10"/>
                <w:color w:val="auto"/>
              </w:rPr>
            </w:pPr>
          </w:p>
        </w:tc>
        <w:tc>
          <w:tcPr>
            <w:tcW w:w="240" w:type="dxa"/>
            <w:vAlign w:val="bottom"/>
            <w:tcBorders>
              <w:bottom w:val="single" w:sz="8" w:color="9A9A9A"/>
            </w:tcBorders>
          </w:tcPr>
          <w:p>
            <w:pPr>
              <w:spacing w:after="0"/>
              <w:rPr>
                <w:sz w:val="10"/>
                <w:szCs w:val="10"/>
                <w:color w:val="auto"/>
              </w:rPr>
            </w:pPr>
          </w:p>
        </w:tc>
        <w:tc>
          <w:tcPr>
            <w:tcW w:w="84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240" w:type="dxa"/>
            <w:vAlign w:val="bottom"/>
            <w:tcBorders>
              <w:bottom w:val="single" w:sz="8" w:color="9A9A9A"/>
            </w:tcBorders>
          </w:tcPr>
          <w:p>
            <w:pPr>
              <w:spacing w:after="0"/>
              <w:rPr>
                <w:sz w:val="10"/>
                <w:szCs w:val="10"/>
                <w:color w:val="auto"/>
              </w:rPr>
            </w:pPr>
          </w:p>
        </w:tc>
        <w:tc>
          <w:tcPr>
            <w:tcW w:w="84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116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7247255</wp:posOffset>
            </wp:positionH>
            <wp:positionV relativeFrom="paragraph">
              <wp:posOffset>-29210</wp:posOffset>
            </wp:positionV>
            <wp:extent cx="34290" cy="4254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440"/>
          </w:cols>
          <w:pgMar w:left="240" w:top="449" w:right="219" w:bottom="1440" w:gutter="0" w:footer="0" w:header="0"/>
        </w:sectPr>
      </w:pPr>
    </w:p>
    <w:bookmarkStart w:id="97" w:name="page98"/>
    <w:bookmarkEnd w:id="97"/>
    <w:p>
      <w:pPr>
        <w:spacing w:after="0"/>
        <w:rPr>
          <w:sz w:val="20"/>
          <w:szCs w:val="20"/>
          <w:color w:val="auto"/>
        </w:rPr>
      </w:pPr>
      <w:r>
        <w:rPr>
          <w:rFonts w:ascii="Arial" w:cs="Arial" w:eastAsia="Arial" w:hAnsi="Arial"/>
          <w:sz w:val="18"/>
          <w:szCs w:val="18"/>
          <w:color w:val="auto"/>
        </w:rPr>
        <w:t>The components of the provision for income taxes are as follows:</w:t>
      </w:r>
    </w:p>
    <w:p>
      <w:pPr>
        <w:spacing w:after="0" w:line="284" w:lineRule="exact"/>
        <w:rPr>
          <w:sz w:val="20"/>
          <w:szCs w:val="20"/>
          <w:color w:val="auto"/>
        </w:rPr>
      </w:pPr>
    </w:p>
    <w:tbl>
      <w:tblPr>
        <w:tblLayout w:type="fixed"/>
        <w:tblInd w:w="114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402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780" w:type="dxa"/>
            <w:vAlign w:val="bottom"/>
            <w:tcBorders>
              <w:bottom w:val="single" w:sz="8" w:color="auto"/>
            </w:tcBorders>
          </w:tcPr>
          <w:p>
            <w:pPr>
              <w:spacing w:after="0"/>
              <w:rPr>
                <w:sz w:val="14"/>
                <w:szCs w:val="14"/>
                <w:color w:val="auto"/>
              </w:rPr>
            </w:pPr>
          </w:p>
        </w:tc>
        <w:tc>
          <w:tcPr>
            <w:tcW w:w="2020" w:type="dxa"/>
            <w:vAlign w:val="bottom"/>
            <w:tcBorders>
              <w:bottom w:val="single" w:sz="8" w:color="auto"/>
            </w:tcBorders>
            <w:gridSpan w:val="8"/>
          </w:tcPr>
          <w:p>
            <w:pPr>
              <w:jc w:val="right"/>
              <w:ind w:right="105"/>
              <w:spacing w:after="0"/>
              <w:rPr>
                <w:sz w:val="20"/>
                <w:szCs w:val="20"/>
                <w:color w:val="auto"/>
              </w:rPr>
            </w:pPr>
            <w:r>
              <w:rPr>
                <w:rFonts w:ascii="Arial" w:cs="Arial" w:eastAsia="Arial" w:hAnsi="Arial"/>
                <w:sz w:val="14"/>
                <w:szCs w:val="14"/>
                <w:b w:val="1"/>
                <w:bCs w:val="1"/>
                <w:color w:val="auto"/>
              </w:rPr>
              <w:t>Year Ended December 31,</w:t>
            </w:r>
          </w:p>
        </w:tc>
        <w:tc>
          <w:tcPr>
            <w:tcW w:w="860" w:type="dxa"/>
            <w:vAlign w:val="bottom"/>
            <w:tcBorders>
              <w:bottom w:val="single" w:sz="8" w:color="auto"/>
            </w:tcBorders>
          </w:tcPr>
          <w:p>
            <w:pPr>
              <w:spacing w:after="0"/>
              <w:rPr>
                <w:sz w:val="14"/>
                <w:szCs w:val="14"/>
                <w:color w:val="auto"/>
              </w:rPr>
            </w:pPr>
          </w:p>
        </w:tc>
        <w:tc>
          <w:tcPr>
            <w:tcW w:w="80" w:type="dxa"/>
            <w:vAlign w:val="bottom"/>
          </w:tcPr>
          <w:p>
            <w:pPr>
              <w:spacing w:after="0"/>
              <w:rPr>
                <w:sz w:val="14"/>
                <w:szCs w:val="14"/>
                <w:color w:val="auto"/>
              </w:rPr>
            </w:pPr>
          </w:p>
        </w:tc>
      </w:tr>
      <w:tr>
        <w:trPr>
          <w:trHeight w:val="156"/>
        </w:trPr>
        <w:tc>
          <w:tcPr>
            <w:tcW w:w="20" w:type="dxa"/>
            <w:vAlign w:val="bottom"/>
          </w:tcPr>
          <w:p>
            <w:pPr>
              <w:spacing w:after="0"/>
              <w:rPr>
                <w:sz w:val="13"/>
                <w:szCs w:val="13"/>
                <w:color w:val="auto"/>
              </w:rPr>
            </w:pPr>
          </w:p>
        </w:tc>
        <w:tc>
          <w:tcPr>
            <w:tcW w:w="4020" w:type="dxa"/>
            <w:vAlign w:val="bottom"/>
            <w:tcBorders>
              <w:bottom w:val="single" w:sz="8" w:color="CFF0FC"/>
            </w:tcBorders>
          </w:tcPr>
          <w:p>
            <w:pPr>
              <w:spacing w:after="0"/>
              <w:rPr>
                <w:sz w:val="13"/>
                <w:szCs w:val="13"/>
                <w:color w:val="auto"/>
              </w:rPr>
            </w:pPr>
          </w:p>
        </w:tc>
        <w:tc>
          <w:tcPr>
            <w:tcW w:w="1360" w:type="dxa"/>
            <w:vAlign w:val="bottom"/>
            <w:tcBorders>
              <w:bottom w:val="single" w:sz="8" w:color="CFF0FC"/>
            </w:tcBorders>
          </w:tcPr>
          <w:p>
            <w:pPr>
              <w:spacing w:after="0"/>
              <w:rPr>
                <w:sz w:val="13"/>
                <w:szCs w:val="13"/>
                <w:color w:val="auto"/>
              </w:rPr>
            </w:pPr>
          </w:p>
        </w:tc>
        <w:tc>
          <w:tcPr>
            <w:tcW w:w="780" w:type="dxa"/>
            <w:vAlign w:val="bottom"/>
            <w:tcBorders>
              <w:bottom w:val="single" w:sz="8" w:color="auto"/>
            </w:tcBorders>
          </w:tcPr>
          <w:p>
            <w:pPr>
              <w:jc w:val="right"/>
              <w:ind w:right="26"/>
              <w:spacing w:after="0" w:line="155" w:lineRule="exact"/>
              <w:rPr>
                <w:sz w:val="20"/>
                <w:szCs w:val="20"/>
                <w:color w:val="auto"/>
              </w:rPr>
            </w:pPr>
            <w:r>
              <w:rPr>
                <w:rFonts w:ascii="Arial" w:cs="Arial" w:eastAsia="Arial" w:hAnsi="Arial"/>
                <w:sz w:val="14"/>
                <w:szCs w:val="14"/>
                <w:b w:val="1"/>
                <w:bCs w:val="1"/>
                <w:color w:val="auto"/>
              </w:rPr>
              <w:t>2017</w:t>
            </w:r>
          </w:p>
        </w:tc>
        <w:tc>
          <w:tcPr>
            <w:tcW w:w="300" w:type="dxa"/>
            <w:vAlign w:val="bottom"/>
            <w:tcBorders>
              <w:bottom w:val="single" w:sz="8" w:color="auto"/>
            </w:tcBorders>
          </w:tcPr>
          <w:p>
            <w:pPr>
              <w:spacing w:after="0"/>
              <w:rPr>
                <w:sz w:val="13"/>
                <w:szCs w:val="13"/>
                <w:color w:val="auto"/>
              </w:rPr>
            </w:pPr>
          </w:p>
        </w:tc>
        <w:tc>
          <w:tcPr>
            <w:tcW w:w="120" w:type="dxa"/>
            <w:vAlign w:val="bottom"/>
            <w:tcBorders>
              <w:bottom w:val="single" w:sz="8" w:color="CFF0FC"/>
            </w:tcBorders>
          </w:tcPr>
          <w:p>
            <w:pPr>
              <w:spacing w:after="0"/>
              <w:rPr>
                <w:sz w:val="13"/>
                <w:szCs w:val="13"/>
                <w:color w:val="auto"/>
              </w:rPr>
            </w:pPr>
          </w:p>
        </w:tc>
        <w:tc>
          <w:tcPr>
            <w:tcW w:w="80" w:type="dxa"/>
            <w:vAlign w:val="bottom"/>
            <w:tcBorders>
              <w:bottom w:val="single" w:sz="8" w:color="CFF0FC"/>
            </w:tcBorders>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840" w:type="dxa"/>
            <w:vAlign w:val="bottom"/>
            <w:tcBorders>
              <w:bottom w:val="single" w:sz="8" w:color="auto"/>
            </w:tcBorders>
          </w:tcPr>
          <w:p>
            <w:pPr>
              <w:jc w:val="right"/>
              <w:ind w:right="312"/>
              <w:spacing w:after="0" w:line="155" w:lineRule="exact"/>
              <w:rPr>
                <w:sz w:val="20"/>
                <w:szCs w:val="20"/>
                <w:color w:val="auto"/>
              </w:rPr>
            </w:pPr>
            <w:r>
              <w:rPr>
                <w:rFonts w:ascii="Arial" w:cs="Arial" w:eastAsia="Arial" w:hAnsi="Arial"/>
                <w:sz w:val="14"/>
                <w:szCs w:val="14"/>
                <w:b w:val="1"/>
                <w:bCs w:val="1"/>
                <w:color w:val="auto"/>
              </w:rPr>
              <w:t>2016</w:t>
            </w:r>
          </w:p>
        </w:tc>
        <w:tc>
          <w:tcPr>
            <w:tcW w:w="200" w:type="dxa"/>
            <w:vAlign w:val="bottom"/>
            <w:tcBorders>
              <w:bottom w:val="single" w:sz="8" w:color="CFF0FC"/>
            </w:tcBorders>
          </w:tcPr>
          <w:p>
            <w:pPr>
              <w:spacing w:after="0"/>
              <w:rPr>
                <w:sz w:val="13"/>
                <w:szCs w:val="13"/>
                <w:color w:val="auto"/>
              </w:rPr>
            </w:pPr>
          </w:p>
        </w:tc>
        <w:tc>
          <w:tcPr>
            <w:tcW w:w="20" w:type="dxa"/>
            <w:vAlign w:val="bottom"/>
            <w:tcBorders>
              <w:bottom w:val="single" w:sz="8" w:color="CFF0FC"/>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860" w:type="dxa"/>
            <w:vAlign w:val="bottom"/>
            <w:tcBorders>
              <w:bottom w:val="single" w:sz="8" w:color="auto"/>
            </w:tcBorders>
          </w:tcPr>
          <w:p>
            <w:pPr>
              <w:jc w:val="right"/>
              <w:ind w:right="332"/>
              <w:spacing w:after="0" w:line="155" w:lineRule="exact"/>
              <w:rPr>
                <w:sz w:val="20"/>
                <w:szCs w:val="20"/>
                <w:color w:val="auto"/>
              </w:rPr>
            </w:pPr>
            <w:r>
              <w:rPr>
                <w:rFonts w:ascii="Arial" w:cs="Arial" w:eastAsia="Arial" w:hAnsi="Arial"/>
                <w:sz w:val="14"/>
                <w:szCs w:val="14"/>
                <w:b w:val="1"/>
                <w:bCs w:val="1"/>
                <w:color w:val="auto"/>
              </w:rPr>
              <w:t>2015</w:t>
            </w:r>
          </w:p>
        </w:tc>
        <w:tc>
          <w:tcPr>
            <w:tcW w:w="80" w:type="dxa"/>
            <w:vAlign w:val="bottom"/>
            <w:tcBorders>
              <w:bottom w:val="single" w:sz="8" w:color="CFF0FC"/>
            </w:tcBorders>
          </w:tcPr>
          <w:p>
            <w:pPr>
              <w:spacing w:after="0"/>
              <w:rPr>
                <w:sz w:val="13"/>
                <w:szCs w:val="13"/>
                <w:color w:val="auto"/>
              </w:rPr>
            </w:pPr>
          </w:p>
        </w:tc>
      </w:tr>
      <w:tr>
        <w:trPr>
          <w:trHeight w:val="223"/>
        </w:trPr>
        <w:tc>
          <w:tcPr>
            <w:tcW w:w="20" w:type="dxa"/>
            <w:vAlign w:val="bottom"/>
          </w:tcPr>
          <w:p>
            <w:pPr>
              <w:spacing w:after="0"/>
              <w:rPr>
                <w:sz w:val="19"/>
                <w:szCs w:val="19"/>
                <w:color w:val="auto"/>
              </w:rPr>
            </w:pPr>
          </w:p>
        </w:tc>
        <w:tc>
          <w:tcPr>
            <w:tcW w:w="4020" w:type="dxa"/>
            <w:vAlign w:val="bottom"/>
            <w:shd w:val="clear" w:color="auto" w:fill="CFF0FC"/>
          </w:tcPr>
          <w:p>
            <w:pPr>
              <w:spacing w:after="0"/>
              <w:rPr>
                <w:sz w:val="20"/>
                <w:szCs w:val="20"/>
                <w:color w:val="auto"/>
              </w:rPr>
            </w:pPr>
            <w:r>
              <w:rPr>
                <w:rFonts w:ascii="Arial" w:cs="Arial" w:eastAsia="Arial" w:hAnsi="Arial"/>
                <w:sz w:val="18"/>
                <w:szCs w:val="18"/>
                <w:color w:val="auto"/>
              </w:rPr>
              <w:t>Current tax provision:</w:t>
            </w:r>
          </w:p>
        </w:tc>
        <w:tc>
          <w:tcPr>
            <w:tcW w:w="1360" w:type="dxa"/>
            <w:vAlign w:val="bottom"/>
            <w:shd w:val="clear" w:color="auto" w:fill="CFF0FC"/>
          </w:tcPr>
          <w:p>
            <w:pPr>
              <w:spacing w:after="0"/>
              <w:rPr>
                <w:sz w:val="19"/>
                <w:szCs w:val="19"/>
                <w:color w:val="auto"/>
              </w:rPr>
            </w:pPr>
          </w:p>
        </w:tc>
        <w:tc>
          <w:tcPr>
            <w:tcW w:w="78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84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8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r>
      <w:tr>
        <w:trPr>
          <w:trHeight w:val="230"/>
        </w:trPr>
        <w:tc>
          <w:tcPr>
            <w:tcW w:w="20" w:type="dxa"/>
            <w:vAlign w:val="bottom"/>
          </w:tcPr>
          <w:p>
            <w:pPr>
              <w:spacing w:after="0"/>
              <w:rPr>
                <w:sz w:val="19"/>
                <w:szCs w:val="19"/>
                <w:color w:val="auto"/>
              </w:rPr>
            </w:pPr>
          </w:p>
        </w:tc>
        <w:tc>
          <w:tcPr>
            <w:tcW w:w="4020" w:type="dxa"/>
            <w:vAlign w:val="bottom"/>
          </w:tcPr>
          <w:p>
            <w:pPr>
              <w:ind w:left="240"/>
              <w:spacing w:after="0"/>
              <w:rPr>
                <w:sz w:val="20"/>
                <w:szCs w:val="20"/>
                <w:color w:val="auto"/>
              </w:rPr>
            </w:pPr>
            <w:r>
              <w:rPr>
                <w:rFonts w:ascii="Arial" w:cs="Arial" w:eastAsia="Arial" w:hAnsi="Arial"/>
                <w:sz w:val="18"/>
                <w:szCs w:val="18"/>
                <w:color w:val="auto"/>
              </w:rPr>
              <w:t>Federal</w:t>
            </w:r>
          </w:p>
        </w:tc>
        <w:tc>
          <w:tcPr>
            <w:tcW w:w="2140" w:type="dxa"/>
            <w:vAlign w:val="bottom"/>
            <w:gridSpan w:val="2"/>
          </w:tcPr>
          <w:p>
            <w:pPr>
              <w:jc w:val="right"/>
              <w:ind w:right="626"/>
              <w:spacing w:after="0"/>
              <w:rPr>
                <w:sz w:val="20"/>
                <w:szCs w:val="20"/>
                <w:color w:val="auto"/>
              </w:rPr>
            </w:pPr>
            <w:r>
              <w:rPr>
                <w:rFonts w:ascii="Arial" w:cs="Arial" w:eastAsia="Arial" w:hAnsi="Arial"/>
                <w:sz w:val="18"/>
                <w:szCs w:val="18"/>
                <w:color w:val="auto"/>
              </w:rPr>
              <w:t>$</w:t>
            </w:r>
          </w:p>
        </w:tc>
        <w:tc>
          <w:tcPr>
            <w:tcW w:w="42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320" w:type="dxa"/>
            <w:vAlign w:val="bottom"/>
            <w:gridSpan w:val="2"/>
          </w:tcPr>
          <w:p>
            <w:pPr>
              <w:jc w:val="right"/>
              <w:ind w:right="50"/>
              <w:spacing w:after="0"/>
              <w:rPr>
                <w:sz w:val="20"/>
                <w:szCs w:val="20"/>
                <w:color w:val="auto"/>
              </w:rPr>
            </w:pPr>
            <w:r>
              <w:rPr>
                <w:rFonts w:ascii="Arial" w:cs="Arial" w:eastAsia="Arial" w:hAnsi="Arial"/>
                <w:sz w:val="18"/>
                <w:szCs w:val="18"/>
                <w:color w:val="auto"/>
              </w:rPr>
              <w:t>$</w:t>
            </w:r>
          </w:p>
        </w:tc>
        <w:tc>
          <w:tcPr>
            <w:tcW w:w="10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gridSpan w:val="2"/>
          </w:tcPr>
          <w:p>
            <w:pPr>
              <w:jc w:val="right"/>
              <w:ind w:right="65"/>
              <w:spacing w:after="0"/>
              <w:rPr>
                <w:sz w:val="20"/>
                <w:szCs w:val="20"/>
                <w:color w:val="auto"/>
              </w:rPr>
            </w:pPr>
            <w:r>
              <w:rPr>
                <w:rFonts w:ascii="Arial" w:cs="Arial" w:eastAsia="Arial" w:hAnsi="Arial"/>
                <w:sz w:val="18"/>
                <w:szCs w:val="18"/>
                <w:color w:val="auto"/>
                <w:w w:val="79"/>
              </w:rPr>
              <w:t>$</w:t>
            </w: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230"/>
        </w:trPr>
        <w:tc>
          <w:tcPr>
            <w:tcW w:w="20" w:type="dxa"/>
            <w:vAlign w:val="bottom"/>
          </w:tcPr>
          <w:p>
            <w:pPr>
              <w:spacing w:after="0"/>
              <w:rPr>
                <w:sz w:val="19"/>
                <w:szCs w:val="19"/>
                <w:color w:val="auto"/>
              </w:rPr>
            </w:pPr>
          </w:p>
        </w:tc>
        <w:tc>
          <w:tcPr>
            <w:tcW w:w="4020" w:type="dxa"/>
            <w:vAlign w:val="bottom"/>
            <w:shd w:val="clear" w:color="auto" w:fill="CFF0FC"/>
          </w:tcPr>
          <w:p>
            <w:pPr>
              <w:ind w:left="240"/>
              <w:spacing w:after="0"/>
              <w:rPr>
                <w:sz w:val="20"/>
                <w:szCs w:val="20"/>
                <w:color w:val="auto"/>
              </w:rPr>
            </w:pPr>
            <w:r>
              <w:rPr>
                <w:rFonts w:ascii="Arial" w:cs="Arial" w:eastAsia="Arial" w:hAnsi="Arial"/>
                <w:sz w:val="18"/>
                <w:szCs w:val="18"/>
                <w:color w:val="auto"/>
              </w:rPr>
              <w:t>State</w:t>
            </w:r>
          </w:p>
        </w:tc>
        <w:tc>
          <w:tcPr>
            <w:tcW w:w="1360" w:type="dxa"/>
            <w:vAlign w:val="bottom"/>
            <w:shd w:val="clear" w:color="auto" w:fill="CFF0FC"/>
          </w:tcPr>
          <w:p>
            <w:pPr>
              <w:spacing w:after="0"/>
              <w:rPr>
                <w:sz w:val="19"/>
                <w:szCs w:val="19"/>
                <w:color w:val="auto"/>
              </w:rPr>
            </w:pPr>
          </w:p>
        </w:tc>
        <w:tc>
          <w:tcPr>
            <w:tcW w:w="780" w:type="dxa"/>
            <w:vAlign w:val="bottom"/>
            <w:shd w:val="clear" w:color="auto" w:fill="CFF0FC"/>
          </w:tcPr>
          <w:p>
            <w:pPr>
              <w:spacing w:after="0"/>
              <w:rPr>
                <w:sz w:val="19"/>
                <w:szCs w:val="19"/>
                <w:color w:val="auto"/>
              </w:rPr>
            </w:pPr>
          </w:p>
        </w:tc>
        <w:tc>
          <w:tcPr>
            <w:tcW w:w="3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w:t>
            </w:r>
          </w:p>
        </w:tc>
        <w:tc>
          <w:tcPr>
            <w:tcW w:w="1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w:t>
            </w:r>
          </w:p>
        </w:tc>
        <w:tc>
          <w:tcPr>
            <w:tcW w:w="20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w:t>
            </w:r>
          </w:p>
        </w:tc>
        <w:tc>
          <w:tcPr>
            <w:tcW w:w="80" w:type="dxa"/>
            <w:vAlign w:val="bottom"/>
            <w:shd w:val="clear" w:color="auto" w:fill="CFF0FC"/>
          </w:tcPr>
          <w:p>
            <w:pPr>
              <w:spacing w:after="0"/>
              <w:rPr>
                <w:sz w:val="19"/>
                <w:szCs w:val="19"/>
                <w:color w:val="auto"/>
              </w:rPr>
            </w:pPr>
          </w:p>
        </w:tc>
      </w:tr>
      <w:tr>
        <w:trPr>
          <w:trHeight w:val="230"/>
        </w:trPr>
        <w:tc>
          <w:tcPr>
            <w:tcW w:w="20" w:type="dxa"/>
            <w:vAlign w:val="bottom"/>
          </w:tcPr>
          <w:p>
            <w:pPr>
              <w:spacing w:after="0"/>
              <w:rPr>
                <w:sz w:val="19"/>
                <w:szCs w:val="19"/>
                <w:color w:val="auto"/>
              </w:rPr>
            </w:pPr>
          </w:p>
        </w:tc>
        <w:tc>
          <w:tcPr>
            <w:tcW w:w="4020" w:type="dxa"/>
            <w:vAlign w:val="bottom"/>
            <w:tcBorders>
              <w:bottom w:val="single" w:sz="8" w:color="CFF0FC"/>
            </w:tcBorders>
          </w:tcPr>
          <w:p>
            <w:pPr>
              <w:ind w:left="240"/>
              <w:spacing w:after="0"/>
              <w:rPr>
                <w:sz w:val="20"/>
                <w:szCs w:val="20"/>
                <w:color w:val="auto"/>
              </w:rPr>
            </w:pPr>
            <w:r>
              <w:rPr>
                <w:rFonts w:ascii="Arial" w:cs="Arial" w:eastAsia="Arial" w:hAnsi="Arial"/>
                <w:sz w:val="18"/>
                <w:szCs w:val="18"/>
                <w:color w:val="auto"/>
              </w:rPr>
              <w:t>Foreign</w:t>
            </w:r>
          </w:p>
        </w:tc>
        <w:tc>
          <w:tcPr>
            <w:tcW w:w="1360" w:type="dxa"/>
            <w:vAlign w:val="bottom"/>
            <w:tcBorders>
              <w:bottom w:val="single" w:sz="8" w:color="CFF0FC"/>
            </w:tcBorders>
          </w:tcPr>
          <w:p>
            <w:pPr>
              <w:spacing w:after="0"/>
              <w:rPr>
                <w:sz w:val="19"/>
                <w:szCs w:val="19"/>
                <w:color w:val="auto"/>
              </w:rPr>
            </w:pPr>
          </w:p>
        </w:tc>
        <w:tc>
          <w:tcPr>
            <w:tcW w:w="780" w:type="dxa"/>
            <w:vAlign w:val="bottom"/>
            <w:tcBorders>
              <w:bottom w:val="single" w:sz="8" w:color="auto"/>
            </w:tcBorders>
          </w:tcPr>
          <w:p>
            <w:pPr>
              <w:spacing w:after="0"/>
              <w:rPr>
                <w:sz w:val="19"/>
                <w:szCs w:val="19"/>
                <w:color w:val="auto"/>
              </w:rPr>
            </w:pPr>
          </w:p>
        </w:tc>
        <w:tc>
          <w:tcPr>
            <w:tcW w:w="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56</w:t>
            </w:r>
          </w:p>
        </w:tc>
        <w:tc>
          <w:tcPr>
            <w:tcW w:w="120" w:type="dxa"/>
            <w:vAlign w:val="bottom"/>
            <w:tcBorders>
              <w:bottom w:val="single" w:sz="8" w:color="CFF0FC"/>
            </w:tcBorders>
          </w:tcPr>
          <w:p>
            <w:pPr>
              <w:spacing w:after="0"/>
              <w:rPr>
                <w:sz w:val="19"/>
                <w:szCs w:val="19"/>
                <w:color w:val="auto"/>
              </w:rPr>
            </w:pPr>
          </w:p>
        </w:tc>
        <w:tc>
          <w:tcPr>
            <w:tcW w:w="80" w:type="dxa"/>
            <w:vAlign w:val="bottom"/>
            <w:tcBorders>
              <w:bottom w:val="single" w:sz="8" w:color="CFF0FC"/>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w:t>
            </w:r>
          </w:p>
        </w:tc>
        <w:tc>
          <w:tcPr>
            <w:tcW w:w="200" w:type="dxa"/>
            <w:vAlign w:val="bottom"/>
            <w:tcBorders>
              <w:bottom w:val="single" w:sz="8" w:color="CFF0FC"/>
            </w:tcBorders>
          </w:tcPr>
          <w:p>
            <w:pPr>
              <w:spacing w:after="0"/>
              <w:rPr>
                <w:sz w:val="19"/>
                <w:szCs w:val="19"/>
                <w:color w:val="auto"/>
              </w:rPr>
            </w:pPr>
          </w:p>
        </w:tc>
        <w:tc>
          <w:tcPr>
            <w:tcW w:w="20" w:type="dxa"/>
            <w:vAlign w:val="bottom"/>
            <w:tcBorders>
              <w:bottom w:val="single" w:sz="8" w:color="CFF0FC"/>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w:t>
            </w:r>
          </w:p>
        </w:tc>
        <w:tc>
          <w:tcPr>
            <w:tcW w:w="80" w:type="dxa"/>
            <w:vAlign w:val="bottom"/>
            <w:tcBorders>
              <w:bottom w:val="single" w:sz="8" w:color="CFF0FC"/>
            </w:tcBorders>
          </w:tcPr>
          <w:p>
            <w:pPr>
              <w:spacing w:after="0"/>
              <w:rPr>
                <w:sz w:val="19"/>
                <w:szCs w:val="19"/>
                <w:color w:val="auto"/>
              </w:rPr>
            </w:pPr>
          </w:p>
        </w:tc>
      </w:tr>
      <w:tr>
        <w:trPr>
          <w:trHeight w:val="223"/>
        </w:trPr>
        <w:tc>
          <w:tcPr>
            <w:tcW w:w="20" w:type="dxa"/>
            <w:vAlign w:val="bottom"/>
          </w:tcPr>
          <w:p>
            <w:pPr>
              <w:spacing w:after="0"/>
              <w:rPr>
                <w:sz w:val="19"/>
                <w:szCs w:val="19"/>
                <w:color w:val="auto"/>
              </w:rPr>
            </w:pPr>
          </w:p>
        </w:tc>
        <w:tc>
          <w:tcPr>
            <w:tcW w:w="4020" w:type="dxa"/>
            <w:vAlign w:val="bottom"/>
            <w:shd w:val="clear" w:color="auto" w:fill="CFF0FC"/>
          </w:tcPr>
          <w:p>
            <w:pPr>
              <w:ind w:left="480"/>
              <w:spacing w:after="0"/>
              <w:rPr>
                <w:sz w:val="20"/>
                <w:szCs w:val="20"/>
                <w:color w:val="auto"/>
              </w:rPr>
            </w:pPr>
            <w:r>
              <w:rPr>
                <w:rFonts w:ascii="Arial" w:cs="Arial" w:eastAsia="Arial" w:hAnsi="Arial"/>
                <w:sz w:val="18"/>
                <w:szCs w:val="18"/>
                <w:color w:val="auto"/>
              </w:rPr>
              <w:t>Total current tax provision</w:t>
            </w:r>
          </w:p>
        </w:tc>
        <w:tc>
          <w:tcPr>
            <w:tcW w:w="1360" w:type="dxa"/>
            <w:vAlign w:val="bottom"/>
            <w:shd w:val="clear" w:color="auto" w:fill="CFF0FC"/>
          </w:tcPr>
          <w:p>
            <w:pPr>
              <w:spacing w:after="0"/>
              <w:rPr>
                <w:sz w:val="19"/>
                <w:szCs w:val="19"/>
                <w:color w:val="auto"/>
              </w:rPr>
            </w:pPr>
          </w:p>
        </w:tc>
        <w:tc>
          <w:tcPr>
            <w:tcW w:w="780" w:type="dxa"/>
            <w:vAlign w:val="bottom"/>
            <w:tcBorders>
              <w:bottom w:val="single" w:sz="8" w:color="auto"/>
            </w:tcBorders>
            <w:shd w:val="clear" w:color="auto" w:fill="CFF0FC"/>
          </w:tcPr>
          <w:p>
            <w:pPr>
              <w:spacing w:after="0"/>
              <w:rPr>
                <w:sz w:val="19"/>
                <w:szCs w:val="19"/>
                <w:color w:val="auto"/>
              </w:rPr>
            </w:pPr>
          </w:p>
        </w:tc>
        <w:tc>
          <w:tcPr>
            <w:tcW w:w="3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60</w:t>
            </w:r>
          </w:p>
        </w:tc>
        <w:tc>
          <w:tcPr>
            <w:tcW w:w="1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40" w:type="dxa"/>
            <w:vAlign w:val="bottom"/>
            <w:tcBorders>
              <w:bottom w:val="single" w:sz="8" w:color="auto"/>
            </w:tcBorders>
            <w:shd w:val="clear" w:color="auto" w:fill="CFF0FC"/>
          </w:tcPr>
          <w:p>
            <w:pPr>
              <w:spacing w:after="0"/>
              <w:rPr>
                <w:sz w:val="19"/>
                <w:szCs w:val="19"/>
                <w:color w:val="auto"/>
              </w:rPr>
            </w:pPr>
          </w:p>
        </w:tc>
        <w:tc>
          <w:tcPr>
            <w:tcW w:w="8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20</w:t>
            </w:r>
          </w:p>
        </w:tc>
        <w:tc>
          <w:tcPr>
            <w:tcW w:w="20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spacing w:after="0"/>
              <w:rPr>
                <w:sz w:val="19"/>
                <w:szCs w:val="19"/>
                <w:color w:val="auto"/>
              </w:rPr>
            </w:pPr>
          </w:p>
        </w:tc>
        <w:tc>
          <w:tcPr>
            <w:tcW w:w="8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21</w:t>
            </w:r>
          </w:p>
        </w:tc>
        <w:tc>
          <w:tcPr>
            <w:tcW w:w="80" w:type="dxa"/>
            <w:vAlign w:val="bottom"/>
            <w:shd w:val="clear" w:color="auto" w:fill="CFF0FC"/>
          </w:tcPr>
          <w:p>
            <w:pPr>
              <w:spacing w:after="0"/>
              <w:rPr>
                <w:sz w:val="19"/>
                <w:szCs w:val="19"/>
                <w:color w:val="auto"/>
              </w:rPr>
            </w:pPr>
          </w:p>
        </w:tc>
      </w:tr>
      <w:tr>
        <w:trPr>
          <w:trHeight w:val="223"/>
        </w:trPr>
        <w:tc>
          <w:tcPr>
            <w:tcW w:w="4040" w:type="dxa"/>
            <w:vAlign w:val="bottom"/>
            <w:gridSpan w:val="2"/>
          </w:tcPr>
          <w:p>
            <w:pPr>
              <w:spacing w:after="0"/>
              <w:rPr>
                <w:sz w:val="20"/>
                <w:szCs w:val="20"/>
                <w:color w:val="auto"/>
              </w:rPr>
            </w:pPr>
            <w:r>
              <w:rPr>
                <w:rFonts w:ascii="Arial" w:cs="Arial" w:eastAsia="Arial" w:hAnsi="Arial"/>
                <w:sz w:val="18"/>
                <w:szCs w:val="18"/>
                <w:color w:val="auto"/>
              </w:rPr>
              <w:t>Deferred tax provision (benefit):</w:t>
            </w:r>
          </w:p>
        </w:tc>
        <w:tc>
          <w:tcPr>
            <w:tcW w:w="136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80" w:type="dxa"/>
            <w:vAlign w:val="bottom"/>
          </w:tcPr>
          <w:p>
            <w:pPr>
              <w:spacing w:after="0"/>
              <w:rPr>
                <w:sz w:val="19"/>
                <w:szCs w:val="19"/>
                <w:color w:val="auto"/>
              </w:rPr>
            </w:pPr>
          </w:p>
        </w:tc>
      </w:tr>
      <w:tr>
        <w:trPr>
          <w:trHeight w:val="230"/>
        </w:trPr>
        <w:tc>
          <w:tcPr>
            <w:tcW w:w="20" w:type="dxa"/>
            <w:vAlign w:val="bottom"/>
          </w:tcPr>
          <w:p>
            <w:pPr>
              <w:spacing w:after="0"/>
              <w:rPr>
                <w:sz w:val="19"/>
                <w:szCs w:val="19"/>
                <w:color w:val="auto"/>
              </w:rPr>
            </w:pPr>
          </w:p>
        </w:tc>
        <w:tc>
          <w:tcPr>
            <w:tcW w:w="4020" w:type="dxa"/>
            <w:vAlign w:val="bottom"/>
            <w:shd w:val="clear" w:color="auto" w:fill="CFF0FC"/>
          </w:tcPr>
          <w:p>
            <w:pPr>
              <w:ind w:left="240"/>
              <w:spacing w:after="0"/>
              <w:rPr>
                <w:sz w:val="20"/>
                <w:szCs w:val="20"/>
                <w:color w:val="auto"/>
              </w:rPr>
            </w:pPr>
            <w:r>
              <w:rPr>
                <w:rFonts w:ascii="Arial" w:cs="Arial" w:eastAsia="Arial" w:hAnsi="Arial"/>
                <w:sz w:val="18"/>
                <w:szCs w:val="18"/>
                <w:color w:val="auto"/>
              </w:rPr>
              <w:t>State</w:t>
            </w:r>
          </w:p>
        </w:tc>
        <w:tc>
          <w:tcPr>
            <w:tcW w:w="1360" w:type="dxa"/>
            <w:vAlign w:val="bottom"/>
            <w:shd w:val="clear" w:color="auto" w:fill="CFF0FC"/>
          </w:tcPr>
          <w:p>
            <w:pPr>
              <w:spacing w:after="0"/>
              <w:rPr>
                <w:sz w:val="19"/>
                <w:szCs w:val="19"/>
                <w:color w:val="auto"/>
              </w:rPr>
            </w:pPr>
          </w:p>
        </w:tc>
        <w:tc>
          <w:tcPr>
            <w:tcW w:w="780" w:type="dxa"/>
            <w:vAlign w:val="bottom"/>
            <w:shd w:val="clear" w:color="auto" w:fill="CFF0FC"/>
          </w:tcPr>
          <w:p>
            <w:pPr>
              <w:spacing w:after="0"/>
              <w:rPr>
                <w:sz w:val="19"/>
                <w:szCs w:val="19"/>
                <w:color w:val="auto"/>
              </w:rPr>
            </w:pPr>
          </w:p>
        </w:tc>
        <w:tc>
          <w:tcPr>
            <w:tcW w:w="42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(4)</w:t>
            </w:r>
          </w:p>
        </w:tc>
        <w:tc>
          <w:tcPr>
            <w:tcW w:w="8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04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(4)</w:t>
            </w:r>
          </w:p>
        </w:tc>
        <w:tc>
          <w:tcPr>
            <w:tcW w:w="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94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(4)</w:t>
            </w:r>
          </w:p>
        </w:tc>
      </w:tr>
      <w:tr>
        <w:trPr>
          <w:trHeight w:val="230"/>
        </w:trPr>
        <w:tc>
          <w:tcPr>
            <w:tcW w:w="20" w:type="dxa"/>
            <w:vAlign w:val="bottom"/>
          </w:tcPr>
          <w:p>
            <w:pPr>
              <w:spacing w:after="0"/>
              <w:rPr>
                <w:sz w:val="19"/>
                <w:szCs w:val="19"/>
                <w:color w:val="auto"/>
              </w:rPr>
            </w:pPr>
          </w:p>
        </w:tc>
        <w:tc>
          <w:tcPr>
            <w:tcW w:w="4020" w:type="dxa"/>
            <w:vAlign w:val="bottom"/>
          </w:tcPr>
          <w:p>
            <w:pPr>
              <w:ind w:left="240"/>
              <w:spacing w:after="0"/>
              <w:rPr>
                <w:sz w:val="20"/>
                <w:szCs w:val="20"/>
                <w:color w:val="auto"/>
              </w:rPr>
            </w:pPr>
            <w:r>
              <w:rPr>
                <w:rFonts w:ascii="Arial" w:cs="Arial" w:eastAsia="Arial" w:hAnsi="Arial"/>
                <w:sz w:val="18"/>
                <w:szCs w:val="18"/>
                <w:color w:val="auto"/>
              </w:rPr>
              <w:t>Foreign</w:t>
            </w:r>
          </w:p>
        </w:tc>
        <w:tc>
          <w:tcPr>
            <w:tcW w:w="136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42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40" w:type="dxa"/>
            <w:vAlign w:val="bottom"/>
            <w:gridSpan w:val="2"/>
          </w:tcPr>
          <w:p>
            <w:pPr>
              <w:jc w:val="right"/>
              <w:ind w:right="140"/>
              <w:spacing w:after="0"/>
              <w:rPr>
                <w:sz w:val="20"/>
                <w:szCs w:val="20"/>
                <w:color w:val="auto"/>
              </w:rPr>
            </w:pPr>
            <w:r>
              <w:rPr>
                <w:rFonts w:ascii="Arial" w:cs="Arial" w:eastAsia="Arial" w:hAnsi="Arial"/>
                <w:sz w:val="18"/>
                <w:szCs w:val="18"/>
                <w:color w:val="auto"/>
              </w:rPr>
              <w:t>(16)</w:t>
            </w: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40" w:type="dxa"/>
            <w:vAlign w:val="bottom"/>
            <w:gridSpan w:val="2"/>
          </w:tcPr>
          <w:p>
            <w:pPr>
              <w:jc w:val="right"/>
              <w:ind w:right="20"/>
              <w:spacing w:after="0"/>
              <w:rPr>
                <w:sz w:val="20"/>
                <w:szCs w:val="20"/>
                <w:color w:val="auto"/>
              </w:rPr>
            </w:pPr>
            <w:r>
              <w:rPr>
                <w:rFonts w:ascii="Arial" w:cs="Arial" w:eastAsia="Arial" w:hAnsi="Arial"/>
                <w:sz w:val="18"/>
                <w:szCs w:val="18"/>
                <w:color w:val="auto"/>
              </w:rPr>
              <w:t>(17)</w:t>
            </w:r>
          </w:p>
        </w:tc>
      </w:tr>
      <w:tr>
        <w:trPr>
          <w:trHeight w:val="223"/>
        </w:trPr>
        <w:tc>
          <w:tcPr>
            <w:tcW w:w="20" w:type="dxa"/>
            <w:vAlign w:val="bottom"/>
          </w:tcPr>
          <w:p>
            <w:pPr>
              <w:spacing w:after="0"/>
              <w:rPr>
                <w:sz w:val="19"/>
                <w:szCs w:val="19"/>
                <w:color w:val="auto"/>
              </w:rPr>
            </w:pPr>
          </w:p>
        </w:tc>
        <w:tc>
          <w:tcPr>
            <w:tcW w:w="402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Total deferred tax provision (benefit)</w:t>
            </w:r>
          </w:p>
        </w:tc>
        <w:tc>
          <w:tcPr>
            <w:tcW w:w="1360" w:type="dxa"/>
            <w:vAlign w:val="bottom"/>
            <w:tcBorders>
              <w:top w:val="single" w:sz="8" w:color="CFF0FC"/>
            </w:tcBorders>
            <w:shd w:val="clear" w:color="auto" w:fill="CFF0FC"/>
          </w:tcPr>
          <w:p>
            <w:pPr>
              <w:spacing w:after="0"/>
              <w:rPr>
                <w:sz w:val="19"/>
                <w:szCs w:val="19"/>
                <w:color w:val="auto"/>
              </w:rPr>
            </w:pPr>
          </w:p>
        </w:tc>
        <w:tc>
          <w:tcPr>
            <w:tcW w:w="780" w:type="dxa"/>
            <w:vAlign w:val="bottom"/>
            <w:tcBorders>
              <w:top w:val="single" w:sz="8" w:color="auto"/>
              <w:bottom w:val="single" w:sz="8" w:color="auto"/>
            </w:tcBorders>
            <w:shd w:val="clear" w:color="auto" w:fill="CFF0FC"/>
          </w:tcPr>
          <w:p>
            <w:pPr>
              <w:jc w:val="right"/>
              <w:ind w:right="626"/>
              <w:spacing w:after="0"/>
              <w:rPr>
                <w:sz w:val="20"/>
                <w:szCs w:val="20"/>
                <w:color w:val="auto"/>
              </w:rPr>
            </w:pPr>
            <w:r>
              <w:rPr>
                <w:rFonts w:ascii="Arial" w:cs="Arial" w:eastAsia="Arial" w:hAnsi="Arial"/>
                <w:sz w:val="15"/>
                <w:szCs w:val="15"/>
                <w:color w:val="auto"/>
                <w:w w:val="71"/>
              </w:rPr>
              <w:t>$</w:t>
            </w:r>
          </w:p>
        </w:tc>
        <w:tc>
          <w:tcPr>
            <w:tcW w:w="3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w:t>
            </w:r>
          </w:p>
        </w:tc>
        <w:tc>
          <w:tcPr>
            <w:tcW w:w="120" w:type="dxa"/>
            <w:vAlign w:val="bottom"/>
            <w:tcBorders>
              <w:top w:val="single" w:sz="8" w:color="CFF0FC"/>
            </w:tcBorders>
            <w:shd w:val="clear" w:color="auto" w:fill="CFF0FC"/>
          </w:tcPr>
          <w:p>
            <w:pPr>
              <w:spacing w:after="0"/>
              <w:rPr>
                <w:sz w:val="19"/>
                <w:szCs w:val="19"/>
                <w:color w:val="auto"/>
              </w:rPr>
            </w:pPr>
          </w:p>
        </w:tc>
        <w:tc>
          <w:tcPr>
            <w:tcW w:w="80" w:type="dxa"/>
            <w:vAlign w:val="bottom"/>
            <w:tcBorders>
              <w:top w:val="single" w:sz="8" w:color="CFF0FC"/>
            </w:tcBorders>
            <w:shd w:val="clear" w:color="auto" w:fill="CFF0FC"/>
          </w:tcPr>
          <w:p>
            <w:pPr>
              <w:spacing w:after="0"/>
              <w:rPr>
                <w:sz w:val="19"/>
                <w:szCs w:val="19"/>
                <w:color w:val="auto"/>
              </w:rPr>
            </w:pPr>
          </w:p>
        </w:tc>
        <w:tc>
          <w:tcPr>
            <w:tcW w:w="240" w:type="dxa"/>
            <w:vAlign w:val="bottom"/>
            <w:tcBorders>
              <w:top w:val="single" w:sz="8" w:color="auto"/>
              <w:bottom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color w:val="auto"/>
                <w:w w:val="79"/>
              </w:rPr>
              <w:t>$</w:t>
            </w:r>
          </w:p>
        </w:tc>
        <w:tc>
          <w:tcPr>
            <w:tcW w:w="8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(20)</w:t>
            </w:r>
          </w:p>
        </w:tc>
        <w:tc>
          <w:tcPr>
            <w:tcW w:w="200" w:type="dxa"/>
            <w:vAlign w:val="bottom"/>
            <w:tcBorders>
              <w:top w:val="single" w:sz="8" w:color="CFF0FC"/>
            </w:tcBorders>
            <w:shd w:val="clear" w:color="auto" w:fill="CFF0FC"/>
          </w:tcPr>
          <w:p>
            <w:pPr>
              <w:spacing w:after="0"/>
              <w:rPr>
                <w:sz w:val="19"/>
                <w:szCs w:val="19"/>
                <w:color w:val="auto"/>
              </w:rPr>
            </w:pPr>
          </w:p>
        </w:tc>
        <w:tc>
          <w:tcPr>
            <w:tcW w:w="20" w:type="dxa"/>
            <w:vAlign w:val="bottom"/>
            <w:tcBorders>
              <w:top w:val="single" w:sz="8" w:color="CFF0FC"/>
            </w:tcBorders>
            <w:shd w:val="clear" w:color="auto" w:fill="CFF0FC"/>
          </w:tcPr>
          <w:p>
            <w:pPr>
              <w:spacing w:after="0"/>
              <w:rPr>
                <w:sz w:val="19"/>
                <w:szCs w:val="19"/>
                <w:color w:val="auto"/>
              </w:rPr>
            </w:pPr>
          </w:p>
        </w:tc>
        <w:tc>
          <w:tcPr>
            <w:tcW w:w="220" w:type="dxa"/>
            <w:vAlign w:val="bottom"/>
            <w:tcBorders>
              <w:top w:val="single" w:sz="8" w:color="auto"/>
              <w:bottom w:val="single" w:sz="8" w:color="auto"/>
            </w:tcBorders>
            <w:shd w:val="clear" w:color="auto" w:fill="CFF0FC"/>
          </w:tcPr>
          <w:p>
            <w:pPr>
              <w:jc w:val="right"/>
              <w:ind w:right="65"/>
              <w:spacing w:after="0"/>
              <w:rPr>
                <w:sz w:val="20"/>
                <w:szCs w:val="20"/>
                <w:color w:val="auto"/>
              </w:rPr>
            </w:pPr>
            <w:r>
              <w:rPr>
                <w:rFonts w:ascii="Arial" w:cs="Arial" w:eastAsia="Arial" w:hAnsi="Arial"/>
                <w:sz w:val="15"/>
                <w:szCs w:val="15"/>
                <w:color w:val="auto"/>
                <w:w w:val="71"/>
              </w:rPr>
              <w:t>$</w:t>
            </w:r>
          </w:p>
        </w:tc>
        <w:tc>
          <w:tcPr>
            <w:tcW w:w="8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(21)</w:t>
            </w:r>
          </w:p>
        </w:tc>
        <w:tc>
          <w:tcPr>
            <w:tcW w:w="80" w:type="dxa"/>
            <w:vAlign w:val="bottom"/>
            <w:tcBorders>
              <w:top w:val="single" w:sz="8" w:color="CFF0FC"/>
            </w:tcBorders>
            <w:shd w:val="clear" w:color="auto" w:fill="CFF0FC"/>
          </w:tcPr>
          <w:p>
            <w:pPr>
              <w:spacing w:after="0"/>
              <w:rPr>
                <w:sz w:val="19"/>
                <w:szCs w:val="19"/>
                <w:color w:val="auto"/>
              </w:rPr>
            </w:pPr>
          </w:p>
        </w:tc>
      </w:tr>
      <w:tr>
        <w:trPr>
          <w:trHeight w:val="223"/>
        </w:trPr>
        <w:tc>
          <w:tcPr>
            <w:tcW w:w="20" w:type="dxa"/>
            <w:vAlign w:val="bottom"/>
          </w:tcPr>
          <w:p>
            <w:pPr>
              <w:spacing w:after="0"/>
              <w:rPr>
                <w:sz w:val="19"/>
                <w:szCs w:val="19"/>
                <w:color w:val="auto"/>
              </w:rPr>
            </w:pPr>
          </w:p>
        </w:tc>
        <w:tc>
          <w:tcPr>
            <w:tcW w:w="4020" w:type="dxa"/>
            <w:vAlign w:val="bottom"/>
          </w:tcPr>
          <w:p>
            <w:pPr>
              <w:ind w:left="240"/>
              <w:spacing w:after="0"/>
              <w:rPr>
                <w:sz w:val="20"/>
                <w:szCs w:val="20"/>
                <w:color w:val="auto"/>
              </w:rPr>
            </w:pPr>
            <w:r>
              <w:rPr>
                <w:rFonts w:ascii="Arial" w:cs="Arial" w:eastAsia="Arial" w:hAnsi="Arial"/>
                <w:sz w:val="18"/>
                <w:szCs w:val="18"/>
                <w:color w:val="auto"/>
              </w:rPr>
              <w:t>Total provision for income taxes</w:t>
            </w:r>
          </w:p>
        </w:tc>
        <w:tc>
          <w:tcPr>
            <w:tcW w:w="1360" w:type="dxa"/>
            <w:vAlign w:val="bottom"/>
          </w:tcPr>
          <w:p>
            <w:pPr>
              <w:spacing w:after="0"/>
              <w:rPr>
                <w:sz w:val="19"/>
                <w:szCs w:val="19"/>
                <w:color w:val="auto"/>
              </w:rPr>
            </w:pPr>
          </w:p>
        </w:tc>
        <w:tc>
          <w:tcPr>
            <w:tcW w:w="780" w:type="dxa"/>
            <w:vAlign w:val="bottom"/>
            <w:tcBorders>
              <w:bottom w:val="single" w:sz="8" w:color="auto"/>
            </w:tcBorders>
          </w:tcPr>
          <w:p>
            <w:pPr>
              <w:jc w:val="right"/>
              <w:ind w:right="626"/>
              <w:spacing w:after="0"/>
              <w:rPr>
                <w:sz w:val="20"/>
                <w:szCs w:val="20"/>
                <w:color w:val="auto"/>
              </w:rPr>
            </w:pPr>
            <w:r>
              <w:rPr>
                <w:rFonts w:ascii="Arial" w:cs="Arial" w:eastAsia="Arial" w:hAnsi="Arial"/>
                <w:sz w:val="15"/>
                <w:szCs w:val="15"/>
                <w:color w:val="auto"/>
                <w:w w:val="71"/>
              </w:rPr>
              <w:t>$</w:t>
            </w:r>
          </w:p>
        </w:tc>
        <w:tc>
          <w:tcPr>
            <w:tcW w:w="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56</w:t>
            </w: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4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220" w:type="dxa"/>
            <w:vAlign w:val="bottom"/>
            <w:tcBorders>
              <w:bottom w:val="single" w:sz="8" w:color="auto"/>
            </w:tcBorders>
          </w:tcPr>
          <w:p>
            <w:pPr>
              <w:jc w:val="right"/>
              <w:ind w:right="65"/>
              <w:spacing w:after="0"/>
              <w:rPr>
                <w:sz w:val="20"/>
                <w:szCs w:val="20"/>
                <w:color w:val="auto"/>
              </w:rPr>
            </w:pPr>
            <w:r>
              <w:rPr>
                <w:rFonts w:ascii="Arial" w:cs="Arial" w:eastAsia="Arial" w:hAnsi="Arial"/>
                <w:sz w:val="15"/>
                <w:szCs w:val="15"/>
                <w:color w:val="auto"/>
                <w:w w:val="71"/>
              </w:rPr>
              <w:t>$</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r>
      <w:tr>
        <w:trPr>
          <w:trHeight w:val="20"/>
        </w:trPr>
        <w:tc>
          <w:tcPr>
            <w:tcW w:w="20" w:type="dxa"/>
            <w:vAlign w:val="bottom"/>
          </w:tcPr>
          <w:p>
            <w:pPr>
              <w:spacing w:after="0" w:line="20" w:lineRule="exact"/>
              <w:rPr>
                <w:sz w:val="1"/>
                <w:szCs w:val="1"/>
                <w:color w:val="auto"/>
              </w:rPr>
            </w:pPr>
          </w:p>
        </w:tc>
        <w:tc>
          <w:tcPr>
            <w:tcW w:w="402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188" w:lineRule="exact"/>
        <w:rPr>
          <w:sz w:val="20"/>
          <w:szCs w:val="20"/>
          <w:color w:val="auto"/>
        </w:rPr>
      </w:pPr>
    </w:p>
    <w:p>
      <w:pPr>
        <w:ind w:right="620"/>
        <w:spacing w:after="0" w:line="277" w:lineRule="auto"/>
        <w:rPr>
          <w:sz w:val="20"/>
          <w:szCs w:val="20"/>
          <w:color w:val="auto"/>
        </w:rPr>
      </w:pPr>
      <w:r>
        <w:rPr>
          <w:rFonts w:ascii="Arial" w:cs="Arial" w:eastAsia="Arial" w:hAnsi="Arial"/>
          <w:sz w:val="18"/>
          <w:szCs w:val="18"/>
          <w:color w:val="auto"/>
        </w:rPr>
        <w:t>Deferred income taxes reflect the net tax effects of temporary differences between the carrying amounts of assets and liabilities for financial reporting purposes and the amounts used for income tax purposes.</w:t>
      </w:r>
    </w:p>
    <w:p>
      <w:pPr>
        <w:spacing w:after="0" w:line="76" w:lineRule="exact"/>
        <w:rPr>
          <w:sz w:val="20"/>
          <w:szCs w:val="20"/>
          <w:color w:val="auto"/>
        </w:rPr>
      </w:pPr>
    </w:p>
    <w:p>
      <w:pPr>
        <w:ind w:right="20"/>
        <w:spacing w:after="0" w:line="257" w:lineRule="auto"/>
        <w:rPr>
          <w:sz w:val="20"/>
          <w:szCs w:val="20"/>
          <w:color w:val="auto"/>
        </w:rPr>
      </w:pPr>
      <w:r>
        <w:rPr>
          <w:rFonts w:ascii="Arial" w:cs="Arial" w:eastAsia="Arial" w:hAnsi="Arial"/>
          <w:sz w:val="18"/>
          <w:szCs w:val="18"/>
          <w:color w:val="auto"/>
        </w:rPr>
        <w:t>A valuation allowance is provided when it is more likely than not that the deferred tax assets will not be realized. The Company has established a valuation allowance to offset net deferred tax assets for all periods presented due to the uncertainty of realizing future tax benefits from net operating loss carryforwards and other deferred tax assets. The valuation allowance decreased by $13,888 and increased by $7,634 for the years ended December 31, 2017 and 2016. The decrease in valuation allowance in 2017 was due to the change in the corporate tax rate from 35% to 21% and the resulting revaluation of the deferred tax assets.</w:t>
      </w:r>
    </w:p>
    <w:p>
      <w:pPr>
        <w:spacing w:after="0" w:line="80" w:lineRule="exact"/>
        <w:rPr>
          <w:sz w:val="20"/>
          <w:szCs w:val="20"/>
          <w:color w:val="auto"/>
        </w:rPr>
      </w:pPr>
    </w:p>
    <w:p>
      <w:pPr>
        <w:ind w:right="140"/>
        <w:spacing w:after="0" w:line="276" w:lineRule="auto"/>
        <w:rPr>
          <w:sz w:val="20"/>
          <w:szCs w:val="20"/>
          <w:color w:val="auto"/>
        </w:rPr>
      </w:pPr>
      <w:r>
        <w:rPr>
          <w:rFonts w:ascii="Arial" w:cs="Arial" w:eastAsia="Arial" w:hAnsi="Arial"/>
          <w:sz w:val="17"/>
          <w:szCs w:val="17"/>
          <w:color w:val="auto"/>
        </w:rPr>
        <w:t>On December 22, 2017, the Tax Cuts and Jobs Act (the "Act") was enacted into law making significant changes to the Internal Revenue Code. Changes include, but are not limited to, a federal corporate tax rate decrease from 35% to 21% for tax years beginning after December 31, 2017, the transition of U.S. international taxation from a worldwide tax system to a territorial system and a one-time transition tax on the mandatory deemed repatriation of foreign earnings. ASC 740 requires the Company to recognize the effect of the tax law changes in the period of enactment. However, the SEC staff has issued SAB 118 which will allow the Company to record provisional amounts during a measurement period.</w:t>
      </w:r>
    </w:p>
    <w:p>
      <w:pPr>
        <w:spacing w:after="0" w:line="64" w:lineRule="exact"/>
        <w:rPr>
          <w:sz w:val="20"/>
          <w:szCs w:val="20"/>
          <w:color w:val="auto"/>
        </w:rPr>
      </w:pPr>
    </w:p>
    <w:p>
      <w:pPr>
        <w:ind w:right="60"/>
        <w:spacing w:after="0" w:line="257" w:lineRule="auto"/>
        <w:rPr>
          <w:sz w:val="20"/>
          <w:szCs w:val="20"/>
          <w:color w:val="auto"/>
        </w:rPr>
      </w:pPr>
      <w:r>
        <w:rPr>
          <w:rFonts w:ascii="Arial" w:cs="Arial" w:eastAsia="Arial" w:hAnsi="Arial"/>
          <w:sz w:val="18"/>
          <w:szCs w:val="18"/>
          <w:color w:val="auto"/>
        </w:rPr>
        <w:t>The Company has concluded that a reasonable estimate could be developed for the effects of the tax reform. However, due to the short time frame between the enactment of the reform and the year end, its fundamental changes, the accounting complexity, and the expected ongoing guidance and accounting interpretations over the next 12 months, the Company considers the accounting of the deferred tax remeasurement and other items to be reasonable estimates. These effects have been included in the consolidated financial statements for the year ended December 31, 2017 as provisional amounts, which had no effect on the benefit from taxes on income due to the valuation allowance.</w:t>
      </w:r>
    </w:p>
    <w:p>
      <w:pPr>
        <w:spacing w:after="0" w:line="80"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During the measurement period, the Company might need to reflect adjustments to the provisional amounts upon obtaining, preparing, or analyzing additional information about facts and circumstances that existed as of the enactment date that, if known, would have affected the income tax effects initially reported as provisional amounts. The measurement period will end when the Company obtains, prepares, and analyzes the information needed in order to complete the accounting requirements under ASC Topic 740 or on December 22, 2018, whichever is earlier. The Company expects to complete its analysis within the measurement period in accordance with SAB 118.</w:t>
      </w:r>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41" w:right="239" w:bottom="1440" w:gutter="0" w:footer="0" w:header="0"/>
        </w:sectPr>
      </w:pPr>
    </w:p>
    <w:bookmarkStart w:id="98" w:name="page99"/>
    <w:bookmarkEnd w:id="98"/>
    <w:p>
      <w:pPr>
        <w:ind w:right="80"/>
        <w:spacing w:after="0" w:line="342" w:lineRule="auto"/>
        <w:rPr>
          <w:sz w:val="20"/>
          <w:szCs w:val="20"/>
          <w:color w:val="auto"/>
        </w:rPr>
      </w:pPr>
      <w:r>
        <w:rPr>
          <w:rFonts w:ascii="Arial" w:cs="Arial" w:eastAsia="Arial" w:hAnsi="Arial"/>
          <w:sz w:val="16"/>
          <w:szCs w:val="16"/>
          <w:color w:val="auto"/>
        </w:rPr>
        <w:t>Our effective tax rate substantially differed from the federal statutory tax rate of 34% primarily due to the change in the valuation allowance for our deferred tax assets. The reconciliation between income taxes computed at the federal statutory income tax rate and the provision for income taxes is as follows:</w:t>
      </w:r>
    </w:p>
    <w:p>
      <w:pPr>
        <w:spacing w:after="0" w:line="183"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11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80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380" w:type="dxa"/>
            <w:vAlign w:val="bottom"/>
            <w:tcBorders>
              <w:bottom w:val="single" w:sz="8" w:color="auto"/>
            </w:tcBorders>
          </w:tcPr>
          <w:p>
            <w:pPr>
              <w:spacing w:after="0"/>
              <w:rPr>
                <w:sz w:val="14"/>
                <w:szCs w:val="14"/>
                <w:color w:val="auto"/>
              </w:rPr>
            </w:pPr>
          </w:p>
        </w:tc>
        <w:tc>
          <w:tcPr>
            <w:tcW w:w="2560" w:type="dxa"/>
            <w:vAlign w:val="bottom"/>
            <w:tcBorders>
              <w:bottom w:val="single" w:sz="8" w:color="auto"/>
            </w:tcBorders>
            <w:gridSpan w:val="11"/>
          </w:tcPr>
          <w:p>
            <w:pPr>
              <w:jc w:val="center"/>
              <w:ind w:right="120"/>
              <w:spacing w:after="0"/>
              <w:rPr>
                <w:sz w:val="20"/>
                <w:szCs w:val="20"/>
                <w:color w:val="auto"/>
              </w:rPr>
            </w:pPr>
            <w:r>
              <w:rPr>
                <w:rFonts w:ascii="Arial" w:cs="Arial" w:eastAsia="Arial" w:hAnsi="Arial"/>
                <w:sz w:val="14"/>
                <w:szCs w:val="14"/>
                <w:b w:val="1"/>
                <w:bCs w:val="1"/>
                <w:color w:val="auto"/>
                <w:w w:val="93"/>
              </w:rPr>
              <w:t>Year Ended December 31,</w:t>
            </w:r>
          </w:p>
        </w:tc>
        <w:tc>
          <w:tcPr>
            <w:tcW w:w="500" w:type="dxa"/>
            <w:vAlign w:val="bottom"/>
            <w:tcBorders>
              <w:bottom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116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380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60" w:type="dxa"/>
            <w:vAlign w:val="bottom"/>
            <w:gridSpan w:val="2"/>
          </w:tcPr>
          <w:p>
            <w:pPr>
              <w:jc w:val="right"/>
              <w:ind w:right="347"/>
              <w:spacing w:after="0" w:line="155" w:lineRule="exact"/>
              <w:rPr>
                <w:sz w:val="20"/>
                <w:szCs w:val="20"/>
                <w:color w:val="auto"/>
              </w:rPr>
            </w:pPr>
            <w:r>
              <w:rPr>
                <w:rFonts w:ascii="Arial" w:cs="Arial" w:eastAsia="Arial" w:hAnsi="Arial"/>
                <w:sz w:val="14"/>
                <w:szCs w:val="14"/>
                <w:b w:val="1"/>
                <w:bCs w:val="1"/>
                <w:color w:val="auto"/>
              </w:rPr>
              <w:t>2017</w:t>
            </w:r>
          </w:p>
        </w:tc>
        <w:tc>
          <w:tcPr>
            <w:tcW w:w="60" w:type="dxa"/>
            <w:vAlign w:val="bottom"/>
          </w:tcPr>
          <w:p>
            <w:pPr>
              <w:spacing w:after="0"/>
              <w:rPr>
                <w:sz w:val="13"/>
                <w:szCs w:val="13"/>
                <w:color w:val="auto"/>
              </w:rPr>
            </w:pPr>
          </w:p>
        </w:tc>
        <w:tc>
          <w:tcPr>
            <w:tcW w:w="1220" w:type="dxa"/>
            <w:vAlign w:val="bottom"/>
            <w:gridSpan w:val="5"/>
          </w:tcPr>
          <w:p>
            <w:pPr>
              <w:jc w:val="center"/>
              <w:ind w:left="53"/>
              <w:spacing w:after="0" w:line="155" w:lineRule="exact"/>
              <w:rPr>
                <w:sz w:val="20"/>
                <w:szCs w:val="20"/>
                <w:color w:val="auto"/>
              </w:rPr>
            </w:pPr>
            <w:r>
              <w:rPr>
                <w:rFonts w:ascii="Arial" w:cs="Arial" w:eastAsia="Arial" w:hAnsi="Arial"/>
                <w:sz w:val="14"/>
                <w:szCs w:val="14"/>
                <w:b w:val="1"/>
                <w:bCs w:val="1"/>
                <w:color w:val="auto"/>
                <w:w w:val="89"/>
              </w:rPr>
              <w:t>2016</w:t>
            </w:r>
          </w:p>
        </w:tc>
        <w:tc>
          <w:tcPr>
            <w:tcW w:w="100" w:type="dxa"/>
            <w:vAlign w:val="bottom"/>
          </w:tcPr>
          <w:p>
            <w:pPr>
              <w:spacing w:after="0"/>
              <w:rPr>
                <w:sz w:val="13"/>
                <w:szCs w:val="13"/>
                <w:color w:val="auto"/>
              </w:rPr>
            </w:pPr>
          </w:p>
        </w:tc>
        <w:tc>
          <w:tcPr>
            <w:tcW w:w="1200" w:type="dxa"/>
            <w:vAlign w:val="bottom"/>
            <w:gridSpan w:val="4"/>
          </w:tcPr>
          <w:p>
            <w:pPr>
              <w:jc w:val="right"/>
              <w:ind w:right="310"/>
              <w:spacing w:after="0" w:line="155" w:lineRule="exact"/>
              <w:rPr>
                <w:sz w:val="20"/>
                <w:szCs w:val="20"/>
                <w:color w:val="auto"/>
              </w:rPr>
            </w:pPr>
            <w:r>
              <w:rPr>
                <w:rFonts w:ascii="Arial" w:cs="Arial" w:eastAsia="Arial" w:hAnsi="Arial"/>
                <w:sz w:val="14"/>
                <w:szCs w:val="14"/>
                <w:b w:val="1"/>
                <w:bCs w:val="1"/>
                <w:color w:val="auto"/>
              </w:rPr>
              <w:t>2015</w:t>
            </w: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1160" w:type="dxa"/>
            <w:vAlign w:val="bottom"/>
          </w:tcPr>
          <w:p>
            <w:pPr>
              <w:spacing w:after="0"/>
              <w:rPr>
                <w:sz w:val="19"/>
                <w:szCs w:val="19"/>
                <w:color w:val="auto"/>
              </w:rPr>
            </w:pPr>
          </w:p>
        </w:tc>
        <w:tc>
          <w:tcPr>
            <w:tcW w:w="4360" w:type="dxa"/>
            <w:vAlign w:val="bottom"/>
            <w:tcBorders>
              <w:top w:val="single" w:sz="8" w:color="CFF0FC"/>
            </w:tcBorders>
            <w:gridSpan w:val="2"/>
            <w:shd w:val="clear" w:color="auto" w:fill="CFF0FC"/>
          </w:tcPr>
          <w:p>
            <w:pPr>
              <w:spacing w:after="0"/>
              <w:rPr>
                <w:sz w:val="20"/>
                <w:szCs w:val="20"/>
                <w:color w:val="auto"/>
              </w:rPr>
            </w:pPr>
            <w:r>
              <w:rPr>
                <w:rFonts w:ascii="Arial" w:cs="Arial" w:eastAsia="Arial" w:hAnsi="Arial"/>
                <w:sz w:val="18"/>
                <w:szCs w:val="18"/>
                <w:color w:val="auto"/>
              </w:rPr>
              <w:t>U.S. federal statutory income tax at 34%</w:t>
            </w:r>
          </w:p>
        </w:tc>
        <w:tc>
          <w:tcPr>
            <w:tcW w:w="1020" w:type="dxa"/>
            <w:vAlign w:val="bottom"/>
            <w:tcBorders>
              <w:top w:val="single" w:sz="8" w:color="CFF0FC"/>
            </w:tcBorders>
            <w:shd w:val="clear" w:color="auto" w:fill="CFF0FC"/>
          </w:tcPr>
          <w:p>
            <w:pPr>
              <w:spacing w:after="0"/>
              <w:rPr>
                <w:sz w:val="19"/>
                <w:szCs w:val="19"/>
                <w:color w:val="auto"/>
              </w:rPr>
            </w:pPr>
          </w:p>
        </w:tc>
        <w:tc>
          <w:tcPr>
            <w:tcW w:w="220" w:type="dxa"/>
            <w:vAlign w:val="bottom"/>
            <w:tcBorders>
              <w:top w:val="single" w:sz="8" w:color="auto"/>
            </w:tcBorders>
            <w:shd w:val="clear" w:color="auto" w:fill="CFF0FC"/>
          </w:tcPr>
          <w:p>
            <w:pPr>
              <w:jc w:val="right"/>
              <w:ind w:right="65"/>
              <w:spacing w:after="0"/>
              <w:rPr>
                <w:sz w:val="20"/>
                <w:szCs w:val="20"/>
                <w:color w:val="auto"/>
              </w:rPr>
            </w:pPr>
            <w:r>
              <w:rPr>
                <w:rFonts w:ascii="Arial" w:cs="Arial" w:eastAsia="Arial" w:hAnsi="Arial"/>
                <w:sz w:val="15"/>
                <w:szCs w:val="15"/>
                <w:color w:val="auto"/>
                <w:w w:val="71"/>
              </w:rPr>
              <w:t>$</w:t>
            </w:r>
          </w:p>
        </w:tc>
        <w:tc>
          <w:tcPr>
            <w:tcW w:w="860" w:type="dxa"/>
            <w:vAlign w:val="bottom"/>
            <w:tcBorders>
              <w:top w:val="single" w:sz="8" w:color="auto"/>
            </w:tcBorders>
            <w:gridSpan w:val="2"/>
            <w:shd w:val="clear" w:color="auto" w:fill="CFF0FC"/>
          </w:tcPr>
          <w:p>
            <w:pPr>
              <w:jc w:val="right"/>
              <w:spacing w:after="0"/>
              <w:rPr>
                <w:sz w:val="20"/>
                <w:szCs w:val="20"/>
                <w:color w:val="auto"/>
              </w:rPr>
            </w:pPr>
            <w:r>
              <w:rPr>
                <w:rFonts w:ascii="Arial" w:cs="Arial" w:eastAsia="Arial" w:hAnsi="Arial"/>
                <w:sz w:val="18"/>
                <w:szCs w:val="18"/>
                <w:color w:val="auto"/>
              </w:rPr>
              <w:t>(6,046)</w:t>
            </w:r>
          </w:p>
        </w:tc>
        <w:tc>
          <w:tcPr>
            <w:tcW w:w="6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CFF0FC"/>
            </w:tcBorders>
            <w:shd w:val="clear" w:color="auto" w:fill="CFF0FC"/>
          </w:tcPr>
          <w:p>
            <w:pPr>
              <w:spacing w:after="0"/>
              <w:rPr>
                <w:sz w:val="19"/>
                <w:szCs w:val="19"/>
                <w:color w:val="auto"/>
              </w:rPr>
            </w:pPr>
          </w:p>
        </w:tc>
        <w:tc>
          <w:tcPr>
            <w:tcW w:w="460" w:type="dxa"/>
            <w:vAlign w:val="bottom"/>
            <w:tcBorders>
              <w:top w:val="single" w:sz="8" w:color="auto"/>
            </w:tcBorders>
            <w:shd w:val="clear" w:color="auto" w:fill="CFF0FC"/>
          </w:tcPr>
          <w:p>
            <w:pPr>
              <w:jc w:val="right"/>
              <w:ind w:right="274"/>
              <w:spacing w:after="0"/>
              <w:rPr>
                <w:sz w:val="20"/>
                <w:szCs w:val="20"/>
                <w:color w:val="auto"/>
              </w:rPr>
            </w:pPr>
            <w:r>
              <w:rPr>
                <w:rFonts w:ascii="Arial" w:cs="Arial" w:eastAsia="Arial" w:hAnsi="Arial"/>
                <w:sz w:val="18"/>
                <w:szCs w:val="18"/>
                <w:color w:val="auto"/>
                <w:w w:val="79"/>
              </w:rPr>
              <w:t>$</w:t>
            </w:r>
          </w:p>
        </w:tc>
        <w:tc>
          <w:tcPr>
            <w:tcW w:w="100" w:type="dxa"/>
            <w:vAlign w:val="bottom"/>
            <w:tcBorders>
              <w:top w:val="single" w:sz="8" w:color="auto"/>
            </w:tcBorders>
            <w:shd w:val="clear" w:color="auto" w:fill="CFF0FC"/>
          </w:tcPr>
          <w:p>
            <w:pPr>
              <w:spacing w:after="0"/>
              <w:rPr>
                <w:sz w:val="19"/>
                <w:szCs w:val="19"/>
                <w:color w:val="auto"/>
              </w:rPr>
            </w:pPr>
          </w:p>
        </w:tc>
        <w:tc>
          <w:tcPr>
            <w:tcW w:w="520" w:type="dxa"/>
            <w:vAlign w:val="bottom"/>
            <w:tcBorders>
              <w:top w:val="single" w:sz="8" w:color="auto"/>
            </w:tcBorders>
            <w:gridSpan w:val="2"/>
            <w:shd w:val="clear" w:color="auto" w:fill="CFF0FC"/>
          </w:tcPr>
          <w:p>
            <w:pPr>
              <w:jc w:val="right"/>
              <w:spacing w:after="0"/>
              <w:rPr>
                <w:sz w:val="20"/>
                <w:szCs w:val="20"/>
                <w:color w:val="auto"/>
              </w:rPr>
            </w:pPr>
            <w:r>
              <w:rPr>
                <w:rFonts w:ascii="Arial" w:cs="Arial" w:eastAsia="Arial" w:hAnsi="Arial"/>
                <w:sz w:val="18"/>
                <w:szCs w:val="18"/>
                <w:color w:val="auto"/>
                <w:w w:val="87"/>
              </w:rPr>
              <w:t>(7,306)</w:t>
            </w:r>
          </w:p>
        </w:tc>
        <w:tc>
          <w:tcPr>
            <w:tcW w:w="10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CFF0FC"/>
            </w:tcBorders>
            <w:shd w:val="clear" w:color="auto" w:fill="CFF0FC"/>
          </w:tcPr>
          <w:p>
            <w:pPr>
              <w:spacing w:after="0"/>
              <w:rPr>
                <w:sz w:val="19"/>
                <w:szCs w:val="19"/>
                <w:color w:val="auto"/>
              </w:rPr>
            </w:pPr>
          </w:p>
        </w:tc>
        <w:tc>
          <w:tcPr>
            <w:tcW w:w="500" w:type="dxa"/>
            <w:vAlign w:val="bottom"/>
            <w:tcBorders>
              <w:top w:val="single" w:sz="8" w:color="auto"/>
            </w:tcBorders>
            <w:shd w:val="clear" w:color="auto" w:fill="CFF0FC"/>
          </w:tcPr>
          <w:p>
            <w:pPr>
              <w:jc w:val="right"/>
              <w:ind w:right="340"/>
              <w:spacing w:after="0"/>
              <w:rPr>
                <w:sz w:val="20"/>
                <w:szCs w:val="20"/>
                <w:color w:val="auto"/>
              </w:rPr>
            </w:pPr>
            <w:r>
              <w:rPr>
                <w:rFonts w:ascii="Arial" w:cs="Arial" w:eastAsia="Arial" w:hAnsi="Arial"/>
                <w:sz w:val="15"/>
                <w:szCs w:val="15"/>
                <w:color w:val="auto"/>
                <w:w w:val="71"/>
              </w:rPr>
              <w:t>$</w:t>
            </w:r>
          </w:p>
        </w:tc>
        <w:tc>
          <w:tcPr>
            <w:tcW w:w="80" w:type="dxa"/>
            <w:vAlign w:val="bottom"/>
            <w:tcBorders>
              <w:top w:val="single" w:sz="8" w:color="auto"/>
            </w:tcBorders>
            <w:shd w:val="clear" w:color="auto" w:fill="CFF0FC"/>
          </w:tcPr>
          <w:p>
            <w:pPr>
              <w:spacing w:after="0"/>
              <w:rPr>
                <w:sz w:val="19"/>
                <w:szCs w:val="19"/>
                <w:color w:val="auto"/>
              </w:rPr>
            </w:pPr>
          </w:p>
        </w:tc>
        <w:tc>
          <w:tcPr>
            <w:tcW w:w="5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84"/>
              </w:rPr>
              <w:t>(7,973)</w:t>
            </w:r>
          </w:p>
        </w:tc>
        <w:tc>
          <w:tcPr>
            <w:tcW w:w="8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160" w:type="dxa"/>
            <w:vAlign w:val="bottom"/>
          </w:tcPr>
          <w:p>
            <w:pPr>
              <w:spacing w:after="0"/>
              <w:rPr>
                <w:sz w:val="19"/>
                <w:szCs w:val="19"/>
                <w:color w:val="auto"/>
              </w:rPr>
            </w:pPr>
          </w:p>
        </w:tc>
        <w:tc>
          <w:tcPr>
            <w:tcW w:w="4360" w:type="dxa"/>
            <w:vAlign w:val="bottom"/>
            <w:gridSpan w:val="2"/>
          </w:tcPr>
          <w:p>
            <w:pPr>
              <w:spacing w:after="0"/>
              <w:rPr>
                <w:sz w:val="20"/>
                <w:szCs w:val="20"/>
                <w:color w:val="auto"/>
              </w:rPr>
            </w:pPr>
            <w:r>
              <w:rPr>
                <w:rFonts w:ascii="Arial" w:cs="Arial" w:eastAsia="Arial" w:hAnsi="Arial"/>
                <w:sz w:val="18"/>
                <w:szCs w:val="18"/>
                <w:color w:val="auto"/>
              </w:rPr>
              <w:t>Research tax credits</w:t>
            </w:r>
          </w:p>
        </w:tc>
        <w:tc>
          <w:tcPr>
            <w:tcW w:w="10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20" w:type="dxa"/>
            <w:vAlign w:val="bottom"/>
            <w:gridSpan w:val="3"/>
          </w:tcPr>
          <w:p>
            <w:pPr>
              <w:jc w:val="right"/>
              <w:ind w:right="20"/>
              <w:spacing w:after="0"/>
              <w:rPr>
                <w:sz w:val="20"/>
                <w:szCs w:val="20"/>
                <w:color w:val="auto"/>
              </w:rPr>
            </w:pPr>
            <w:r>
              <w:rPr>
                <w:rFonts w:ascii="Arial" w:cs="Arial" w:eastAsia="Arial" w:hAnsi="Arial"/>
                <w:sz w:val="18"/>
                <w:szCs w:val="18"/>
                <w:color w:val="auto"/>
              </w:rPr>
              <w:t>(75)</w:t>
            </w:r>
          </w:p>
        </w:tc>
        <w:tc>
          <w:tcPr>
            <w:tcW w:w="14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20" w:type="dxa"/>
            <w:vAlign w:val="bottom"/>
            <w:gridSpan w:val="3"/>
          </w:tcPr>
          <w:p>
            <w:pPr>
              <w:jc w:val="right"/>
              <w:ind w:right="40"/>
              <w:spacing w:after="0"/>
              <w:rPr>
                <w:sz w:val="20"/>
                <w:szCs w:val="20"/>
                <w:color w:val="auto"/>
              </w:rPr>
            </w:pPr>
            <w:r>
              <w:rPr>
                <w:rFonts w:ascii="Arial" w:cs="Arial" w:eastAsia="Arial" w:hAnsi="Arial"/>
                <w:sz w:val="18"/>
                <w:szCs w:val="18"/>
                <w:color w:val="auto"/>
              </w:rPr>
              <w:t>(99)</w:t>
            </w:r>
          </w:p>
        </w:tc>
        <w:tc>
          <w:tcPr>
            <w:tcW w:w="1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80" w:type="dxa"/>
            <w:vAlign w:val="bottom"/>
            <w:gridSpan w:val="2"/>
          </w:tcPr>
          <w:p>
            <w:pPr>
              <w:jc w:val="right"/>
              <w:ind w:right="20"/>
              <w:spacing w:after="0"/>
              <w:rPr>
                <w:sz w:val="20"/>
                <w:szCs w:val="20"/>
                <w:color w:val="auto"/>
              </w:rPr>
            </w:pPr>
            <w:r>
              <w:rPr>
                <w:rFonts w:ascii="Arial" w:cs="Arial" w:eastAsia="Arial" w:hAnsi="Arial"/>
                <w:sz w:val="18"/>
                <w:szCs w:val="18"/>
                <w:color w:val="auto"/>
              </w:rPr>
              <w:t>(82)</w:t>
            </w:r>
          </w:p>
        </w:tc>
        <w:tc>
          <w:tcPr>
            <w:tcW w:w="0" w:type="dxa"/>
            <w:vAlign w:val="bottom"/>
          </w:tcPr>
          <w:p>
            <w:pPr>
              <w:spacing w:after="0"/>
              <w:rPr>
                <w:sz w:val="1"/>
                <w:szCs w:val="1"/>
                <w:color w:val="auto"/>
              </w:rPr>
            </w:pPr>
          </w:p>
        </w:tc>
      </w:tr>
      <w:tr>
        <w:trPr>
          <w:trHeight w:val="230"/>
        </w:trPr>
        <w:tc>
          <w:tcPr>
            <w:tcW w:w="1160" w:type="dxa"/>
            <w:vAlign w:val="bottom"/>
          </w:tcPr>
          <w:p>
            <w:pPr>
              <w:spacing w:after="0"/>
              <w:rPr>
                <w:sz w:val="19"/>
                <w:szCs w:val="19"/>
                <w:color w:val="auto"/>
              </w:rPr>
            </w:pPr>
          </w:p>
        </w:tc>
        <w:tc>
          <w:tcPr>
            <w:tcW w:w="436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Stock-based compensation</w:t>
            </w:r>
          </w:p>
        </w:tc>
        <w:tc>
          <w:tcPr>
            <w:tcW w:w="10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86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85</w:t>
            </w:r>
          </w:p>
        </w:tc>
        <w:tc>
          <w:tcPr>
            <w:tcW w:w="6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4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52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102</w:t>
            </w:r>
          </w:p>
        </w:tc>
        <w:tc>
          <w:tcPr>
            <w:tcW w:w="1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50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5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125</w:t>
            </w:r>
          </w:p>
        </w:tc>
        <w:tc>
          <w:tcPr>
            <w:tcW w:w="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5"/>
        </w:trPr>
        <w:tc>
          <w:tcPr>
            <w:tcW w:w="1160" w:type="dxa"/>
            <w:vAlign w:val="bottom"/>
          </w:tcPr>
          <w:p>
            <w:pPr>
              <w:spacing w:after="0"/>
              <w:rPr>
                <w:sz w:val="18"/>
                <w:szCs w:val="18"/>
                <w:color w:val="auto"/>
              </w:rPr>
            </w:pPr>
          </w:p>
        </w:tc>
        <w:tc>
          <w:tcPr>
            <w:tcW w:w="4360" w:type="dxa"/>
            <w:vAlign w:val="bottom"/>
            <w:gridSpan w:val="2"/>
          </w:tcPr>
          <w:p>
            <w:pPr>
              <w:spacing w:after="0"/>
              <w:rPr>
                <w:sz w:val="20"/>
                <w:szCs w:val="20"/>
                <w:color w:val="auto"/>
              </w:rPr>
            </w:pPr>
            <w:r>
              <w:rPr>
                <w:rFonts w:ascii="Arial" w:cs="Arial" w:eastAsia="Arial" w:hAnsi="Arial"/>
                <w:sz w:val="18"/>
                <w:szCs w:val="18"/>
                <w:color w:val="auto"/>
              </w:rPr>
              <w:t>Adjustment of deferred tax balances following</w:t>
            </w:r>
          </w:p>
        </w:tc>
        <w:tc>
          <w:tcPr>
            <w:tcW w:w="10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1160" w:type="dxa"/>
            <w:vAlign w:val="bottom"/>
          </w:tcPr>
          <w:p>
            <w:pPr>
              <w:spacing w:after="0"/>
              <w:rPr>
                <w:sz w:val="20"/>
                <w:szCs w:val="20"/>
                <w:color w:val="auto"/>
              </w:rPr>
            </w:pPr>
          </w:p>
        </w:tc>
        <w:tc>
          <w:tcPr>
            <w:tcW w:w="4360" w:type="dxa"/>
            <w:vAlign w:val="bottom"/>
            <w:gridSpan w:val="2"/>
          </w:tcPr>
          <w:p>
            <w:pPr>
              <w:ind w:left="120"/>
              <w:spacing w:after="0"/>
              <w:rPr>
                <w:sz w:val="20"/>
                <w:szCs w:val="20"/>
                <w:color w:val="auto"/>
              </w:rPr>
            </w:pPr>
            <w:r>
              <w:rPr>
                <w:rFonts w:ascii="Arial" w:cs="Arial" w:eastAsia="Arial" w:hAnsi="Arial"/>
                <w:sz w:val="18"/>
                <w:szCs w:val="18"/>
                <w:color w:val="auto"/>
              </w:rPr>
              <w:t>changes in tax rates</w:t>
            </w:r>
          </w:p>
        </w:tc>
        <w:tc>
          <w:tcPr>
            <w:tcW w:w="10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60" w:type="dxa"/>
            <w:vAlign w:val="bottom"/>
            <w:gridSpan w:val="2"/>
          </w:tcPr>
          <w:p>
            <w:pPr>
              <w:jc w:val="right"/>
              <w:spacing w:after="0"/>
              <w:rPr>
                <w:sz w:val="20"/>
                <w:szCs w:val="20"/>
                <w:color w:val="auto"/>
              </w:rPr>
            </w:pPr>
            <w:r>
              <w:rPr>
                <w:rFonts w:ascii="Arial" w:cs="Arial" w:eastAsia="Arial" w:hAnsi="Arial"/>
                <w:sz w:val="18"/>
                <w:szCs w:val="18"/>
                <w:color w:val="auto"/>
              </w:rPr>
              <w:t>20,748</w:t>
            </w:r>
          </w:p>
        </w:tc>
        <w:tc>
          <w:tcPr>
            <w:tcW w:w="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2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5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1160" w:type="dxa"/>
            <w:vAlign w:val="bottom"/>
          </w:tcPr>
          <w:p>
            <w:pPr>
              <w:spacing w:after="0"/>
              <w:rPr>
                <w:sz w:val="19"/>
                <w:szCs w:val="19"/>
                <w:color w:val="auto"/>
              </w:rPr>
            </w:pPr>
          </w:p>
        </w:tc>
        <w:tc>
          <w:tcPr>
            <w:tcW w:w="436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Other</w:t>
            </w:r>
          </w:p>
        </w:tc>
        <w:tc>
          <w:tcPr>
            <w:tcW w:w="10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86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303</w:t>
            </w:r>
          </w:p>
        </w:tc>
        <w:tc>
          <w:tcPr>
            <w:tcW w:w="6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4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52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117</w:t>
            </w:r>
          </w:p>
        </w:tc>
        <w:tc>
          <w:tcPr>
            <w:tcW w:w="1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50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5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599</w:t>
            </w:r>
          </w:p>
        </w:tc>
        <w:tc>
          <w:tcPr>
            <w:tcW w:w="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160" w:type="dxa"/>
            <w:vAlign w:val="bottom"/>
          </w:tcPr>
          <w:p>
            <w:pPr>
              <w:spacing w:after="0"/>
              <w:rPr>
                <w:sz w:val="19"/>
                <w:szCs w:val="19"/>
                <w:color w:val="auto"/>
              </w:rPr>
            </w:pPr>
          </w:p>
        </w:tc>
        <w:tc>
          <w:tcPr>
            <w:tcW w:w="4360" w:type="dxa"/>
            <w:vAlign w:val="bottom"/>
            <w:gridSpan w:val="2"/>
          </w:tcPr>
          <w:p>
            <w:pPr>
              <w:spacing w:after="0"/>
              <w:rPr>
                <w:sz w:val="20"/>
                <w:szCs w:val="20"/>
                <w:color w:val="auto"/>
              </w:rPr>
            </w:pPr>
            <w:r>
              <w:rPr>
                <w:rFonts w:ascii="Arial" w:cs="Arial" w:eastAsia="Arial" w:hAnsi="Arial"/>
                <w:sz w:val="18"/>
                <w:szCs w:val="18"/>
                <w:color w:val="auto"/>
              </w:rPr>
              <w:t>Change in valuation allowance</w:t>
            </w:r>
          </w:p>
        </w:tc>
        <w:tc>
          <w:tcPr>
            <w:tcW w:w="10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20" w:type="dxa"/>
            <w:vAlign w:val="bottom"/>
            <w:gridSpan w:val="3"/>
          </w:tcPr>
          <w:p>
            <w:pPr>
              <w:jc w:val="right"/>
              <w:ind w:right="20"/>
              <w:spacing w:after="0"/>
              <w:rPr>
                <w:sz w:val="20"/>
                <w:szCs w:val="20"/>
                <w:color w:val="auto"/>
              </w:rPr>
            </w:pPr>
            <w:r>
              <w:rPr>
                <w:rFonts w:ascii="Arial" w:cs="Arial" w:eastAsia="Arial" w:hAnsi="Arial"/>
                <w:sz w:val="18"/>
                <w:szCs w:val="18"/>
                <w:color w:val="auto"/>
              </w:rPr>
              <w:t>(14,955)</w:t>
            </w:r>
          </w:p>
        </w:tc>
        <w:tc>
          <w:tcPr>
            <w:tcW w:w="14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20" w:type="dxa"/>
            <w:vAlign w:val="bottom"/>
            <w:gridSpan w:val="2"/>
          </w:tcPr>
          <w:p>
            <w:pPr>
              <w:jc w:val="right"/>
              <w:spacing w:after="0"/>
              <w:rPr>
                <w:sz w:val="20"/>
                <w:szCs w:val="20"/>
                <w:color w:val="auto"/>
              </w:rPr>
            </w:pPr>
            <w:r>
              <w:rPr>
                <w:rFonts w:ascii="Arial" w:cs="Arial" w:eastAsia="Arial" w:hAnsi="Arial"/>
                <w:sz w:val="18"/>
                <w:szCs w:val="18"/>
                <w:color w:val="auto"/>
              </w:rPr>
              <w:t>7,206</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7,352</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1160" w:type="dxa"/>
            <w:vAlign w:val="bottom"/>
          </w:tcPr>
          <w:p>
            <w:pPr>
              <w:spacing w:after="0"/>
              <w:rPr>
                <w:sz w:val="19"/>
                <w:szCs w:val="19"/>
                <w:color w:val="auto"/>
              </w:rPr>
            </w:pPr>
          </w:p>
        </w:tc>
        <w:tc>
          <w:tcPr>
            <w:tcW w:w="4360" w:type="dxa"/>
            <w:vAlign w:val="bottom"/>
            <w:tcBorders>
              <w:top w:val="single" w:sz="8" w:color="CFF0FC"/>
            </w:tcBorders>
            <w:gridSpan w:val="2"/>
            <w:shd w:val="clear" w:color="auto" w:fill="CFF0FC"/>
          </w:tcPr>
          <w:p>
            <w:pPr>
              <w:spacing w:after="0"/>
              <w:rPr>
                <w:sz w:val="20"/>
                <w:szCs w:val="20"/>
                <w:color w:val="auto"/>
              </w:rPr>
            </w:pPr>
            <w:r>
              <w:rPr>
                <w:rFonts w:ascii="Arial" w:cs="Arial" w:eastAsia="Arial" w:hAnsi="Arial"/>
                <w:sz w:val="18"/>
                <w:szCs w:val="18"/>
                <w:color w:val="auto"/>
              </w:rPr>
              <w:t>Total current tax provision</w:t>
            </w:r>
          </w:p>
        </w:tc>
        <w:tc>
          <w:tcPr>
            <w:tcW w:w="1020" w:type="dxa"/>
            <w:vAlign w:val="bottom"/>
            <w:tcBorders>
              <w:top w:val="single" w:sz="8" w:color="CFF0FC"/>
            </w:tcBorders>
            <w:shd w:val="clear" w:color="auto" w:fill="CFF0FC"/>
          </w:tcPr>
          <w:p>
            <w:pPr>
              <w:spacing w:after="0"/>
              <w:rPr>
                <w:sz w:val="19"/>
                <w:szCs w:val="19"/>
                <w:color w:val="auto"/>
              </w:rPr>
            </w:pPr>
          </w:p>
        </w:tc>
        <w:tc>
          <w:tcPr>
            <w:tcW w:w="220" w:type="dxa"/>
            <w:vAlign w:val="bottom"/>
            <w:tcBorders>
              <w:top w:val="single" w:sz="8" w:color="auto"/>
              <w:bottom w:val="single" w:sz="8" w:color="auto"/>
            </w:tcBorders>
            <w:shd w:val="clear" w:color="auto" w:fill="CFF0FC"/>
          </w:tcPr>
          <w:p>
            <w:pPr>
              <w:spacing w:after="0"/>
              <w:rPr>
                <w:sz w:val="19"/>
                <w:szCs w:val="19"/>
                <w:color w:val="auto"/>
              </w:rPr>
            </w:pPr>
          </w:p>
        </w:tc>
        <w:tc>
          <w:tcPr>
            <w:tcW w:w="860" w:type="dxa"/>
            <w:vAlign w:val="bottom"/>
            <w:tcBorders>
              <w:top w:val="single" w:sz="8" w:color="auto"/>
              <w:bottom w:val="single" w:sz="8" w:color="auto"/>
            </w:tcBorders>
            <w:gridSpan w:val="2"/>
            <w:shd w:val="clear" w:color="auto" w:fill="CFF0FC"/>
          </w:tcPr>
          <w:p>
            <w:pPr>
              <w:jc w:val="right"/>
              <w:spacing w:after="0"/>
              <w:rPr>
                <w:sz w:val="20"/>
                <w:szCs w:val="20"/>
                <w:color w:val="auto"/>
              </w:rPr>
            </w:pPr>
            <w:r>
              <w:rPr>
                <w:rFonts w:ascii="Arial" w:cs="Arial" w:eastAsia="Arial" w:hAnsi="Arial"/>
                <w:sz w:val="18"/>
                <w:szCs w:val="18"/>
                <w:color w:val="auto"/>
              </w:rPr>
              <w:t>60</w:t>
            </w:r>
          </w:p>
        </w:tc>
        <w:tc>
          <w:tcPr>
            <w:tcW w:w="6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CFF0FC"/>
            </w:tcBorders>
            <w:shd w:val="clear" w:color="auto" w:fill="CFF0FC"/>
          </w:tcPr>
          <w:p>
            <w:pPr>
              <w:spacing w:after="0"/>
              <w:rPr>
                <w:sz w:val="19"/>
                <w:szCs w:val="19"/>
                <w:color w:val="auto"/>
              </w:rPr>
            </w:pPr>
          </w:p>
        </w:tc>
        <w:tc>
          <w:tcPr>
            <w:tcW w:w="460" w:type="dxa"/>
            <w:vAlign w:val="bottom"/>
            <w:tcBorders>
              <w:top w:val="single" w:sz="8" w:color="auto"/>
              <w:bottom w:val="single" w:sz="8" w:color="auto"/>
            </w:tcBorders>
            <w:shd w:val="clear" w:color="auto" w:fill="CFF0FC"/>
          </w:tcPr>
          <w:p>
            <w:pPr>
              <w:spacing w:after="0"/>
              <w:rPr>
                <w:sz w:val="19"/>
                <w:szCs w:val="19"/>
                <w:color w:val="auto"/>
              </w:rPr>
            </w:pPr>
          </w:p>
        </w:tc>
        <w:tc>
          <w:tcPr>
            <w:tcW w:w="100" w:type="dxa"/>
            <w:vAlign w:val="bottom"/>
            <w:tcBorders>
              <w:top w:val="single" w:sz="8" w:color="auto"/>
              <w:bottom w:val="single" w:sz="8" w:color="auto"/>
            </w:tcBorders>
            <w:shd w:val="clear" w:color="auto" w:fill="CFF0FC"/>
          </w:tcPr>
          <w:p>
            <w:pPr>
              <w:spacing w:after="0"/>
              <w:rPr>
                <w:sz w:val="19"/>
                <w:szCs w:val="19"/>
                <w:color w:val="auto"/>
              </w:rPr>
            </w:pPr>
          </w:p>
        </w:tc>
        <w:tc>
          <w:tcPr>
            <w:tcW w:w="520" w:type="dxa"/>
            <w:vAlign w:val="bottom"/>
            <w:tcBorders>
              <w:top w:val="single" w:sz="8" w:color="auto"/>
              <w:bottom w:val="single" w:sz="8" w:color="auto"/>
            </w:tcBorders>
            <w:gridSpan w:val="2"/>
            <w:shd w:val="clear" w:color="auto" w:fill="CFF0FC"/>
          </w:tcPr>
          <w:p>
            <w:pPr>
              <w:jc w:val="right"/>
              <w:spacing w:after="0"/>
              <w:rPr>
                <w:sz w:val="20"/>
                <w:szCs w:val="20"/>
                <w:color w:val="auto"/>
              </w:rPr>
            </w:pPr>
            <w:r>
              <w:rPr>
                <w:rFonts w:ascii="Arial" w:cs="Arial" w:eastAsia="Arial" w:hAnsi="Arial"/>
                <w:sz w:val="18"/>
                <w:szCs w:val="18"/>
                <w:color w:val="auto"/>
              </w:rPr>
              <w:t>20</w:t>
            </w:r>
          </w:p>
        </w:tc>
        <w:tc>
          <w:tcPr>
            <w:tcW w:w="10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CFF0FC"/>
            </w:tcBorders>
            <w:shd w:val="clear" w:color="auto" w:fill="CFF0FC"/>
          </w:tcPr>
          <w:p>
            <w:pPr>
              <w:spacing w:after="0"/>
              <w:rPr>
                <w:sz w:val="19"/>
                <w:szCs w:val="19"/>
                <w:color w:val="auto"/>
              </w:rPr>
            </w:pPr>
          </w:p>
        </w:tc>
        <w:tc>
          <w:tcPr>
            <w:tcW w:w="500" w:type="dxa"/>
            <w:vAlign w:val="bottom"/>
            <w:tcBorders>
              <w:top w:val="single" w:sz="8" w:color="auto"/>
              <w:bottom w:val="single" w:sz="8" w:color="auto"/>
            </w:tcBorders>
            <w:shd w:val="clear" w:color="auto" w:fill="CFF0FC"/>
          </w:tcPr>
          <w:p>
            <w:pPr>
              <w:spacing w:after="0"/>
              <w:rPr>
                <w:sz w:val="19"/>
                <w:szCs w:val="19"/>
                <w:color w:val="auto"/>
              </w:rPr>
            </w:pPr>
          </w:p>
        </w:tc>
        <w:tc>
          <w:tcPr>
            <w:tcW w:w="80" w:type="dxa"/>
            <w:vAlign w:val="bottom"/>
            <w:tcBorders>
              <w:top w:val="single" w:sz="8" w:color="auto"/>
              <w:bottom w:val="single" w:sz="8" w:color="auto"/>
            </w:tcBorders>
            <w:shd w:val="clear" w:color="auto" w:fill="CFF0FC"/>
          </w:tcPr>
          <w:p>
            <w:pPr>
              <w:spacing w:after="0"/>
              <w:rPr>
                <w:sz w:val="19"/>
                <w:szCs w:val="19"/>
                <w:color w:val="auto"/>
              </w:rPr>
            </w:pPr>
          </w:p>
        </w:tc>
        <w:tc>
          <w:tcPr>
            <w:tcW w:w="5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21</w:t>
            </w:r>
          </w:p>
        </w:tc>
        <w:tc>
          <w:tcPr>
            <w:tcW w:w="8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520" w:type="dxa"/>
            <w:vAlign w:val="bottom"/>
            <w:gridSpan w:val="3"/>
          </w:tcPr>
          <w:p>
            <w:pPr>
              <w:ind w:left="1140"/>
              <w:spacing w:after="0"/>
              <w:rPr>
                <w:sz w:val="20"/>
                <w:szCs w:val="20"/>
                <w:color w:val="auto"/>
              </w:rPr>
            </w:pPr>
            <w:r>
              <w:rPr>
                <w:rFonts w:ascii="Arial" w:cs="Arial" w:eastAsia="Arial" w:hAnsi="Arial"/>
                <w:sz w:val="18"/>
                <w:szCs w:val="18"/>
                <w:color w:val="auto"/>
              </w:rPr>
              <w:t>Total deferred tax benefit</w:t>
            </w:r>
          </w:p>
        </w:tc>
        <w:tc>
          <w:tcPr>
            <w:tcW w:w="10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60" w:type="dxa"/>
            <w:vAlign w:val="bottom"/>
            <w:gridSpan w:val="2"/>
          </w:tcPr>
          <w:p>
            <w:pPr>
              <w:jc w:val="right"/>
              <w:spacing w:after="0"/>
              <w:rPr>
                <w:sz w:val="20"/>
                <w:szCs w:val="20"/>
                <w:color w:val="auto"/>
              </w:rPr>
            </w:pPr>
            <w:r>
              <w:rPr>
                <w:rFonts w:ascii="Arial" w:cs="Arial" w:eastAsia="Arial" w:hAnsi="Arial"/>
                <w:sz w:val="18"/>
                <w:szCs w:val="18"/>
                <w:color w:val="auto"/>
              </w:rPr>
              <w:t>(4)</w:t>
            </w:r>
          </w:p>
        </w:tc>
        <w:tc>
          <w:tcPr>
            <w:tcW w:w="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20" w:type="dxa"/>
            <w:vAlign w:val="bottom"/>
            <w:gridSpan w:val="2"/>
          </w:tcPr>
          <w:p>
            <w:pPr>
              <w:jc w:val="right"/>
              <w:spacing w:after="0"/>
              <w:rPr>
                <w:sz w:val="20"/>
                <w:szCs w:val="20"/>
                <w:color w:val="auto"/>
              </w:rPr>
            </w:pPr>
            <w:r>
              <w:rPr>
                <w:rFonts w:ascii="Arial" w:cs="Arial" w:eastAsia="Arial" w:hAnsi="Arial"/>
                <w:sz w:val="18"/>
                <w:szCs w:val="18"/>
                <w:color w:val="auto"/>
              </w:rPr>
              <w:t>(20)</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(21)</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1160" w:type="dxa"/>
            <w:vAlign w:val="bottom"/>
          </w:tcPr>
          <w:p>
            <w:pPr>
              <w:spacing w:after="0"/>
              <w:rPr>
                <w:sz w:val="19"/>
                <w:szCs w:val="19"/>
                <w:color w:val="auto"/>
              </w:rPr>
            </w:pPr>
          </w:p>
        </w:tc>
        <w:tc>
          <w:tcPr>
            <w:tcW w:w="4360" w:type="dxa"/>
            <w:vAlign w:val="bottom"/>
            <w:tcBorders>
              <w:top w:val="single" w:sz="8" w:color="CFF0FC"/>
              <w:bottom w:val="single" w:sz="8" w:color="CFF0FC"/>
            </w:tcBorders>
            <w:gridSpan w:val="2"/>
            <w:shd w:val="clear" w:color="auto" w:fill="CFF0FC"/>
          </w:tcPr>
          <w:p>
            <w:pPr>
              <w:spacing w:after="0"/>
              <w:rPr>
                <w:sz w:val="20"/>
                <w:szCs w:val="20"/>
                <w:color w:val="auto"/>
              </w:rPr>
            </w:pPr>
            <w:r>
              <w:rPr>
                <w:rFonts w:ascii="Arial" w:cs="Arial" w:eastAsia="Arial" w:hAnsi="Arial"/>
                <w:sz w:val="18"/>
                <w:szCs w:val="18"/>
                <w:color w:val="auto"/>
              </w:rPr>
              <w:t>Total provision for income taxes</w:t>
            </w:r>
          </w:p>
        </w:tc>
        <w:tc>
          <w:tcPr>
            <w:tcW w:w="1020" w:type="dxa"/>
            <w:vAlign w:val="bottom"/>
            <w:tcBorders>
              <w:top w:val="single" w:sz="8" w:color="CFF0FC"/>
              <w:bottom w:val="single" w:sz="8" w:color="CFF0FC"/>
            </w:tcBorders>
            <w:shd w:val="clear" w:color="auto" w:fill="CFF0FC"/>
          </w:tcPr>
          <w:p>
            <w:pPr>
              <w:spacing w:after="0"/>
              <w:rPr>
                <w:sz w:val="19"/>
                <w:szCs w:val="19"/>
                <w:color w:val="auto"/>
              </w:rPr>
            </w:pPr>
          </w:p>
        </w:tc>
        <w:tc>
          <w:tcPr>
            <w:tcW w:w="220" w:type="dxa"/>
            <w:vAlign w:val="bottom"/>
            <w:tcBorders>
              <w:top w:val="single" w:sz="8" w:color="auto"/>
              <w:bottom w:val="single" w:sz="8" w:color="auto"/>
            </w:tcBorders>
            <w:shd w:val="clear" w:color="auto" w:fill="CFF0FC"/>
          </w:tcPr>
          <w:p>
            <w:pPr>
              <w:jc w:val="right"/>
              <w:ind w:right="65"/>
              <w:spacing w:after="0"/>
              <w:rPr>
                <w:sz w:val="20"/>
                <w:szCs w:val="20"/>
                <w:color w:val="auto"/>
              </w:rPr>
            </w:pPr>
            <w:r>
              <w:rPr>
                <w:rFonts w:ascii="Arial" w:cs="Arial" w:eastAsia="Arial" w:hAnsi="Arial"/>
                <w:sz w:val="15"/>
                <w:szCs w:val="15"/>
                <w:color w:val="auto"/>
                <w:w w:val="71"/>
              </w:rPr>
              <w:t>$</w:t>
            </w:r>
          </w:p>
        </w:tc>
        <w:tc>
          <w:tcPr>
            <w:tcW w:w="860" w:type="dxa"/>
            <w:vAlign w:val="bottom"/>
            <w:tcBorders>
              <w:top w:val="single" w:sz="8" w:color="auto"/>
              <w:bottom w:val="single" w:sz="8" w:color="auto"/>
            </w:tcBorders>
            <w:gridSpan w:val="2"/>
            <w:shd w:val="clear" w:color="auto" w:fill="CFF0FC"/>
          </w:tcPr>
          <w:p>
            <w:pPr>
              <w:jc w:val="right"/>
              <w:spacing w:after="0"/>
              <w:rPr>
                <w:sz w:val="20"/>
                <w:szCs w:val="20"/>
                <w:color w:val="auto"/>
              </w:rPr>
            </w:pPr>
            <w:r>
              <w:rPr>
                <w:rFonts w:ascii="Arial" w:cs="Arial" w:eastAsia="Arial" w:hAnsi="Arial"/>
                <w:sz w:val="18"/>
                <w:szCs w:val="18"/>
                <w:color w:val="auto"/>
              </w:rPr>
              <w:t>56</w:t>
            </w:r>
          </w:p>
        </w:tc>
        <w:tc>
          <w:tcPr>
            <w:tcW w:w="60" w:type="dxa"/>
            <w:vAlign w:val="bottom"/>
            <w:tcBorders>
              <w:top w:val="single" w:sz="8" w:color="CFF0FC"/>
              <w:bottom w:val="single" w:sz="8" w:color="CFF0FC"/>
            </w:tcBorders>
            <w:shd w:val="clear" w:color="auto" w:fill="CFF0FC"/>
          </w:tcPr>
          <w:p>
            <w:pPr>
              <w:spacing w:after="0"/>
              <w:rPr>
                <w:sz w:val="19"/>
                <w:szCs w:val="19"/>
                <w:color w:val="auto"/>
              </w:rPr>
            </w:pPr>
          </w:p>
        </w:tc>
        <w:tc>
          <w:tcPr>
            <w:tcW w:w="140" w:type="dxa"/>
            <w:vAlign w:val="bottom"/>
            <w:tcBorders>
              <w:top w:val="single" w:sz="8" w:color="CFF0FC"/>
              <w:bottom w:val="single" w:sz="8" w:color="CFF0FC"/>
            </w:tcBorders>
            <w:shd w:val="clear" w:color="auto" w:fill="CFF0FC"/>
          </w:tcPr>
          <w:p>
            <w:pPr>
              <w:spacing w:after="0"/>
              <w:rPr>
                <w:sz w:val="19"/>
                <w:szCs w:val="19"/>
                <w:color w:val="auto"/>
              </w:rPr>
            </w:pPr>
          </w:p>
        </w:tc>
        <w:tc>
          <w:tcPr>
            <w:tcW w:w="460" w:type="dxa"/>
            <w:vAlign w:val="bottom"/>
            <w:tcBorders>
              <w:top w:val="single" w:sz="8" w:color="auto"/>
              <w:bottom w:val="single" w:sz="8" w:color="auto"/>
            </w:tcBorders>
            <w:shd w:val="clear" w:color="auto" w:fill="CFF0FC"/>
          </w:tcPr>
          <w:p>
            <w:pPr>
              <w:jc w:val="right"/>
              <w:ind w:right="274"/>
              <w:spacing w:after="0"/>
              <w:rPr>
                <w:sz w:val="20"/>
                <w:szCs w:val="20"/>
                <w:color w:val="auto"/>
              </w:rPr>
            </w:pPr>
            <w:r>
              <w:rPr>
                <w:rFonts w:ascii="Arial" w:cs="Arial" w:eastAsia="Arial" w:hAnsi="Arial"/>
                <w:sz w:val="18"/>
                <w:szCs w:val="18"/>
                <w:color w:val="auto"/>
                <w:w w:val="79"/>
              </w:rPr>
              <w:t>$</w:t>
            </w:r>
          </w:p>
        </w:tc>
        <w:tc>
          <w:tcPr>
            <w:tcW w:w="100" w:type="dxa"/>
            <w:vAlign w:val="bottom"/>
            <w:tcBorders>
              <w:top w:val="single" w:sz="8" w:color="auto"/>
              <w:bottom w:val="single" w:sz="8" w:color="auto"/>
            </w:tcBorders>
            <w:shd w:val="clear" w:color="auto" w:fill="CFF0FC"/>
          </w:tcPr>
          <w:p>
            <w:pPr>
              <w:spacing w:after="0"/>
              <w:rPr>
                <w:sz w:val="19"/>
                <w:szCs w:val="19"/>
                <w:color w:val="auto"/>
              </w:rPr>
            </w:pPr>
          </w:p>
        </w:tc>
        <w:tc>
          <w:tcPr>
            <w:tcW w:w="100" w:type="dxa"/>
            <w:vAlign w:val="bottom"/>
            <w:tcBorders>
              <w:top w:val="single" w:sz="8" w:color="auto"/>
              <w:bottom w:val="single" w:sz="8" w:color="auto"/>
            </w:tcBorders>
            <w:shd w:val="clear" w:color="auto" w:fill="CFF0FC"/>
          </w:tcPr>
          <w:p>
            <w:pPr>
              <w:spacing w:after="0"/>
              <w:rPr>
                <w:sz w:val="19"/>
                <w:szCs w:val="19"/>
                <w:color w:val="auto"/>
              </w:rPr>
            </w:pPr>
          </w:p>
        </w:tc>
        <w:tc>
          <w:tcPr>
            <w:tcW w:w="4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top w:val="single" w:sz="8" w:color="CFF0FC"/>
              <w:bottom w:val="single" w:sz="8" w:color="CFF0FC"/>
            </w:tcBorders>
            <w:shd w:val="clear" w:color="auto" w:fill="CFF0FC"/>
          </w:tcPr>
          <w:p>
            <w:pPr>
              <w:spacing w:after="0"/>
              <w:rPr>
                <w:sz w:val="19"/>
                <w:szCs w:val="19"/>
                <w:color w:val="auto"/>
              </w:rPr>
            </w:pPr>
          </w:p>
        </w:tc>
        <w:tc>
          <w:tcPr>
            <w:tcW w:w="120" w:type="dxa"/>
            <w:vAlign w:val="bottom"/>
            <w:tcBorders>
              <w:top w:val="single" w:sz="8" w:color="CFF0FC"/>
              <w:bottom w:val="single" w:sz="8" w:color="CFF0FC"/>
            </w:tcBorders>
            <w:shd w:val="clear" w:color="auto" w:fill="CFF0FC"/>
          </w:tcPr>
          <w:p>
            <w:pPr>
              <w:spacing w:after="0"/>
              <w:rPr>
                <w:sz w:val="19"/>
                <w:szCs w:val="19"/>
                <w:color w:val="auto"/>
              </w:rPr>
            </w:pPr>
          </w:p>
        </w:tc>
        <w:tc>
          <w:tcPr>
            <w:tcW w:w="500" w:type="dxa"/>
            <w:vAlign w:val="bottom"/>
            <w:tcBorders>
              <w:top w:val="single" w:sz="8" w:color="auto"/>
              <w:bottom w:val="single" w:sz="8" w:color="auto"/>
            </w:tcBorders>
            <w:shd w:val="clear" w:color="auto" w:fill="CFF0FC"/>
          </w:tcPr>
          <w:p>
            <w:pPr>
              <w:jc w:val="right"/>
              <w:ind w:right="340"/>
              <w:spacing w:after="0"/>
              <w:rPr>
                <w:sz w:val="20"/>
                <w:szCs w:val="20"/>
                <w:color w:val="auto"/>
              </w:rPr>
            </w:pPr>
            <w:r>
              <w:rPr>
                <w:rFonts w:ascii="Arial" w:cs="Arial" w:eastAsia="Arial" w:hAnsi="Arial"/>
                <w:sz w:val="15"/>
                <w:szCs w:val="15"/>
                <w:color w:val="auto"/>
                <w:w w:val="71"/>
              </w:rPr>
              <w:t>$</w:t>
            </w:r>
          </w:p>
        </w:tc>
        <w:tc>
          <w:tcPr>
            <w:tcW w:w="80" w:type="dxa"/>
            <w:vAlign w:val="bottom"/>
            <w:tcBorders>
              <w:top w:val="single" w:sz="8" w:color="auto"/>
              <w:bottom w:val="single" w:sz="8" w:color="auto"/>
            </w:tcBorders>
            <w:shd w:val="clear" w:color="auto" w:fill="CFF0FC"/>
          </w:tcPr>
          <w:p>
            <w:pPr>
              <w:spacing w:after="0"/>
              <w:rPr>
                <w:sz w:val="19"/>
                <w:szCs w:val="19"/>
                <w:color w:val="auto"/>
              </w:rPr>
            </w:pPr>
          </w:p>
        </w:tc>
        <w:tc>
          <w:tcPr>
            <w:tcW w:w="5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80" w:type="dxa"/>
            <w:vAlign w:val="bottom"/>
            <w:tcBorders>
              <w:top w:val="single" w:sz="8" w:color="CFF0FC"/>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520" w:type="dxa"/>
            <w:vAlign w:val="bottom"/>
            <w:gridSpan w:val="3"/>
            <w:vMerge w:val="restart"/>
          </w:tcPr>
          <w:p>
            <w:pPr>
              <w:spacing w:after="0"/>
              <w:rPr>
                <w:sz w:val="20"/>
                <w:szCs w:val="20"/>
                <w:color w:val="auto"/>
              </w:rPr>
            </w:pPr>
            <w:r>
              <w:rPr>
                <w:rFonts w:ascii="Arial" w:cs="Arial" w:eastAsia="Arial" w:hAnsi="Arial"/>
                <w:sz w:val="18"/>
                <w:szCs w:val="18"/>
                <w:color w:val="auto"/>
              </w:rPr>
              <w:t>The components of the deferred tax assets are as follows:</w:t>
            </w:r>
          </w:p>
        </w:tc>
        <w:tc>
          <w:tcPr>
            <w:tcW w:w="10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99"/>
        </w:trPr>
        <w:tc>
          <w:tcPr>
            <w:tcW w:w="5520" w:type="dxa"/>
            <w:vAlign w:val="bottom"/>
            <w:gridSpan w:val="3"/>
            <w:vMerge w:val="continue"/>
          </w:tcPr>
          <w:p>
            <w:pPr>
              <w:spacing w:after="0"/>
              <w:rPr>
                <w:sz w:val="24"/>
                <w:szCs w:val="24"/>
                <w:color w:val="auto"/>
              </w:rPr>
            </w:pPr>
          </w:p>
        </w:tc>
        <w:tc>
          <w:tcPr>
            <w:tcW w:w="10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11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38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48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180" w:type="dxa"/>
            <w:vAlign w:val="bottom"/>
            <w:tcBorders>
              <w:bottom w:val="single" w:sz="8" w:color="auto"/>
            </w:tcBorders>
            <w:gridSpan w:val="5"/>
          </w:tcPr>
          <w:p>
            <w:pPr>
              <w:jc w:val="center"/>
              <w:ind w:right="60"/>
              <w:spacing w:after="0"/>
              <w:rPr>
                <w:sz w:val="20"/>
                <w:szCs w:val="20"/>
                <w:color w:val="auto"/>
              </w:rPr>
            </w:pPr>
            <w:r>
              <w:rPr>
                <w:rFonts w:ascii="Arial" w:cs="Arial" w:eastAsia="Arial" w:hAnsi="Arial"/>
                <w:sz w:val="14"/>
                <w:szCs w:val="14"/>
                <w:b w:val="1"/>
                <w:bCs w:val="1"/>
                <w:color w:val="auto"/>
                <w:w w:val="92"/>
              </w:rPr>
              <w:t>December 31,</w:t>
            </w:r>
          </w:p>
        </w:tc>
        <w:tc>
          <w:tcPr>
            <w:tcW w:w="120" w:type="dxa"/>
            <w:vAlign w:val="bottom"/>
            <w:tcBorders>
              <w:bottom w:val="single" w:sz="8" w:color="auto"/>
            </w:tcBorders>
          </w:tcPr>
          <w:p>
            <w:pPr>
              <w:spacing w:after="0"/>
              <w:rPr>
                <w:sz w:val="24"/>
                <w:szCs w:val="24"/>
                <w:color w:val="auto"/>
              </w:rPr>
            </w:pPr>
          </w:p>
        </w:tc>
        <w:tc>
          <w:tcPr>
            <w:tcW w:w="500" w:type="dxa"/>
            <w:vAlign w:val="bottom"/>
            <w:tcBorders>
              <w:bottom w:val="single" w:sz="8" w:color="auto"/>
            </w:tcBorders>
          </w:tcPr>
          <w:p>
            <w:pPr>
              <w:spacing w:after="0"/>
              <w:rPr>
                <w:sz w:val="24"/>
                <w:szCs w:val="24"/>
                <w:color w:val="auto"/>
              </w:rPr>
            </w:pPr>
          </w:p>
        </w:tc>
        <w:tc>
          <w:tcPr>
            <w:tcW w:w="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56"/>
        </w:trPr>
        <w:tc>
          <w:tcPr>
            <w:tcW w:w="116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380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140" w:type="dxa"/>
            <w:vAlign w:val="bottom"/>
            <w:gridSpan w:val="4"/>
          </w:tcPr>
          <w:p>
            <w:pPr>
              <w:jc w:val="right"/>
              <w:ind w:right="354"/>
              <w:spacing w:after="0" w:line="155" w:lineRule="exact"/>
              <w:rPr>
                <w:sz w:val="20"/>
                <w:szCs w:val="20"/>
                <w:color w:val="auto"/>
              </w:rPr>
            </w:pPr>
            <w:r>
              <w:rPr>
                <w:rFonts w:ascii="Arial" w:cs="Arial" w:eastAsia="Arial" w:hAnsi="Arial"/>
                <w:sz w:val="14"/>
                <w:szCs w:val="14"/>
                <w:b w:val="1"/>
                <w:bCs w:val="1"/>
                <w:color w:val="auto"/>
              </w:rPr>
              <w:t>2017</w:t>
            </w:r>
          </w:p>
        </w:tc>
        <w:tc>
          <w:tcPr>
            <w:tcW w:w="100" w:type="dxa"/>
            <w:vAlign w:val="bottom"/>
          </w:tcPr>
          <w:p>
            <w:pPr>
              <w:spacing w:after="0"/>
              <w:rPr>
                <w:sz w:val="13"/>
                <w:szCs w:val="13"/>
                <w:color w:val="auto"/>
              </w:rPr>
            </w:pPr>
          </w:p>
        </w:tc>
        <w:tc>
          <w:tcPr>
            <w:tcW w:w="1240" w:type="dxa"/>
            <w:vAlign w:val="bottom"/>
            <w:gridSpan w:val="5"/>
          </w:tcPr>
          <w:p>
            <w:pPr>
              <w:jc w:val="right"/>
              <w:ind w:right="340"/>
              <w:spacing w:after="0" w:line="155" w:lineRule="exact"/>
              <w:rPr>
                <w:sz w:val="20"/>
                <w:szCs w:val="20"/>
                <w:color w:val="auto"/>
              </w:rPr>
            </w:pPr>
            <w:r>
              <w:rPr>
                <w:rFonts w:ascii="Arial" w:cs="Arial" w:eastAsia="Arial" w:hAnsi="Arial"/>
                <w:sz w:val="14"/>
                <w:szCs w:val="14"/>
                <w:b w:val="1"/>
                <w:bCs w:val="1"/>
                <w:color w:val="auto"/>
              </w:rPr>
              <w:t>2016</w:t>
            </w:r>
          </w:p>
        </w:tc>
        <w:tc>
          <w:tcPr>
            <w:tcW w:w="8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116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380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Deferred tax assets:</w:t>
            </w:r>
          </w:p>
        </w:tc>
        <w:tc>
          <w:tcPr>
            <w:tcW w:w="1020" w:type="dxa"/>
            <w:vAlign w:val="bottom"/>
            <w:tcBorders>
              <w:top w:val="single" w:sz="8" w:color="CFF0FC"/>
            </w:tcBorders>
            <w:shd w:val="clear" w:color="auto" w:fill="CFF0FC"/>
          </w:tcPr>
          <w:p>
            <w:pPr>
              <w:spacing w:after="0"/>
              <w:rPr>
                <w:sz w:val="19"/>
                <w:szCs w:val="19"/>
                <w:color w:val="auto"/>
              </w:rPr>
            </w:pPr>
          </w:p>
        </w:tc>
        <w:tc>
          <w:tcPr>
            <w:tcW w:w="220" w:type="dxa"/>
            <w:vAlign w:val="bottom"/>
            <w:tcBorders>
              <w:top w:val="single" w:sz="8" w:color="CFF0FC"/>
            </w:tcBorders>
            <w:shd w:val="clear" w:color="auto" w:fill="CFF0FC"/>
          </w:tcPr>
          <w:p>
            <w:pPr>
              <w:spacing w:after="0"/>
              <w:rPr>
                <w:sz w:val="19"/>
                <w:szCs w:val="19"/>
                <w:color w:val="auto"/>
              </w:rPr>
            </w:pPr>
          </w:p>
        </w:tc>
        <w:tc>
          <w:tcPr>
            <w:tcW w:w="380" w:type="dxa"/>
            <w:vAlign w:val="bottom"/>
            <w:tcBorders>
              <w:top w:val="single" w:sz="8" w:color="CFF0FC"/>
            </w:tcBorders>
            <w:shd w:val="clear" w:color="auto" w:fill="CFF0FC"/>
          </w:tcPr>
          <w:p>
            <w:pPr>
              <w:spacing w:after="0"/>
              <w:rPr>
                <w:sz w:val="19"/>
                <w:szCs w:val="19"/>
                <w:color w:val="auto"/>
              </w:rPr>
            </w:pPr>
          </w:p>
        </w:tc>
        <w:tc>
          <w:tcPr>
            <w:tcW w:w="480" w:type="dxa"/>
            <w:vAlign w:val="bottom"/>
            <w:tcBorders>
              <w:top w:val="single" w:sz="8" w:color="auto"/>
            </w:tcBorders>
            <w:shd w:val="clear" w:color="auto" w:fill="CFF0FC"/>
          </w:tcPr>
          <w:p>
            <w:pPr>
              <w:spacing w:after="0"/>
              <w:rPr>
                <w:sz w:val="19"/>
                <w:szCs w:val="19"/>
                <w:color w:val="auto"/>
              </w:rPr>
            </w:pPr>
          </w:p>
        </w:tc>
        <w:tc>
          <w:tcPr>
            <w:tcW w:w="60" w:type="dxa"/>
            <w:vAlign w:val="bottom"/>
            <w:tcBorders>
              <w:top w:val="single" w:sz="8" w:color="auto"/>
            </w:tcBorders>
            <w:shd w:val="clear" w:color="auto" w:fill="CFF0FC"/>
          </w:tcPr>
          <w:p>
            <w:pPr>
              <w:spacing w:after="0"/>
              <w:rPr>
                <w:sz w:val="19"/>
                <w:szCs w:val="19"/>
                <w:color w:val="auto"/>
              </w:rPr>
            </w:pPr>
          </w:p>
        </w:tc>
        <w:tc>
          <w:tcPr>
            <w:tcW w:w="140" w:type="dxa"/>
            <w:vAlign w:val="bottom"/>
            <w:tcBorders>
              <w:top w:val="single" w:sz="8" w:color="auto"/>
            </w:tcBorders>
            <w:shd w:val="clear" w:color="auto" w:fill="CFF0FC"/>
          </w:tcPr>
          <w:p>
            <w:pPr>
              <w:spacing w:after="0"/>
              <w:rPr>
                <w:sz w:val="19"/>
                <w:szCs w:val="19"/>
                <w:color w:val="auto"/>
              </w:rPr>
            </w:pPr>
          </w:p>
        </w:tc>
        <w:tc>
          <w:tcPr>
            <w:tcW w:w="460" w:type="dxa"/>
            <w:vAlign w:val="bottom"/>
            <w:tcBorders>
              <w:top w:val="single" w:sz="8" w:color="auto"/>
            </w:tcBorders>
            <w:shd w:val="clear" w:color="auto" w:fill="CFF0FC"/>
          </w:tcPr>
          <w:p>
            <w:pPr>
              <w:spacing w:after="0"/>
              <w:rPr>
                <w:sz w:val="19"/>
                <w:szCs w:val="19"/>
                <w:color w:val="auto"/>
              </w:rPr>
            </w:pPr>
          </w:p>
        </w:tc>
        <w:tc>
          <w:tcPr>
            <w:tcW w:w="10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CFF0FC"/>
            </w:tcBorders>
            <w:shd w:val="clear" w:color="auto" w:fill="CFF0FC"/>
          </w:tcPr>
          <w:p>
            <w:pPr>
              <w:spacing w:after="0"/>
              <w:rPr>
                <w:sz w:val="19"/>
                <w:szCs w:val="19"/>
                <w:color w:val="auto"/>
              </w:rPr>
            </w:pPr>
          </w:p>
        </w:tc>
        <w:tc>
          <w:tcPr>
            <w:tcW w:w="420" w:type="dxa"/>
            <w:vAlign w:val="bottom"/>
            <w:tcBorders>
              <w:top w:val="single" w:sz="8" w:color="auto"/>
            </w:tcBorders>
            <w:shd w:val="clear" w:color="auto" w:fill="CFF0FC"/>
          </w:tcPr>
          <w:p>
            <w:pPr>
              <w:spacing w:after="0"/>
              <w:rPr>
                <w:sz w:val="19"/>
                <w:szCs w:val="19"/>
                <w:color w:val="auto"/>
              </w:rPr>
            </w:pPr>
          </w:p>
        </w:tc>
        <w:tc>
          <w:tcPr>
            <w:tcW w:w="100" w:type="dxa"/>
            <w:vAlign w:val="bottom"/>
            <w:tcBorders>
              <w:top w:val="single" w:sz="8" w:color="auto"/>
            </w:tcBorders>
            <w:shd w:val="clear" w:color="auto" w:fill="CFF0FC"/>
          </w:tcPr>
          <w:p>
            <w:pPr>
              <w:spacing w:after="0"/>
              <w:rPr>
                <w:sz w:val="19"/>
                <w:szCs w:val="19"/>
                <w:color w:val="auto"/>
              </w:rPr>
            </w:pPr>
          </w:p>
        </w:tc>
        <w:tc>
          <w:tcPr>
            <w:tcW w:w="120" w:type="dxa"/>
            <w:vAlign w:val="bottom"/>
            <w:tcBorders>
              <w:top w:val="single" w:sz="8" w:color="auto"/>
            </w:tcBorders>
            <w:shd w:val="clear" w:color="auto" w:fill="CFF0FC"/>
          </w:tcPr>
          <w:p>
            <w:pPr>
              <w:spacing w:after="0"/>
              <w:rPr>
                <w:sz w:val="19"/>
                <w:szCs w:val="19"/>
                <w:color w:val="auto"/>
              </w:rPr>
            </w:pPr>
          </w:p>
        </w:tc>
        <w:tc>
          <w:tcPr>
            <w:tcW w:w="500" w:type="dxa"/>
            <w:vAlign w:val="bottom"/>
            <w:tcBorders>
              <w:top w:val="single" w:sz="8" w:color="auto"/>
            </w:tcBorders>
            <w:shd w:val="clear" w:color="auto" w:fill="CFF0FC"/>
          </w:tcPr>
          <w:p>
            <w:pPr>
              <w:spacing w:after="0"/>
              <w:rPr>
                <w:sz w:val="19"/>
                <w:szCs w:val="19"/>
                <w:color w:val="auto"/>
              </w:rPr>
            </w:pPr>
          </w:p>
        </w:tc>
        <w:tc>
          <w:tcPr>
            <w:tcW w:w="80" w:type="dxa"/>
            <w:vAlign w:val="bottom"/>
            <w:tcBorders>
              <w:top w:val="single" w:sz="8" w:color="CFF0FC"/>
            </w:tcBorders>
            <w:shd w:val="clear" w:color="auto" w:fill="CFF0FC"/>
          </w:tcPr>
          <w:p>
            <w:pPr>
              <w:spacing w:after="0"/>
              <w:rPr>
                <w:sz w:val="19"/>
                <w:szCs w:val="19"/>
                <w:color w:val="auto"/>
              </w:rPr>
            </w:pPr>
          </w:p>
        </w:tc>
        <w:tc>
          <w:tcPr>
            <w:tcW w:w="5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16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3800" w:type="dxa"/>
            <w:vAlign w:val="bottom"/>
          </w:tcPr>
          <w:p>
            <w:pPr>
              <w:ind w:left="240"/>
              <w:spacing w:after="0"/>
              <w:rPr>
                <w:sz w:val="20"/>
                <w:szCs w:val="20"/>
                <w:color w:val="auto"/>
              </w:rPr>
            </w:pPr>
            <w:r>
              <w:rPr>
                <w:rFonts w:ascii="Arial" w:cs="Arial" w:eastAsia="Arial" w:hAnsi="Arial"/>
                <w:sz w:val="18"/>
                <w:szCs w:val="18"/>
                <w:color w:val="auto"/>
              </w:rPr>
              <w:t>Net operating loss carryforwards</w:t>
            </w:r>
          </w:p>
        </w:tc>
        <w:tc>
          <w:tcPr>
            <w:tcW w:w="10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60" w:type="dxa"/>
            <w:vAlign w:val="bottom"/>
            <w:gridSpan w:val="2"/>
          </w:tcPr>
          <w:p>
            <w:pPr>
              <w:jc w:val="right"/>
              <w:ind w:right="327"/>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9"/>
                <w:szCs w:val="19"/>
                <w:color w:val="auto"/>
              </w:rPr>
            </w:pPr>
          </w:p>
        </w:tc>
        <w:tc>
          <w:tcPr>
            <w:tcW w:w="600" w:type="dxa"/>
            <w:vAlign w:val="bottom"/>
            <w:gridSpan w:val="2"/>
          </w:tcPr>
          <w:p>
            <w:pPr>
              <w:jc w:val="right"/>
              <w:spacing w:after="0"/>
              <w:rPr>
                <w:sz w:val="20"/>
                <w:szCs w:val="20"/>
                <w:color w:val="auto"/>
              </w:rPr>
            </w:pPr>
            <w:r>
              <w:rPr>
                <w:rFonts w:ascii="Arial" w:cs="Arial" w:eastAsia="Arial" w:hAnsi="Arial"/>
                <w:sz w:val="18"/>
                <w:szCs w:val="18"/>
                <w:color w:val="auto"/>
              </w:rPr>
              <w:t>37,173</w:t>
            </w:r>
          </w:p>
        </w:tc>
        <w:tc>
          <w:tcPr>
            <w:tcW w:w="100" w:type="dxa"/>
            <w:vAlign w:val="bottom"/>
          </w:tcPr>
          <w:p>
            <w:pPr>
              <w:spacing w:after="0"/>
              <w:rPr>
                <w:sz w:val="19"/>
                <w:szCs w:val="19"/>
                <w:color w:val="auto"/>
              </w:rPr>
            </w:pPr>
          </w:p>
        </w:tc>
        <w:tc>
          <w:tcPr>
            <w:tcW w:w="520" w:type="dxa"/>
            <w:vAlign w:val="bottom"/>
            <w:gridSpan w:val="2"/>
          </w:tcPr>
          <w:p>
            <w:pPr>
              <w:jc w:val="right"/>
              <w:ind w:right="23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620" w:type="dxa"/>
            <w:vAlign w:val="bottom"/>
            <w:gridSpan w:val="2"/>
          </w:tcPr>
          <w:p>
            <w:pPr>
              <w:jc w:val="right"/>
              <w:spacing w:after="0"/>
              <w:rPr>
                <w:sz w:val="20"/>
                <w:szCs w:val="20"/>
                <w:color w:val="auto"/>
              </w:rPr>
            </w:pPr>
            <w:r>
              <w:rPr>
                <w:rFonts w:ascii="Arial" w:cs="Arial" w:eastAsia="Arial" w:hAnsi="Arial"/>
                <w:sz w:val="18"/>
                <w:szCs w:val="18"/>
                <w:color w:val="auto"/>
              </w:rPr>
              <w:t>51,104</w:t>
            </w:r>
          </w:p>
        </w:tc>
        <w:tc>
          <w:tcPr>
            <w:tcW w:w="8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16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3800" w:type="dxa"/>
            <w:vAlign w:val="bottom"/>
            <w:shd w:val="clear" w:color="auto" w:fill="CFF0FC"/>
          </w:tcPr>
          <w:p>
            <w:pPr>
              <w:ind w:left="240"/>
              <w:spacing w:after="0"/>
              <w:rPr>
                <w:sz w:val="20"/>
                <w:szCs w:val="20"/>
                <w:color w:val="auto"/>
              </w:rPr>
            </w:pPr>
            <w:r>
              <w:rPr>
                <w:rFonts w:ascii="Arial" w:cs="Arial" w:eastAsia="Arial" w:hAnsi="Arial"/>
                <w:sz w:val="18"/>
                <w:szCs w:val="18"/>
                <w:color w:val="auto"/>
              </w:rPr>
              <w:t>Research and development credits</w:t>
            </w:r>
          </w:p>
        </w:tc>
        <w:tc>
          <w:tcPr>
            <w:tcW w:w="10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380" w:type="dxa"/>
            <w:vAlign w:val="bottom"/>
            <w:shd w:val="clear" w:color="auto" w:fill="CFF0FC"/>
          </w:tcPr>
          <w:p>
            <w:pPr>
              <w:spacing w:after="0"/>
              <w:rPr>
                <w:sz w:val="19"/>
                <w:szCs w:val="19"/>
                <w:color w:val="auto"/>
              </w:rPr>
            </w:pPr>
          </w:p>
        </w:tc>
        <w:tc>
          <w:tcPr>
            <w:tcW w:w="48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60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2,823</w:t>
            </w:r>
          </w:p>
        </w:tc>
        <w:tc>
          <w:tcPr>
            <w:tcW w:w="1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4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62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2,456</w:t>
            </w:r>
          </w:p>
        </w:tc>
        <w:tc>
          <w:tcPr>
            <w:tcW w:w="80" w:type="dxa"/>
            <w:vAlign w:val="bottom"/>
            <w:shd w:val="clear" w:color="auto" w:fill="CFF0FC"/>
          </w:tcPr>
          <w:p>
            <w:pPr>
              <w:spacing w:after="0"/>
              <w:rPr>
                <w:sz w:val="19"/>
                <w:szCs w:val="19"/>
                <w:color w:val="auto"/>
              </w:rPr>
            </w:pPr>
          </w:p>
        </w:tc>
        <w:tc>
          <w:tcPr>
            <w:tcW w:w="5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16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3800" w:type="dxa"/>
            <w:vAlign w:val="bottom"/>
            <w:tcBorders>
              <w:bottom w:val="single" w:sz="8" w:color="CFF0FC"/>
            </w:tcBorders>
          </w:tcPr>
          <w:p>
            <w:pPr>
              <w:ind w:left="240"/>
              <w:spacing w:after="0"/>
              <w:rPr>
                <w:sz w:val="20"/>
                <w:szCs w:val="20"/>
                <w:color w:val="auto"/>
              </w:rPr>
            </w:pPr>
            <w:r>
              <w:rPr>
                <w:rFonts w:ascii="Arial" w:cs="Arial" w:eastAsia="Arial" w:hAnsi="Arial"/>
                <w:sz w:val="18"/>
                <w:szCs w:val="18"/>
                <w:color w:val="auto"/>
              </w:rPr>
              <w:t>Accrual and reserves</w:t>
            </w:r>
          </w:p>
        </w:tc>
        <w:tc>
          <w:tcPr>
            <w:tcW w:w="1020" w:type="dxa"/>
            <w:vAlign w:val="bottom"/>
            <w:tcBorders>
              <w:bottom w:val="single" w:sz="8" w:color="CFF0FC"/>
            </w:tcBorders>
          </w:tcPr>
          <w:p>
            <w:pPr>
              <w:spacing w:after="0"/>
              <w:rPr>
                <w:sz w:val="19"/>
                <w:szCs w:val="19"/>
                <w:color w:val="auto"/>
              </w:rPr>
            </w:pPr>
          </w:p>
        </w:tc>
        <w:tc>
          <w:tcPr>
            <w:tcW w:w="220" w:type="dxa"/>
            <w:vAlign w:val="bottom"/>
            <w:tcBorders>
              <w:bottom w:val="single" w:sz="8" w:color="CFF0FC"/>
            </w:tcBorders>
          </w:tcPr>
          <w:p>
            <w:pPr>
              <w:spacing w:after="0"/>
              <w:rPr>
                <w:sz w:val="19"/>
                <w:szCs w:val="19"/>
                <w:color w:val="auto"/>
              </w:rPr>
            </w:pPr>
          </w:p>
        </w:tc>
        <w:tc>
          <w:tcPr>
            <w:tcW w:w="380" w:type="dxa"/>
            <w:vAlign w:val="bottom"/>
            <w:tcBorders>
              <w:bottom w:val="single" w:sz="8" w:color="CFF0FC"/>
            </w:tcBorders>
          </w:tcPr>
          <w:p>
            <w:pPr>
              <w:spacing w:after="0"/>
              <w:rPr>
                <w:sz w:val="19"/>
                <w:szCs w:val="19"/>
                <w:color w:val="auto"/>
              </w:rPr>
            </w:pPr>
          </w:p>
        </w:tc>
        <w:tc>
          <w:tcPr>
            <w:tcW w:w="480" w:type="dxa"/>
            <w:vAlign w:val="bottom"/>
            <w:tcBorders>
              <w:bottom w:val="single" w:sz="8" w:color="auto"/>
            </w:tcBorders>
          </w:tcPr>
          <w:p>
            <w:pPr>
              <w:spacing w:after="0"/>
              <w:rPr>
                <w:sz w:val="19"/>
                <w:szCs w:val="19"/>
                <w:color w:val="auto"/>
              </w:rPr>
            </w:pPr>
          </w:p>
        </w:tc>
        <w:tc>
          <w:tcPr>
            <w:tcW w:w="6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1,251</w:t>
            </w:r>
          </w:p>
        </w:tc>
        <w:tc>
          <w:tcPr>
            <w:tcW w:w="100" w:type="dxa"/>
            <w:vAlign w:val="bottom"/>
            <w:tcBorders>
              <w:bottom w:val="single" w:sz="8" w:color="CFF0FC"/>
            </w:tcBorders>
          </w:tcPr>
          <w:p>
            <w:pPr>
              <w:spacing w:after="0"/>
              <w:rPr>
                <w:sz w:val="19"/>
                <w:szCs w:val="19"/>
                <w:color w:val="auto"/>
              </w:rPr>
            </w:pPr>
          </w:p>
        </w:tc>
        <w:tc>
          <w:tcPr>
            <w:tcW w:w="100" w:type="dxa"/>
            <w:vAlign w:val="bottom"/>
            <w:tcBorders>
              <w:bottom w:val="single" w:sz="8" w:color="CFF0FC"/>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1,575</w:t>
            </w:r>
          </w:p>
        </w:tc>
        <w:tc>
          <w:tcPr>
            <w:tcW w:w="80" w:type="dxa"/>
            <w:vAlign w:val="bottom"/>
            <w:tcBorders>
              <w:bottom w:val="single" w:sz="8" w:color="CFF0FC"/>
            </w:tcBorders>
          </w:tcPr>
          <w:p>
            <w:pPr>
              <w:spacing w:after="0"/>
              <w:rPr>
                <w:sz w:val="19"/>
                <w:szCs w:val="19"/>
                <w:color w:val="auto"/>
              </w:rPr>
            </w:pPr>
          </w:p>
        </w:tc>
        <w:tc>
          <w:tcPr>
            <w:tcW w:w="5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116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3800" w:type="dxa"/>
            <w:vAlign w:val="bottom"/>
            <w:shd w:val="clear" w:color="auto" w:fill="CFF0FC"/>
          </w:tcPr>
          <w:p>
            <w:pPr>
              <w:ind w:left="380"/>
              <w:spacing w:after="0"/>
              <w:rPr>
                <w:sz w:val="20"/>
                <w:szCs w:val="20"/>
                <w:color w:val="auto"/>
              </w:rPr>
            </w:pPr>
            <w:r>
              <w:rPr>
                <w:rFonts w:ascii="Arial" w:cs="Arial" w:eastAsia="Arial" w:hAnsi="Arial"/>
                <w:sz w:val="18"/>
                <w:szCs w:val="18"/>
                <w:color w:val="auto"/>
              </w:rPr>
              <w:t>Total deferred tax assets</w:t>
            </w:r>
          </w:p>
        </w:tc>
        <w:tc>
          <w:tcPr>
            <w:tcW w:w="10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380" w:type="dxa"/>
            <w:vAlign w:val="bottom"/>
            <w:shd w:val="clear" w:color="auto" w:fill="CFF0FC"/>
          </w:tcPr>
          <w:p>
            <w:pPr>
              <w:spacing w:after="0"/>
              <w:rPr>
                <w:sz w:val="19"/>
                <w:szCs w:val="19"/>
                <w:color w:val="auto"/>
              </w:rPr>
            </w:pPr>
          </w:p>
        </w:tc>
        <w:tc>
          <w:tcPr>
            <w:tcW w:w="48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60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41,247</w:t>
            </w:r>
          </w:p>
        </w:tc>
        <w:tc>
          <w:tcPr>
            <w:tcW w:w="1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4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62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55,135</w:t>
            </w:r>
          </w:p>
        </w:tc>
        <w:tc>
          <w:tcPr>
            <w:tcW w:w="80" w:type="dxa"/>
            <w:vAlign w:val="bottom"/>
            <w:shd w:val="clear" w:color="auto" w:fill="CFF0FC"/>
          </w:tcPr>
          <w:p>
            <w:pPr>
              <w:spacing w:after="0"/>
              <w:rPr>
                <w:sz w:val="19"/>
                <w:szCs w:val="19"/>
                <w:color w:val="auto"/>
              </w:rPr>
            </w:pPr>
          </w:p>
        </w:tc>
        <w:tc>
          <w:tcPr>
            <w:tcW w:w="5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16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3800" w:type="dxa"/>
            <w:vAlign w:val="bottom"/>
          </w:tcPr>
          <w:p>
            <w:pPr>
              <w:ind w:left="240"/>
              <w:spacing w:after="0"/>
              <w:rPr>
                <w:sz w:val="20"/>
                <w:szCs w:val="20"/>
                <w:color w:val="auto"/>
              </w:rPr>
            </w:pPr>
            <w:r>
              <w:rPr>
                <w:rFonts w:ascii="Arial" w:cs="Arial" w:eastAsia="Arial" w:hAnsi="Arial"/>
                <w:sz w:val="18"/>
                <w:szCs w:val="18"/>
                <w:color w:val="auto"/>
              </w:rPr>
              <w:t>Less: valuation allowance</w:t>
            </w:r>
          </w:p>
        </w:tc>
        <w:tc>
          <w:tcPr>
            <w:tcW w:w="10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700" w:type="dxa"/>
            <w:vAlign w:val="bottom"/>
            <w:gridSpan w:val="3"/>
          </w:tcPr>
          <w:p>
            <w:pPr>
              <w:jc w:val="right"/>
              <w:ind w:right="40"/>
              <w:spacing w:after="0"/>
              <w:rPr>
                <w:sz w:val="20"/>
                <w:szCs w:val="20"/>
                <w:color w:val="auto"/>
              </w:rPr>
            </w:pPr>
            <w:r>
              <w:rPr>
                <w:rFonts w:ascii="Arial" w:cs="Arial" w:eastAsia="Arial" w:hAnsi="Arial"/>
                <w:sz w:val="18"/>
                <w:szCs w:val="18"/>
                <w:color w:val="auto"/>
                <w:w w:val="95"/>
              </w:rPr>
              <w:t>(41,247)</w:t>
            </w: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00" w:type="dxa"/>
            <w:vAlign w:val="bottom"/>
            <w:gridSpan w:val="3"/>
          </w:tcPr>
          <w:p>
            <w:pPr>
              <w:jc w:val="right"/>
              <w:ind w:right="20"/>
              <w:spacing w:after="0"/>
              <w:rPr>
                <w:sz w:val="20"/>
                <w:szCs w:val="20"/>
                <w:color w:val="auto"/>
              </w:rPr>
            </w:pPr>
            <w:r>
              <w:rPr>
                <w:rFonts w:ascii="Arial" w:cs="Arial" w:eastAsia="Arial" w:hAnsi="Arial"/>
                <w:sz w:val="18"/>
                <w:szCs w:val="18"/>
                <w:color w:val="auto"/>
                <w:w w:val="98"/>
              </w:rPr>
              <w:t>(55,135)</w:t>
            </w:r>
          </w:p>
        </w:tc>
        <w:tc>
          <w:tcPr>
            <w:tcW w:w="5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116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3800" w:type="dxa"/>
            <w:vAlign w:val="bottom"/>
            <w:tcBorders>
              <w:top w:val="single" w:sz="8" w:color="CFF0FC"/>
              <w:bottom w:val="single" w:sz="8" w:color="CFF0FC"/>
            </w:tcBorders>
            <w:shd w:val="clear" w:color="auto" w:fill="CFF0FC"/>
          </w:tcPr>
          <w:p>
            <w:pPr>
              <w:ind w:left="380"/>
              <w:spacing w:after="0"/>
              <w:rPr>
                <w:sz w:val="20"/>
                <w:szCs w:val="20"/>
                <w:color w:val="auto"/>
              </w:rPr>
            </w:pPr>
            <w:r>
              <w:rPr>
                <w:rFonts w:ascii="Arial" w:cs="Arial" w:eastAsia="Arial" w:hAnsi="Arial"/>
                <w:sz w:val="18"/>
                <w:szCs w:val="18"/>
                <w:color w:val="auto"/>
              </w:rPr>
              <w:t>Total net deferred tax assets</w:t>
            </w:r>
          </w:p>
        </w:tc>
        <w:tc>
          <w:tcPr>
            <w:tcW w:w="1020" w:type="dxa"/>
            <w:vAlign w:val="bottom"/>
            <w:tcBorders>
              <w:top w:val="single" w:sz="8" w:color="CFF0FC"/>
              <w:bottom w:val="single" w:sz="8" w:color="CFF0FC"/>
            </w:tcBorders>
            <w:shd w:val="clear" w:color="auto" w:fill="CFF0FC"/>
          </w:tcPr>
          <w:p>
            <w:pPr>
              <w:spacing w:after="0"/>
              <w:rPr>
                <w:sz w:val="19"/>
                <w:szCs w:val="19"/>
                <w:color w:val="auto"/>
              </w:rPr>
            </w:pPr>
          </w:p>
        </w:tc>
        <w:tc>
          <w:tcPr>
            <w:tcW w:w="220" w:type="dxa"/>
            <w:vAlign w:val="bottom"/>
            <w:tcBorders>
              <w:top w:val="single" w:sz="8" w:color="CFF0FC"/>
              <w:bottom w:val="single" w:sz="8" w:color="CFF0FC"/>
            </w:tcBorders>
            <w:shd w:val="clear" w:color="auto" w:fill="CFF0FC"/>
          </w:tcPr>
          <w:p>
            <w:pPr>
              <w:spacing w:after="0"/>
              <w:rPr>
                <w:sz w:val="19"/>
                <w:szCs w:val="19"/>
                <w:color w:val="auto"/>
              </w:rPr>
            </w:pPr>
          </w:p>
        </w:tc>
        <w:tc>
          <w:tcPr>
            <w:tcW w:w="380" w:type="dxa"/>
            <w:vAlign w:val="bottom"/>
            <w:tcBorders>
              <w:top w:val="single" w:sz="8" w:color="CFF0FC"/>
              <w:bottom w:val="single" w:sz="8" w:color="CFF0FC"/>
            </w:tcBorders>
            <w:shd w:val="clear" w:color="auto" w:fill="CFF0FC"/>
          </w:tcPr>
          <w:p>
            <w:pPr>
              <w:spacing w:after="0"/>
              <w:rPr>
                <w:sz w:val="19"/>
                <w:szCs w:val="19"/>
                <w:color w:val="auto"/>
              </w:rPr>
            </w:pPr>
          </w:p>
        </w:tc>
        <w:tc>
          <w:tcPr>
            <w:tcW w:w="480" w:type="dxa"/>
            <w:vAlign w:val="bottom"/>
            <w:tcBorders>
              <w:top w:val="single" w:sz="8" w:color="auto"/>
              <w:bottom w:val="single" w:sz="8" w:color="auto"/>
            </w:tcBorders>
            <w:shd w:val="clear" w:color="auto" w:fill="CFF0FC"/>
          </w:tcPr>
          <w:p>
            <w:pPr>
              <w:jc w:val="right"/>
              <w:ind w:right="327"/>
              <w:spacing w:after="0"/>
              <w:rPr>
                <w:sz w:val="20"/>
                <w:szCs w:val="20"/>
                <w:color w:val="auto"/>
              </w:rPr>
            </w:pPr>
            <w:r>
              <w:rPr>
                <w:rFonts w:ascii="Arial" w:cs="Arial" w:eastAsia="Arial" w:hAnsi="Arial"/>
                <w:sz w:val="15"/>
                <w:szCs w:val="15"/>
                <w:color w:val="auto"/>
                <w:w w:val="71"/>
              </w:rPr>
              <w:t>$</w:t>
            </w:r>
          </w:p>
        </w:tc>
        <w:tc>
          <w:tcPr>
            <w:tcW w:w="60" w:type="dxa"/>
            <w:vAlign w:val="bottom"/>
            <w:tcBorders>
              <w:top w:val="single" w:sz="8" w:color="auto"/>
              <w:bottom w:val="single" w:sz="8" w:color="auto"/>
            </w:tcBorders>
            <w:shd w:val="clear" w:color="auto" w:fill="CFF0FC"/>
          </w:tcPr>
          <w:p>
            <w:pPr>
              <w:spacing w:after="0"/>
              <w:rPr>
                <w:sz w:val="19"/>
                <w:szCs w:val="19"/>
                <w:color w:val="auto"/>
              </w:rPr>
            </w:pPr>
          </w:p>
        </w:tc>
        <w:tc>
          <w:tcPr>
            <w:tcW w:w="140" w:type="dxa"/>
            <w:vAlign w:val="bottom"/>
            <w:tcBorders>
              <w:top w:val="single" w:sz="8" w:color="auto"/>
              <w:bottom w:val="single" w:sz="8" w:color="auto"/>
            </w:tcBorders>
            <w:shd w:val="clear" w:color="auto" w:fill="CFF0FC"/>
          </w:tcPr>
          <w:p>
            <w:pPr>
              <w:spacing w:after="0"/>
              <w:rPr>
                <w:sz w:val="19"/>
                <w:szCs w:val="19"/>
                <w:color w:val="auto"/>
              </w:rPr>
            </w:pPr>
          </w:p>
        </w:tc>
        <w:tc>
          <w:tcPr>
            <w:tcW w:w="4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top w:val="single" w:sz="8" w:color="CFF0FC"/>
              <w:bottom w:val="single" w:sz="8" w:color="CFF0FC"/>
            </w:tcBorders>
            <w:shd w:val="clear" w:color="auto" w:fill="CFF0FC"/>
          </w:tcPr>
          <w:p>
            <w:pPr>
              <w:spacing w:after="0"/>
              <w:rPr>
                <w:sz w:val="19"/>
                <w:szCs w:val="19"/>
                <w:color w:val="auto"/>
              </w:rPr>
            </w:pPr>
          </w:p>
        </w:tc>
        <w:tc>
          <w:tcPr>
            <w:tcW w:w="100" w:type="dxa"/>
            <w:vAlign w:val="bottom"/>
            <w:tcBorders>
              <w:top w:val="single" w:sz="8" w:color="CFF0FC"/>
              <w:bottom w:val="single" w:sz="8" w:color="CFF0FC"/>
            </w:tcBorders>
            <w:shd w:val="clear" w:color="auto" w:fill="CFF0FC"/>
          </w:tcPr>
          <w:p>
            <w:pPr>
              <w:spacing w:after="0"/>
              <w:rPr>
                <w:sz w:val="19"/>
                <w:szCs w:val="19"/>
                <w:color w:val="auto"/>
              </w:rPr>
            </w:pPr>
          </w:p>
        </w:tc>
        <w:tc>
          <w:tcPr>
            <w:tcW w:w="420" w:type="dxa"/>
            <w:vAlign w:val="bottom"/>
            <w:tcBorders>
              <w:top w:val="single" w:sz="8" w:color="auto"/>
              <w:bottom w:val="single" w:sz="8" w:color="auto"/>
            </w:tcBorders>
            <w:shd w:val="clear" w:color="auto" w:fill="CFF0FC"/>
          </w:tcPr>
          <w:p>
            <w:pPr>
              <w:jc w:val="right"/>
              <w:ind w:right="230"/>
              <w:spacing w:after="0"/>
              <w:rPr>
                <w:sz w:val="20"/>
                <w:szCs w:val="20"/>
                <w:color w:val="auto"/>
              </w:rPr>
            </w:pPr>
            <w:r>
              <w:rPr>
                <w:rFonts w:ascii="Arial" w:cs="Arial" w:eastAsia="Arial" w:hAnsi="Arial"/>
                <w:sz w:val="18"/>
                <w:szCs w:val="18"/>
                <w:color w:val="auto"/>
                <w:w w:val="79"/>
              </w:rPr>
              <w:t>$</w:t>
            </w:r>
          </w:p>
        </w:tc>
        <w:tc>
          <w:tcPr>
            <w:tcW w:w="100" w:type="dxa"/>
            <w:vAlign w:val="bottom"/>
            <w:tcBorders>
              <w:top w:val="single" w:sz="8" w:color="auto"/>
              <w:bottom w:val="single" w:sz="8" w:color="auto"/>
            </w:tcBorders>
            <w:shd w:val="clear" w:color="auto" w:fill="CFF0FC"/>
          </w:tcPr>
          <w:p>
            <w:pPr>
              <w:spacing w:after="0"/>
              <w:rPr>
                <w:sz w:val="19"/>
                <w:szCs w:val="19"/>
                <w:color w:val="auto"/>
              </w:rPr>
            </w:pPr>
          </w:p>
        </w:tc>
        <w:tc>
          <w:tcPr>
            <w:tcW w:w="120" w:type="dxa"/>
            <w:vAlign w:val="bottom"/>
            <w:tcBorders>
              <w:top w:val="single" w:sz="8" w:color="auto"/>
              <w:bottom w:val="single" w:sz="8" w:color="auto"/>
            </w:tcBorders>
            <w:shd w:val="clear" w:color="auto" w:fill="CFF0FC"/>
          </w:tcPr>
          <w:p>
            <w:pPr>
              <w:spacing w:after="0"/>
              <w:rPr>
                <w:sz w:val="19"/>
                <w:szCs w:val="19"/>
                <w:color w:val="auto"/>
              </w:rPr>
            </w:pPr>
          </w:p>
        </w:tc>
        <w:tc>
          <w:tcPr>
            <w:tcW w:w="5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80" w:type="dxa"/>
            <w:vAlign w:val="bottom"/>
            <w:tcBorders>
              <w:top w:val="single" w:sz="8" w:color="CFF0FC"/>
              <w:bottom w:val="single" w:sz="8" w:color="CFF0FC"/>
            </w:tcBorders>
            <w:shd w:val="clear" w:color="auto" w:fill="CFF0FC"/>
          </w:tcPr>
          <w:p>
            <w:pPr>
              <w:spacing w:after="0"/>
              <w:rPr>
                <w:sz w:val="19"/>
                <w:szCs w:val="19"/>
                <w:color w:val="auto"/>
              </w:rPr>
            </w:pPr>
          </w:p>
        </w:tc>
        <w:tc>
          <w:tcPr>
            <w:tcW w:w="5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1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380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88" w:lineRule="exact"/>
        <w:rPr>
          <w:sz w:val="20"/>
          <w:szCs w:val="20"/>
          <w:color w:val="auto"/>
        </w:rPr>
      </w:pPr>
    </w:p>
    <w:p>
      <w:pPr>
        <w:spacing w:after="0" w:line="297" w:lineRule="auto"/>
        <w:rPr>
          <w:sz w:val="20"/>
          <w:szCs w:val="20"/>
          <w:color w:val="auto"/>
        </w:rPr>
      </w:pPr>
      <w:r>
        <w:rPr>
          <w:rFonts w:ascii="Arial" w:cs="Arial" w:eastAsia="Arial" w:hAnsi="Arial"/>
          <w:sz w:val="16"/>
          <w:szCs w:val="16"/>
          <w:color w:val="auto"/>
        </w:rPr>
        <w:t>As of December 31, 2017, the Company has federal and state net operating loss (“NOL) carryforwards of approximately $154,250 and $96,696. The use of these NOL carryforwards might be subject to limitation under the rules regarding a change in stock ownership as determined by the IRC and similar state provisions (the “Code”); however, a complete analysis of the limitation of the NOL carryforwards will not be complete until the time the Company projects it will be able to utilize such NOLs. The NOL carryforwards expire between 2018 and 2037, and valuation allowances have been reserved, where necessary. In addition, as of December 31, 2017, the Company also had NOL carryforwards in South Korea of approximately $1,102 which begin to expire in 2025.</w:t>
      </w:r>
    </w:p>
    <w:p>
      <w:pPr>
        <w:spacing w:after="0" w:line="50"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color w:val="auto"/>
        </w:rPr>
        <w:t>The Company also had federal and state research and development credit carryforwards of approximately $1,490 and $1,687, as of December 31, 2017. The federal credit will expire starting in 2025 if not utilized. The state credits have no expiration date.</w:t>
      </w:r>
    </w:p>
    <w:p>
      <w:pPr>
        <w:spacing w:after="0" w:line="62" w:lineRule="exact"/>
        <w:rPr>
          <w:sz w:val="20"/>
          <w:szCs w:val="20"/>
          <w:color w:val="auto"/>
        </w:rPr>
      </w:pPr>
    </w:p>
    <w:p>
      <w:pPr>
        <w:ind w:right="160"/>
        <w:spacing w:after="0" w:line="259" w:lineRule="auto"/>
        <w:rPr>
          <w:sz w:val="20"/>
          <w:szCs w:val="20"/>
          <w:color w:val="auto"/>
        </w:rPr>
      </w:pPr>
      <w:r>
        <w:rPr>
          <w:rFonts w:ascii="Arial" w:cs="Arial" w:eastAsia="Arial" w:hAnsi="Arial"/>
          <w:sz w:val="18"/>
          <w:szCs w:val="18"/>
          <w:color w:val="auto"/>
        </w:rPr>
        <w:t>Utilization of the research and development credit carryforwards may be subject to an annual limitation due to the ownership percentage change limitations provided by the Code. However, the Company has not conducted a formal study to determine the extent of the limitations, which could impact the realizability of these credit carryforwards in future periods. The annual limitations may result in the expiration of the net operating losses and research and development credits before utilization.</w:t>
      </w:r>
    </w:p>
    <w:p>
      <w:pPr>
        <w:spacing w:after="0" w:line="79" w:lineRule="exact"/>
        <w:rPr>
          <w:sz w:val="20"/>
          <w:szCs w:val="20"/>
          <w:color w:val="auto"/>
        </w:rPr>
      </w:pPr>
    </w:p>
    <w:p>
      <w:pPr>
        <w:ind w:right="180"/>
        <w:spacing w:after="0" w:line="312" w:lineRule="auto"/>
        <w:rPr>
          <w:sz w:val="20"/>
          <w:szCs w:val="20"/>
          <w:color w:val="auto"/>
        </w:rPr>
      </w:pPr>
      <w:r>
        <w:rPr>
          <w:rFonts w:ascii="Arial" w:cs="Arial" w:eastAsia="Arial" w:hAnsi="Arial"/>
          <w:sz w:val="16"/>
          <w:szCs w:val="16"/>
          <w:color w:val="auto"/>
        </w:rPr>
        <w:t>The Company has not provided for U.S. income taxes on undistributed earnings of its foreign subsidiaries because it intends to permanently re-invest these earnings outside the U.S. The cumulative amount of such undistributed earnings upon which no U.S. income taxes have been provided was $122 as of December 31, 2017. It is not practicable to determine the income tax liability that might be incurred if these earnings were to be repatriated to the U.S.</w:t>
      </w:r>
    </w:p>
    <w:p>
      <w:pPr>
        <w:spacing w:after="0" w:line="295"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98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360"/>
          </w:cols>
          <w:pgMar w:left="240" w:top="341" w:right="299" w:bottom="1440" w:gutter="0" w:footer="0" w:header="0"/>
        </w:sectPr>
      </w:pPr>
    </w:p>
    <w:bookmarkStart w:id="99" w:name="page100"/>
    <w:bookmarkEnd w:id="99"/>
    <w:p>
      <w:pPr>
        <w:spacing w:after="0"/>
        <w:rPr>
          <w:sz w:val="20"/>
          <w:szCs w:val="20"/>
          <w:color w:val="auto"/>
        </w:rPr>
      </w:pPr>
      <w:r>
        <w:rPr>
          <w:rFonts w:ascii="Arial" w:cs="Arial" w:eastAsia="Arial" w:hAnsi="Arial"/>
          <w:sz w:val="18"/>
          <w:szCs w:val="18"/>
          <w:i w:val="1"/>
          <w:iCs w:val="1"/>
          <w:color w:val="auto"/>
        </w:rPr>
        <w:t>Uncertain Tax Positions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The activity related to the gross amount of unrecognized tax benefits is as follows:</w:t>
      </w:r>
    </w:p>
    <w:p>
      <w:pPr>
        <w:spacing w:after="0" w:line="284" w:lineRule="exact"/>
        <w:rPr>
          <w:sz w:val="20"/>
          <w:szCs w:val="20"/>
          <w:color w:val="auto"/>
        </w:rPr>
      </w:pPr>
    </w:p>
    <w:tbl>
      <w:tblPr>
        <w:tblLayout w:type="fixed"/>
        <w:tblInd w:w="1720" w:type="dxa"/>
        <w:tblCellMar>
          <w:top w:w="0" w:type="dxa"/>
          <w:left w:w="0" w:type="dxa"/>
          <w:bottom w:w="0" w:type="dxa"/>
          <w:right w:w="0" w:type="dxa"/>
        </w:tblCellMar>
      </w:tblPr>
      <w:tr>
        <w:trPr>
          <w:trHeight w:val="171"/>
        </w:trPr>
        <w:tc>
          <w:tcPr>
            <w:tcW w:w="5460" w:type="dxa"/>
            <w:vAlign w:val="bottom"/>
          </w:tcPr>
          <w:p>
            <w:pPr>
              <w:spacing w:after="0"/>
              <w:rPr>
                <w:sz w:val="14"/>
                <w:szCs w:val="14"/>
                <w:color w:val="auto"/>
              </w:rPr>
            </w:pPr>
          </w:p>
        </w:tc>
        <w:tc>
          <w:tcPr>
            <w:tcW w:w="2040" w:type="dxa"/>
            <w:vAlign w:val="bottom"/>
            <w:tcBorders>
              <w:bottom w:val="single" w:sz="8" w:color="auto"/>
            </w:tcBorders>
            <w:gridSpan w:val="5"/>
          </w:tcPr>
          <w:p>
            <w:pPr>
              <w:jc w:val="right"/>
              <w:spacing w:after="0"/>
              <w:rPr>
                <w:sz w:val="20"/>
                <w:szCs w:val="20"/>
                <w:color w:val="auto"/>
              </w:rPr>
            </w:pPr>
            <w:r>
              <w:rPr>
                <w:rFonts w:ascii="Arial" w:cs="Arial" w:eastAsia="Arial" w:hAnsi="Arial"/>
                <w:sz w:val="14"/>
                <w:szCs w:val="14"/>
                <w:b w:val="1"/>
                <w:bCs w:val="1"/>
                <w:color w:val="auto"/>
              </w:rPr>
              <w:t>Year Ended December 31,</w:t>
            </w:r>
          </w:p>
        </w:tc>
        <w:tc>
          <w:tcPr>
            <w:tcW w:w="420" w:type="dxa"/>
            <w:vAlign w:val="bottom"/>
            <w:tcBorders>
              <w:bottom w:val="single" w:sz="8" w:color="auto"/>
            </w:tcBorders>
          </w:tcPr>
          <w:p>
            <w:pPr>
              <w:spacing w:after="0"/>
              <w:rPr>
                <w:sz w:val="14"/>
                <w:szCs w:val="14"/>
                <w:color w:val="auto"/>
              </w:rPr>
            </w:pPr>
          </w:p>
        </w:tc>
        <w:tc>
          <w:tcPr>
            <w:tcW w:w="60" w:type="dxa"/>
            <w:vAlign w:val="bottom"/>
          </w:tcPr>
          <w:p>
            <w:pPr>
              <w:spacing w:after="0"/>
              <w:rPr>
                <w:sz w:val="14"/>
                <w:szCs w:val="14"/>
                <w:color w:val="auto"/>
              </w:rPr>
            </w:pPr>
          </w:p>
        </w:tc>
      </w:tr>
      <w:tr>
        <w:trPr>
          <w:trHeight w:val="156"/>
        </w:trPr>
        <w:tc>
          <w:tcPr>
            <w:tcW w:w="5460" w:type="dxa"/>
            <w:vAlign w:val="bottom"/>
          </w:tcPr>
          <w:p>
            <w:pPr>
              <w:spacing w:after="0"/>
              <w:rPr>
                <w:sz w:val="13"/>
                <w:szCs w:val="13"/>
                <w:color w:val="auto"/>
              </w:rPr>
            </w:pPr>
          </w:p>
        </w:tc>
        <w:tc>
          <w:tcPr>
            <w:tcW w:w="700" w:type="dxa"/>
            <w:vAlign w:val="bottom"/>
          </w:tcPr>
          <w:p>
            <w:pPr>
              <w:jc w:val="right"/>
              <w:spacing w:after="0" w:line="155" w:lineRule="exact"/>
              <w:rPr>
                <w:sz w:val="20"/>
                <w:szCs w:val="20"/>
                <w:color w:val="auto"/>
              </w:rPr>
            </w:pPr>
            <w:r>
              <w:rPr>
                <w:rFonts w:ascii="Arial" w:cs="Arial" w:eastAsia="Arial" w:hAnsi="Arial"/>
                <w:sz w:val="14"/>
                <w:szCs w:val="14"/>
                <w:b w:val="1"/>
                <w:bCs w:val="1"/>
                <w:color w:val="auto"/>
              </w:rPr>
              <w:t>2017</w:t>
            </w:r>
          </w:p>
        </w:tc>
        <w:tc>
          <w:tcPr>
            <w:tcW w:w="4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20" w:type="dxa"/>
            <w:vAlign w:val="bottom"/>
            <w:gridSpan w:val="2"/>
          </w:tcPr>
          <w:p>
            <w:pPr>
              <w:jc w:val="right"/>
              <w:spacing w:after="0" w:line="155" w:lineRule="exact"/>
              <w:rPr>
                <w:sz w:val="20"/>
                <w:szCs w:val="20"/>
                <w:color w:val="auto"/>
              </w:rPr>
            </w:pPr>
            <w:r>
              <w:rPr>
                <w:rFonts w:ascii="Arial" w:cs="Arial" w:eastAsia="Arial" w:hAnsi="Arial"/>
                <w:sz w:val="14"/>
                <w:szCs w:val="14"/>
                <w:b w:val="1"/>
                <w:bCs w:val="1"/>
                <w:color w:val="auto"/>
              </w:rPr>
              <w:t>2016</w:t>
            </w:r>
          </w:p>
        </w:tc>
        <w:tc>
          <w:tcPr>
            <w:tcW w:w="420" w:type="dxa"/>
            <w:vAlign w:val="bottom"/>
          </w:tcPr>
          <w:p>
            <w:pPr>
              <w:spacing w:after="0"/>
              <w:rPr>
                <w:sz w:val="13"/>
                <w:szCs w:val="13"/>
                <w:color w:val="auto"/>
              </w:rPr>
            </w:pPr>
          </w:p>
        </w:tc>
        <w:tc>
          <w:tcPr>
            <w:tcW w:w="60" w:type="dxa"/>
            <w:vAlign w:val="bottom"/>
          </w:tcPr>
          <w:p>
            <w:pPr>
              <w:spacing w:after="0"/>
              <w:rPr>
                <w:sz w:val="13"/>
                <w:szCs w:val="13"/>
                <w:color w:val="auto"/>
              </w:rPr>
            </w:pPr>
          </w:p>
        </w:tc>
      </w:tr>
      <w:tr>
        <w:trPr>
          <w:trHeight w:val="223"/>
        </w:trPr>
        <w:tc>
          <w:tcPr>
            <w:tcW w:w="546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Balance as of the beginning of the year</w:t>
            </w:r>
          </w:p>
        </w:tc>
        <w:tc>
          <w:tcPr>
            <w:tcW w:w="700" w:type="dxa"/>
            <w:vAlign w:val="bottom"/>
            <w:tcBorders>
              <w:top w:val="single" w:sz="8" w:color="auto"/>
            </w:tcBorders>
            <w:shd w:val="clear" w:color="auto" w:fill="CFF0FC"/>
          </w:tcPr>
          <w:p>
            <w:pPr>
              <w:jc w:val="right"/>
              <w:ind w:right="547"/>
              <w:spacing w:after="0"/>
              <w:rPr>
                <w:sz w:val="20"/>
                <w:szCs w:val="20"/>
                <w:color w:val="auto"/>
              </w:rPr>
            </w:pPr>
            <w:r>
              <w:rPr>
                <w:rFonts w:ascii="Arial" w:cs="Arial" w:eastAsia="Arial" w:hAnsi="Arial"/>
                <w:sz w:val="15"/>
                <w:szCs w:val="15"/>
                <w:color w:val="auto"/>
                <w:w w:val="71"/>
              </w:rPr>
              <w:t>$</w:t>
            </w:r>
          </w:p>
        </w:tc>
        <w:tc>
          <w:tcPr>
            <w:tcW w:w="4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88"/>
              </w:rPr>
              <w:t>1,283</w:t>
            </w:r>
          </w:p>
        </w:tc>
        <w:tc>
          <w:tcPr>
            <w:tcW w:w="180" w:type="dxa"/>
            <w:vAlign w:val="bottom"/>
            <w:tcBorders>
              <w:top w:val="single" w:sz="8" w:color="CFF0FC"/>
            </w:tcBorders>
            <w:shd w:val="clear" w:color="auto" w:fill="CFF0FC"/>
          </w:tcPr>
          <w:p>
            <w:pPr>
              <w:spacing w:after="0"/>
              <w:rPr>
                <w:sz w:val="19"/>
                <w:szCs w:val="19"/>
                <w:color w:val="auto"/>
              </w:rPr>
            </w:pPr>
          </w:p>
        </w:tc>
        <w:tc>
          <w:tcPr>
            <w:tcW w:w="20" w:type="dxa"/>
            <w:vAlign w:val="bottom"/>
            <w:tcBorders>
              <w:top w:val="single" w:sz="8" w:color="CFF0FC"/>
            </w:tcBorders>
            <w:shd w:val="clear" w:color="auto" w:fill="CFF0FC"/>
          </w:tcPr>
          <w:p>
            <w:pPr>
              <w:spacing w:after="0"/>
              <w:rPr>
                <w:sz w:val="19"/>
                <w:szCs w:val="19"/>
                <w:color w:val="auto"/>
              </w:rPr>
            </w:pPr>
          </w:p>
        </w:tc>
        <w:tc>
          <w:tcPr>
            <w:tcW w:w="700" w:type="dxa"/>
            <w:vAlign w:val="bottom"/>
            <w:tcBorders>
              <w:top w:val="single" w:sz="8" w:color="auto"/>
            </w:tcBorders>
            <w:shd w:val="clear" w:color="auto" w:fill="CFF0FC"/>
          </w:tcPr>
          <w:p>
            <w:pPr>
              <w:jc w:val="right"/>
              <w:ind w:right="545"/>
              <w:spacing w:after="0"/>
              <w:rPr>
                <w:sz w:val="20"/>
                <w:szCs w:val="20"/>
                <w:color w:val="auto"/>
              </w:rPr>
            </w:pPr>
            <w:r>
              <w:rPr>
                <w:rFonts w:ascii="Arial" w:cs="Arial" w:eastAsia="Arial" w:hAnsi="Arial"/>
                <w:sz w:val="15"/>
                <w:szCs w:val="15"/>
                <w:color w:val="auto"/>
                <w:w w:val="71"/>
              </w:rPr>
              <w:t>$</w:t>
            </w:r>
          </w:p>
        </w:tc>
        <w:tc>
          <w:tcPr>
            <w:tcW w:w="4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84"/>
              </w:rPr>
              <w:t>1,186</w:t>
            </w:r>
          </w:p>
        </w:tc>
        <w:tc>
          <w:tcPr>
            <w:tcW w:w="60" w:type="dxa"/>
            <w:vAlign w:val="bottom"/>
            <w:tcBorders>
              <w:top w:val="single" w:sz="8" w:color="CFF0FC"/>
            </w:tcBorders>
            <w:shd w:val="clear" w:color="auto" w:fill="CFF0FC"/>
          </w:tcPr>
          <w:p>
            <w:pPr>
              <w:spacing w:after="0"/>
              <w:rPr>
                <w:sz w:val="19"/>
                <w:szCs w:val="19"/>
                <w:color w:val="auto"/>
              </w:rPr>
            </w:pPr>
          </w:p>
        </w:tc>
      </w:tr>
      <w:tr>
        <w:trPr>
          <w:trHeight w:val="230"/>
        </w:trPr>
        <w:tc>
          <w:tcPr>
            <w:tcW w:w="5460" w:type="dxa"/>
            <w:vAlign w:val="bottom"/>
          </w:tcPr>
          <w:p>
            <w:pPr>
              <w:ind w:left="120"/>
              <w:spacing w:after="0"/>
              <w:rPr>
                <w:sz w:val="20"/>
                <w:szCs w:val="20"/>
                <w:color w:val="auto"/>
              </w:rPr>
            </w:pPr>
            <w:r>
              <w:rPr>
                <w:rFonts w:ascii="Arial" w:cs="Arial" w:eastAsia="Arial" w:hAnsi="Arial"/>
                <w:sz w:val="18"/>
                <w:szCs w:val="18"/>
                <w:color w:val="auto"/>
              </w:rPr>
              <w:t>Increases related to tax positions in prior period</w:t>
            </w:r>
          </w:p>
        </w:tc>
        <w:tc>
          <w:tcPr>
            <w:tcW w:w="700" w:type="dxa"/>
            <w:vAlign w:val="bottom"/>
          </w:tcPr>
          <w:p>
            <w:pPr>
              <w:spacing w:after="0"/>
              <w:rPr>
                <w:sz w:val="19"/>
                <w:szCs w:val="19"/>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5</w:t>
            </w:r>
          </w:p>
        </w:tc>
        <w:tc>
          <w:tcPr>
            <w:tcW w:w="1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16</w:t>
            </w:r>
          </w:p>
        </w:tc>
        <w:tc>
          <w:tcPr>
            <w:tcW w:w="60" w:type="dxa"/>
            <w:vAlign w:val="bottom"/>
          </w:tcPr>
          <w:p>
            <w:pPr>
              <w:spacing w:after="0"/>
              <w:rPr>
                <w:sz w:val="19"/>
                <w:szCs w:val="19"/>
                <w:color w:val="auto"/>
              </w:rPr>
            </w:pPr>
          </w:p>
        </w:tc>
      </w:tr>
      <w:tr>
        <w:trPr>
          <w:trHeight w:val="215"/>
        </w:trPr>
        <w:tc>
          <w:tcPr>
            <w:tcW w:w="5460" w:type="dxa"/>
            <w:vAlign w:val="bottom"/>
            <w:shd w:val="clear" w:color="auto" w:fill="CFF0FC"/>
          </w:tcPr>
          <w:p>
            <w:pPr>
              <w:ind w:left="120"/>
              <w:spacing w:after="0"/>
              <w:rPr>
                <w:sz w:val="20"/>
                <w:szCs w:val="20"/>
                <w:color w:val="auto"/>
              </w:rPr>
            </w:pPr>
            <w:r>
              <w:rPr>
                <w:rFonts w:ascii="Arial" w:cs="Arial" w:eastAsia="Arial" w:hAnsi="Arial"/>
                <w:sz w:val="18"/>
                <w:szCs w:val="18"/>
                <w:color w:val="auto"/>
              </w:rPr>
              <w:t>Increases related to tax positions taken during the</w:t>
            </w:r>
          </w:p>
        </w:tc>
        <w:tc>
          <w:tcPr>
            <w:tcW w:w="700" w:type="dxa"/>
            <w:vAlign w:val="bottom"/>
            <w:shd w:val="clear" w:color="auto" w:fill="CFF0FC"/>
          </w:tcPr>
          <w:p>
            <w:pPr>
              <w:spacing w:after="0"/>
              <w:rPr>
                <w:sz w:val="18"/>
                <w:szCs w:val="18"/>
                <w:color w:val="auto"/>
              </w:rPr>
            </w:pPr>
          </w:p>
        </w:tc>
        <w:tc>
          <w:tcPr>
            <w:tcW w:w="44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700" w:type="dxa"/>
            <w:vAlign w:val="bottom"/>
            <w:shd w:val="clear" w:color="auto" w:fill="CFF0FC"/>
          </w:tcPr>
          <w:p>
            <w:pPr>
              <w:spacing w:after="0"/>
              <w:rPr>
                <w:sz w:val="18"/>
                <w:szCs w:val="18"/>
                <w:color w:val="auto"/>
              </w:rPr>
            </w:pPr>
          </w:p>
        </w:tc>
        <w:tc>
          <w:tcPr>
            <w:tcW w:w="42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r>
      <w:tr>
        <w:trPr>
          <w:trHeight w:val="230"/>
        </w:trPr>
        <w:tc>
          <w:tcPr>
            <w:tcW w:w="5460" w:type="dxa"/>
            <w:vAlign w:val="bottom"/>
            <w:shd w:val="clear" w:color="auto" w:fill="CFF0FC"/>
          </w:tcPr>
          <w:p>
            <w:pPr>
              <w:ind w:left="260"/>
              <w:spacing w:after="0"/>
              <w:rPr>
                <w:sz w:val="20"/>
                <w:szCs w:val="20"/>
                <w:color w:val="auto"/>
              </w:rPr>
            </w:pPr>
            <w:r>
              <w:rPr>
                <w:rFonts w:ascii="Arial" w:cs="Arial" w:eastAsia="Arial" w:hAnsi="Arial"/>
                <w:sz w:val="18"/>
                <w:szCs w:val="18"/>
                <w:color w:val="auto"/>
              </w:rPr>
              <w:t>current period</w:t>
            </w:r>
          </w:p>
        </w:tc>
        <w:tc>
          <w:tcPr>
            <w:tcW w:w="700" w:type="dxa"/>
            <w:vAlign w:val="bottom"/>
            <w:tcBorders>
              <w:bottom w:val="single" w:sz="8" w:color="auto"/>
            </w:tcBorders>
            <w:shd w:val="clear" w:color="auto" w:fill="CFF0FC"/>
          </w:tcPr>
          <w:p>
            <w:pPr>
              <w:spacing w:after="0"/>
              <w:rPr>
                <w:sz w:val="20"/>
                <w:szCs w:val="20"/>
                <w:color w:val="auto"/>
              </w:rPr>
            </w:pPr>
          </w:p>
        </w:tc>
        <w:tc>
          <w:tcPr>
            <w:tcW w:w="4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74</w:t>
            </w:r>
          </w:p>
        </w:tc>
        <w:tc>
          <w:tcPr>
            <w:tcW w:w="180" w:type="dxa"/>
            <w:vAlign w:val="bottom"/>
            <w:shd w:val="clear" w:color="auto" w:fill="CFF0FC"/>
          </w:tcPr>
          <w:p>
            <w:pPr>
              <w:spacing w:after="0"/>
              <w:rPr>
                <w:sz w:val="20"/>
                <w:szCs w:val="20"/>
                <w:color w:val="auto"/>
              </w:rPr>
            </w:pPr>
          </w:p>
        </w:tc>
        <w:tc>
          <w:tcPr>
            <w:tcW w:w="20" w:type="dxa"/>
            <w:vAlign w:val="bottom"/>
            <w:shd w:val="clear" w:color="auto" w:fill="CFF0FC"/>
          </w:tcPr>
          <w:p>
            <w:pPr>
              <w:spacing w:after="0"/>
              <w:rPr>
                <w:sz w:val="20"/>
                <w:szCs w:val="20"/>
                <w:color w:val="auto"/>
              </w:rPr>
            </w:pPr>
          </w:p>
        </w:tc>
        <w:tc>
          <w:tcPr>
            <w:tcW w:w="700" w:type="dxa"/>
            <w:vAlign w:val="bottom"/>
            <w:tcBorders>
              <w:bottom w:val="single" w:sz="8" w:color="auto"/>
            </w:tcBorders>
            <w:shd w:val="clear" w:color="auto" w:fill="CFF0FC"/>
          </w:tcPr>
          <w:p>
            <w:pPr>
              <w:spacing w:after="0"/>
              <w:rPr>
                <w:sz w:val="20"/>
                <w:szCs w:val="20"/>
                <w:color w:val="auto"/>
              </w:rPr>
            </w:pPr>
          </w:p>
        </w:tc>
        <w:tc>
          <w:tcPr>
            <w:tcW w:w="4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81</w:t>
            </w:r>
          </w:p>
        </w:tc>
        <w:tc>
          <w:tcPr>
            <w:tcW w:w="60" w:type="dxa"/>
            <w:vAlign w:val="bottom"/>
            <w:shd w:val="clear" w:color="auto" w:fill="CFF0FC"/>
          </w:tcPr>
          <w:p>
            <w:pPr>
              <w:spacing w:after="0"/>
              <w:rPr>
                <w:sz w:val="20"/>
                <w:szCs w:val="20"/>
                <w:color w:val="auto"/>
              </w:rPr>
            </w:pPr>
          </w:p>
        </w:tc>
      </w:tr>
      <w:tr>
        <w:trPr>
          <w:trHeight w:val="223"/>
        </w:trPr>
        <w:tc>
          <w:tcPr>
            <w:tcW w:w="5460" w:type="dxa"/>
            <w:vAlign w:val="bottom"/>
          </w:tcPr>
          <w:p>
            <w:pPr>
              <w:spacing w:after="0"/>
              <w:rPr>
                <w:sz w:val="20"/>
                <w:szCs w:val="20"/>
                <w:color w:val="auto"/>
              </w:rPr>
            </w:pPr>
            <w:r>
              <w:rPr>
                <w:rFonts w:ascii="Arial" w:cs="Arial" w:eastAsia="Arial" w:hAnsi="Arial"/>
                <w:sz w:val="18"/>
                <w:szCs w:val="18"/>
                <w:color w:val="auto"/>
              </w:rPr>
              <w:t>Balance at the end of the year</w:t>
            </w:r>
          </w:p>
        </w:tc>
        <w:tc>
          <w:tcPr>
            <w:tcW w:w="700" w:type="dxa"/>
            <w:vAlign w:val="bottom"/>
            <w:tcBorders>
              <w:bottom w:val="single" w:sz="8" w:color="auto"/>
            </w:tcBorders>
          </w:tcPr>
          <w:p>
            <w:pPr>
              <w:jc w:val="right"/>
              <w:ind w:right="547"/>
              <w:spacing w:after="0"/>
              <w:rPr>
                <w:sz w:val="20"/>
                <w:szCs w:val="20"/>
                <w:color w:val="auto"/>
              </w:rPr>
            </w:pPr>
            <w:r>
              <w:rPr>
                <w:rFonts w:ascii="Arial" w:cs="Arial" w:eastAsia="Arial" w:hAnsi="Arial"/>
                <w:sz w:val="15"/>
                <w:szCs w:val="15"/>
                <w:color w:val="auto"/>
                <w:w w:val="71"/>
              </w:rPr>
              <w:t>$</w:t>
            </w:r>
          </w:p>
        </w:tc>
        <w:tc>
          <w:tcPr>
            <w:tcW w:w="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8"/>
              </w:rPr>
              <w:t>1,362</w:t>
            </w:r>
          </w:p>
        </w:tc>
        <w:tc>
          <w:tcPr>
            <w:tcW w:w="18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ind w:right="545"/>
              <w:spacing w:after="0"/>
              <w:rPr>
                <w:sz w:val="20"/>
                <w:szCs w:val="20"/>
                <w:color w:val="auto"/>
              </w:rPr>
            </w:pPr>
            <w:r>
              <w:rPr>
                <w:rFonts w:ascii="Arial" w:cs="Arial" w:eastAsia="Arial" w:hAnsi="Arial"/>
                <w:sz w:val="15"/>
                <w:szCs w:val="15"/>
                <w:color w:val="auto"/>
                <w:w w:val="71"/>
              </w:rPr>
              <w:t>$</w:t>
            </w: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4"/>
              </w:rPr>
              <w:t>1,283</w:t>
            </w:r>
          </w:p>
        </w:tc>
        <w:tc>
          <w:tcPr>
            <w:tcW w:w="60" w:type="dxa"/>
            <w:vAlign w:val="bottom"/>
          </w:tcPr>
          <w:p>
            <w:pPr>
              <w:spacing w:after="0"/>
              <w:rPr>
                <w:sz w:val="19"/>
                <w:szCs w:val="19"/>
                <w:color w:val="auto"/>
              </w:rPr>
            </w:pPr>
          </w:p>
        </w:tc>
      </w:tr>
      <w:tr>
        <w:trPr>
          <w:trHeight w:val="20"/>
        </w:trPr>
        <w:tc>
          <w:tcPr>
            <w:tcW w:w="546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188" w:lineRule="exact"/>
        <w:rPr>
          <w:sz w:val="20"/>
          <w:szCs w:val="20"/>
          <w:color w:val="auto"/>
        </w:rPr>
      </w:pPr>
    </w:p>
    <w:p>
      <w:pPr>
        <w:ind w:right="220"/>
        <w:spacing w:after="0" w:line="264" w:lineRule="auto"/>
        <w:rPr>
          <w:sz w:val="20"/>
          <w:szCs w:val="20"/>
          <w:color w:val="auto"/>
        </w:rPr>
      </w:pPr>
      <w:r>
        <w:rPr>
          <w:rFonts w:ascii="Arial" w:cs="Arial" w:eastAsia="Arial" w:hAnsi="Arial"/>
          <w:sz w:val="18"/>
          <w:szCs w:val="18"/>
          <w:color w:val="auto"/>
        </w:rPr>
        <w:t>These amounts are related to certain deferred tax assets with a corresponding valuation allowance. If recognized, the impact on the Company’s effective tax rate would not be material due to the full valuation allowance. Management believes that there will not be any significant changes in our unrecognized tax benefits in the next 12 months.</w:t>
      </w:r>
    </w:p>
    <w:p>
      <w:pPr>
        <w:spacing w:after="0" w:line="73" w:lineRule="exact"/>
        <w:rPr>
          <w:sz w:val="20"/>
          <w:szCs w:val="20"/>
          <w:color w:val="auto"/>
        </w:rPr>
      </w:pPr>
    </w:p>
    <w:p>
      <w:pPr>
        <w:ind w:right="100"/>
        <w:spacing w:after="0" w:line="264" w:lineRule="auto"/>
        <w:rPr>
          <w:sz w:val="20"/>
          <w:szCs w:val="20"/>
          <w:color w:val="auto"/>
        </w:rPr>
      </w:pPr>
      <w:r>
        <w:rPr>
          <w:rFonts w:ascii="Arial" w:cs="Arial" w:eastAsia="Arial" w:hAnsi="Arial"/>
          <w:sz w:val="18"/>
          <w:szCs w:val="18"/>
          <w:color w:val="auto"/>
        </w:rPr>
        <w:t>The Company recognizes interest and penalties related to unrecognized tax benefits in the provision for income taxes in the accompanying consolidated statement of operations. Accrued interest and penalties, if applicable, are included in accrued liabilities in the consolidated balance sheet. For the years ended December 31, 2017, 2016 and 2015, the Company did not recognize any accrued interest and penalties.</w:t>
      </w:r>
    </w:p>
    <w:p>
      <w:pPr>
        <w:spacing w:after="0" w:line="73" w:lineRule="exact"/>
        <w:rPr>
          <w:sz w:val="20"/>
          <w:szCs w:val="20"/>
          <w:color w:val="auto"/>
        </w:rPr>
      </w:pPr>
    </w:p>
    <w:p>
      <w:pPr>
        <w:ind w:right="80"/>
        <w:spacing w:after="0" w:line="264" w:lineRule="auto"/>
        <w:rPr>
          <w:sz w:val="20"/>
          <w:szCs w:val="20"/>
          <w:color w:val="auto"/>
        </w:rPr>
      </w:pPr>
      <w:r>
        <w:rPr>
          <w:rFonts w:ascii="Arial" w:cs="Arial" w:eastAsia="Arial" w:hAnsi="Arial"/>
          <w:sz w:val="18"/>
          <w:szCs w:val="18"/>
          <w:color w:val="auto"/>
        </w:rPr>
        <w:t>The Company files income tax returns in the United States and in various state jurisdictions with varying statutes of limitations. Tax years 2002 through 2017 remain open to examination by the United States and various state jurisdictions. The Company is not currently under examination by the Internal Revenue Service or any other jurisdiction for any year.</w:t>
      </w:r>
    </w:p>
    <w:p>
      <w:pPr>
        <w:spacing w:after="0" w:line="1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13. GEOGRAPHIC INFORMATION</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reflects revenue by geographic area by customer location:</w:t>
      </w:r>
    </w:p>
    <w:p>
      <w:pPr>
        <w:spacing w:after="0" w:line="271" w:lineRule="exact"/>
        <w:rPr>
          <w:sz w:val="20"/>
          <w:szCs w:val="20"/>
          <w:color w:val="auto"/>
        </w:rPr>
      </w:pPr>
    </w:p>
    <w:tbl>
      <w:tblPr>
        <w:tblLayout w:type="fixed"/>
        <w:tblInd w:w="114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538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2600" w:type="dxa"/>
            <w:vAlign w:val="bottom"/>
            <w:tcBorders>
              <w:bottom w:val="single" w:sz="8" w:color="auto"/>
            </w:tcBorders>
            <w:gridSpan w:val="6"/>
          </w:tcPr>
          <w:p>
            <w:pPr>
              <w:jc w:val="right"/>
              <w:ind w:right="125"/>
              <w:spacing w:after="0"/>
              <w:rPr>
                <w:sz w:val="20"/>
                <w:szCs w:val="20"/>
                <w:color w:val="auto"/>
              </w:rPr>
            </w:pPr>
            <w:r>
              <w:rPr>
                <w:rFonts w:ascii="Arial" w:cs="Arial" w:eastAsia="Arial" w:hAnsi="Arial"/>
                <w:sz w:val="14"/>
                <w:szCs w:val="14"/>
                <w:b w:val="1"/>
                <w:bCs w:val="1"/>
                <w:color w:val="auto"/>
              </w:rPr>
              <w:t>Year Ended December 31,</w:t>
            </w:r>
          </w:p>
        </w:tc>
        <w:tc>
          <w:tcPr>
            <w:tcW w:w="840" w:type="dxa"/>
            <w:vAlign w:val="bottom"/>
            <w:tcBorders>
              <w:bottom w:val="single" w:sz="8" w:color="auto"/>
            </w:tcBorders>
          </w:tcPr>
          <w:p>
            <w:pPr>
              <w:spacing w:after="0"/>
              <w:rPr>
                <w:sz w:val="14"/>
                <w:szCs w:val="14"/>
                <w:color w:val="auto"/>
              </w:rPr>
            </w:pPr>
          </w:p>
        </w:tc>
        <w:tc>
          <w:tcPr>
            <w:tcW w:w="80" w:type="dxa"/>
            <w:vAlign w:val="bottom"/>
          </w:tcPr>
          <w:p>
            <w:pPr>
              <w:spacing w:after="0"/>
              <w:rPr>
                <w:sz w:val="14"/>
                <w:szCs w:val="14"/>
                <w:color w:val="auto"/>
              </w:rPr>
            </w:pPr>
          </w:p>
        </w:tc>
      </w:tr>
      <w:tr>
        <w:trPr>
          <w:trHeight w:val="156"/>
        </w:trPr>
        <w:tc>
          <w:tcPr>
            <w:tcW w:w="20" w:type="dxa"/>
            <w:vAlign w:val="bottom"/>
          </w:tcPr>
          <w:p>
            <w:pPr>
              <w:spacing w:after="0"/>
              <w:rPr>
                <w:sz w:val="13"/>
                <w:szCs w:val="13"/>
                <w:color w:val="auto"/>
              </w:rPr>
            </w:pPr>
          </w:p>
        </w:tc>
        <w:tc>
          <w:tcPr>
            <w:tcW w:w="5380" w:type="dxa"/>
            <w:vAlign w:val="bottom"/>
            <w:tcBorders>
              <w:bottom w:val="single" w:sz="8" w:color="CFF0FC"/>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860" w:type="dxa"/>
            <w:vAlign w:val="bottom"/>
            <w:tcBorders>
              <w:bottom w:val="single" w:sz="8" w:color="auto"/>
            </w:tcBorders>
          </w:tcPr>
          <w:p>
            <w:pPr>
              <w:jc w:val="right"/>
              <w:ind w:right="335"/>
              <w:spacing w:after="0" w:line="155" w:lineRule="exact"/>
              <w:rPr>
                <w:sz w:val="20"/>
                <w:szCs w:val="20"/>
                <w:color w:val="auto"/>
              </w:rPr>
            </w:pPr>
            <w:r>
              <w:rPr>
                <w:rFonts w:ascii="Arial" w:cs="Arial" w:eastAsia="Arial" w:hAnsi="Arial"/>
                <w:sz w:val="14"/>
                <w:szCs w:val="14"/>
                <w:b w:val="1"/>
                <w:bCs w:val="1"/>
                <w:color w:val="auto"/>
              </w:rPr>
              <w:t>2017</w:t>
            </w:r>
          </w:p>
        </w:tc>
        <w:tc>
          <w:tcPr>
            <w:tcW w:w="200" w:type="dxa"/>
            <w:vAlign w:val="bottom"/>
            <w:tcBorders>
              <w:bottom w:val="single" w:sz="8" w:color="CFF0FC"/>
            </w:tcBorders>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840" w:type="dxa"/>
            <w:vAlign w:val="bottom"/>
            <w:tcBorders>
              <w:bottom w:val="single" w:sz="8" w:color="auto"/>
            </w:tcBorders>
          </w:tcPr>
          <w:p>
            <w:pPr>
              <w:jc w:val="right"/>
              <w:ind w:right="313"/>
              <w:spacing w:after="0" w:line="155" w:lineRule="exact"/>
              <w:rPr>
                <w:sz w:val="20"/>
                <w:szCs w:val="20"/>
                <w:color w:val="auto"/>
              </w:rPr>
            </w:pPr>
            <w:r>
              <w:rPr>
                <w:rFonts w:ascii="Arial" w:cs="Arial" w:eastAsia="Arial" w:hAnsi="Arial"/>
                <w:sz w:val="14"/>
                <w:szCs w:val="14"/>
                <w:b w:val="1"/>
                <w:bCs w:val="1"/>
                <w:color w:val="auto"/>
              </w:rPr>
              <w:t>2016</w:t>
            </w:r>
          </w:p>
        </w:tc>
        <w:tc>
          <w:tcPr>
            <w:tcW w:w="220" w:type="dxa"/>
            <w:vAlign w:val="bottom"/>
            <w:tcBorders>
              <w:bottom w:val="single" w:sz="8" w:color="CFF0FC"/>
            </w:tcBorders>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840" w:type="dxa"/>
            <w:vAlign w:val="bottom"/>
            <w:tcBorders>
              <w:bottom w:val="single" w:sz="8" w:color="auto"/>
            </w:tcBorders>
          </w:tcPr>
          <w:p>
            <w:pPr>
              <w:jc w:val="right"/>
              <w:ind w:right="313"/>
              <w:spacing w:after="0" w:line="155" w:lineRule="exact"/>
              <w:rPr>
                <w:sz w:val="20"/>
                <w:szCs w:val="20"/>
                <w:color w:val="auto"/>
              </w:rPr>
            </w:pPr>
            <w:r>
              <w:rPr>
                <w:rFonts w:ascii="Arial" w:cs="Arial" w:eastAsia="Arial" w:hAnsi="Arial"/>
                <w:sz w:val="14"/>
                <w:szCs w:val="14"/>
                <w:b w:val="1"/>
                <w:bCs w:val="1"/>
                <w:color w:val="auto"/>
              </w:rPr>
              <w:t>2015</w:t>
            </w:r>
          </w:p>
        </w:tc>
        <w:tc>
          <w:tcPr>
            <w:tcW w:w="80" w:type="dxa"/>
            <w:vAlign w:val="bottom"/>
            <w:tcBorders>
              <w:bottom w:val="single" w:sz="8" w:color="CFF0FC"/>
            </w:tcBorders>
          </w:tcPr>
          <w:p>
            <w:pPr>
              <w:spacing w:after="0"/>
              <w:rPr>
                <w:sz w:val="13"/>
                <w:szCs w:val="13"/>
                <w:color w:val="auto"/>
              </w:rPr>
            </w:pPr>
          </w:p>
        </w:tc>
      </w:tr>
      <w:tr>
        <w:trPr>
          <w:trHeight w:val="223"/>
        </w:trPr>
        <w:tc>
          <w:tcPr>
            <w:tcW w:w="20" w:type="dxa"/>
            <w:vAlign w:val="bottom"/>
          </w:tcPr>
          <w:p>
            <w:pPr>
              <w:spacing w:after="0"/>
              <w:rPr>
                <w:sz w:val="19"/>
                <w:szCs w:val="19"/>
                <w:color w:val="auto"/>
              </w:rPr>
            </w:pPr>
          </w:p>
        </w:tc>
        <w:tc>
          <w:tcPr>
            <w:tcW w:w="5380" w:type="dxa"/>
            <w:vAlign w:val="bottom"/>
            <w:shd w:val="clear" w:color="auto" w:fill="CFF0FC"/>
          </w:tcPr>
          <w:p>
            <w:pPr>
              <w:spacing w:after="0"/>
              <w:rPr>
                <w:sz w:val="20"/>
                <w:szCs w:val="20"/>
                <w:color w:val="auto"/>
              </w:rPr>
            </w:pPr>
            <w:r>
              <w:rPr>
                <w:rFonts w:ascii="Arial" w:cs="Arial" w:eastAsia="Arial" w:hAnsi="Arial"/>
                <w:sz w:val="18"/>
                <w:szCs w:val="18"/>
                <w:color w:val="auto"/>
              </w:rPr>
              <w:t>United States</w:t>
            </w:r>
          </w:p>
        </w:tc>
        <w:tc>
          <w:tcPr>
            <w:tcW w:w="220" w:type="dxa"/>
            <w:vAlign w:val="bottom"/>
            <w:shd w:val="clear" w:color="auto" w:fill="CFF0FC"/>
          </w:tcPr>
          <w:p>
            <w:pPr>
              <w:jc w:val="right"/>
              <w:ind w:right="65"/>
              <w:spacing w:after="0"/>
              <w:rPr>
                <w:sz w:val="20"/>
                <w:szCs w:val="20"/>
                <w:color w:val="auto"/>
              </w:rPr>
            </w:pPr>
            <w:r>
              <w:rPr>
                <w:rFonts w:ascii="Arial" w:cs="Arial" w:eastAsia="Arial" w:hAnsi="Arial"/>
                <w:sz w:val="15"/>
                <w:szCs w:val="15"/>
                <w:color w:val="auto"/>
                <w:w w:val="71"/>
              </w:rPr>
              <w:t>$</w:t>
            </w: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8,919</w:t>
            </w:r>
          </w:p>
        </w:tc>
        <w:tc>
          <w:tcPr>
            <w:tcW w:w="200" w:type="dxa"/>
            <w:vAlign w:val="bottom"/>
            <w:shd w:val="clear" w:color="auto" w:fill="CFF0FC"/>
          </w:tcPr>
          <w:p>
            <w:pPr>
              <w:spacing w:after="0"/>
              <w:rPr>
                <w:sz w:val="19"/>
                <w:szCs w:val="19"/>
                <w:color w:val="auto"/>
              </w:rPr>
            </w:pPr>
          </w:p>
        </w:tc>
        <w:tc>
          <w:tcPr>
            <w:tcW w:w="24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w w:val="79"/>
              </w:rPr>
              <w:t>$</w:t>
            </w: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6,736</w:t>
            </w:r>
          </w:p>
        </w:tc>
        <w:tc>
          <w:tcPr>
            <w:tcW w:w="220" w:type="dxa"/>
            <w:vAlign w:val="bottom"/>
            <w:shd w:val="clear" w:color="auto" w:fill="CFF0FC"/>
          </w:tcPr>
          <w:p>
            <w:pPr>
              <w:spacing w:after="0"/>
              <w:rPr>
                <w:sz w:val="19"/>
                <w:szCs w:val="19"/>
                <w:color w:val="auto"/>
              </w:rPr>
            </w:pPr>
          </w:p>
        </w:tc>
        <w:tc>
          <w:tcPr>
            <w:tcW w:w="240" w:type="dxa"/>
            <w:vAlign w:val="bottom"/>
            <w:shd w:val="clear" w:color="auto" w:fill="CFF0FC"/>
          </w:tcPr>
          <w:p>
            <w:pPr>
              <w:jc w:val="right"/>
              <w:ind w:right="85"/>
              <w:spacing w:after="0"/>
              <w:rPr>
                <w:sz w:val="20"/>
                <w:szCs w:val="20"/>
                <w:color w:val="auto"/>
              </w:rPr>
            </w:pPr>
            <w:r>
              <w:rPr>
                <w:rFonts w:ascii="Arial" w:cs="Arial" w:eastAsia="Arial" w:hAnsi="Arial"/>
                <w:sz w:val="15"/>
                <w:szCs w:val="15"/>
                <w:color w:val="auto"/>
                <w:w w:val="71"/>
              </w:rPr>
              <w:t>$</w:t>
            </w: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8,252</w:t>
            </w:r>
          </w:p>
        </w:tc>
        <w:tc>
          <w:tcPr>
            <w:tcW w:w="80" w:type="dxa"/>
            <w:vAlign w:val="bottom"/>
            <w:shd w:val="clear" w:color="auto" w:fill="CFF0FC"/>
          </w:tcPr>
          <w:p>
            <w:pPr>
              <w:spacing w:after="0"/>
              <w:rPr>
                <w:sz w:val="19"/>
                <w:szCs w:val="19"/>
                <w:color w:val="auto"/>
              </w:rPr>
            </w:pPr>
          </w:p>
        </w:tc>
      </w:tr>
      <w:tr>
        <w:trPr>
          <w:trHeight w:val="230"/>
        </w:trPr>
        <w:tc>
          <w:tcPr>
            <w:tcW w:w="20" w:type="dxa"/>
            <w:vAlign w:val="bottom"/>
          </w:tcPr>
          <w:p>
            <w:pPr>
              <w:spacing w:after="0"/>
              <w:rPr>
                <w:sz w:val="19"/>
                <w:szCs w:val="19"/>
                <w:color w:val="auto"/>
              </w:rPr>
            </w:pPr>
          </w:p>
        </w:tc>
        <w:tc>
          <w:tcPr>
            <w:tcW w:w="5380" w:type="dxa"/>
            <w:vAlign w:val="bottom"/>
          </w:tcPr>
          <w:p>
            <w:pPr>
              <w:spacing w:after="0"/>
              <w:rPr>
                <w:sz w:val="20"/>
                <w:szCs w:val="20"/>
                <w:color w:val="auto"/>
              </w:rPr>
            </w:pPr>
            <w:r>
              <w:rPr>
                <w:rFonts w:ascii="Arial" w:cs="Arial" w:eastAsia="Arial" w:hAnsi="Arial"/>
                <w:sz w:val="18"/>
                <w:szCs w:val="18"/>
                <w:color w:val="auto"/>
              </w:rPr>
              <w:t>Europe and Middle East</w:t>
            </w:r>
          </w:p>
        </w:tc>
        <w:tc>
          <w:tcPr>
            <w:tcW w:w="22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5,784</w:t>
            </w:r>
          </w:p>
        </w:tc>
        <w:tc>
          <w:tcPr>
            <w:tcW w:w="2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3,112</w:t>
            </w:r>
          </w:p>
        </w:tc>
        <w:tc>
          <w:tcPr>
            <w:tcW w:w="2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2,940</w:t>
            </w:r>
          </w:p>
        </w:tc>
        <w:tc>
          <w:tcPr>
            <w:tcW w:w="80" w:type="dxa"/>
            <w:vAlign w:val="bottom"/>
          </w:tcPr>
          <w:p>
            <w:pPr>
              <w:spacing w:after="0"/>
              <w:rPr>
                <w:sz w:val="19"/>
                <w:szCs w:val="19"/>
                <w:color w:val="auto"/>
              </w:rPr>
            </w:pPr>
          </w:p>
        </w:tc>
      </w:tr>
      <w:tr>
        <w:trPr>
          <w:trHeight w:val="230"/>
        </w:trPr>
        <w:tc>
          <w:tcPr>
            <w:tcW w:w="20" w:type="dxa"/>
            <w:vAlign w:val="bottom"/>
          </w:tcPr>
          <w:p>
            <w:pPr>
              <w:spacing w:after="0"/>
              <w:rPr>
                <w:sz w:val="19"/>
                <w:szCs w:val="19"/>
                <w:color w:val="auto"/>
              </w:rPr>
            </w:pPr>
          </w:p>
        </w:tc>
        <w:tc>
          <w:tcPr>
            <w:tcW w:w="5380" w:type="dxa"/>
            <w:vAlign w:val="bottom"/>
            <w:shd w:val="clear" w:color="auto" w:fill="CFF0FC"/>
          </w:tcPr>
          <w:p>
            <w:pPr>
              <w:spacing w:after="0"/>
              <w:rPr>
                <w:sz w:val="20"/>
                <w:szCs w:val="20"/>
                <w:color w:val="auto"/>
              </w:rPr>
            </w:pPr>
            <w:r>
              <w:rPr>
                <w:rFonts w:ascii="Arial" w:cs="Arial" w:eastAsia="Arial" w:hAnsi="Arial"/>
                <w:sz w:val="18"/>
                <w:szCs w:val="18"/>
                <w:color w:val="auto"/>
              </w:rPr>
              <w:t>Asia Pacific</w:t>
            </w:r>
          </w:p>
        </w:tc>
        <w:tc>
          <w:tcPr>
            <w:tcW w:w="220" w:type="dxa"/>
            <w:vAlign w:val="bottom"/>
            <w:shd w:val="clear" w:color="auto" w:fill="CFF0FC"/>
          </w:tcPr>
          <w:p>
            <w:pPr>
              <w:spacing w:after="0"/>
              <w:rPr>
                <w:sz w:val="19"/>
                <w:szCs w:val="19"/>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4,353</w:t>
            </w:r>
          </w:p>
        </w:tc>
        <w:tc>
          <w:tcPr>
            <w:tcW w:w="20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3,552</w:t>
            </w:r>
          </w:p>
        </w:tc>
        <w:tc>
          <w:tcPr>
            <w:tcW w:w="2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2,989</w:t>
            </w:r>
          </w:p>
        </w:tc>
        <w:tc>
          <w:tcPr>
            <w:tcW w:w="80" w:type="dxa"/>
            <w:vAlign w:val="bottom"/>
            <w:shd w:val="clear" w:color="auto" w:fill="CFF0FC"/>
          </w:tcPr>
          <w:p>
            <w:pPr>
              <w:spacing w:after="0"/>
              <w:rPr>
                <w:sz w:val="19"/>
                <w:szCs w:val="19"/>
                <w:color w:val="auto"/>
              </w:rPr>
            </w:pPr>
          </w:p>
        </w:tc>
      </w:tr>
      <w:tr>
        <w:trPr>
          <w:trHeight w:val="230"/>
        </w:trPr>
        <w:tc>
          <w:tcPr>
            <w:tcW w:w="20" w:type="dxa"/>
            <w:vAlign w:val="bottom"/>
          </w:tcPr>
          <w:p>
            <w:pPr>
              <w:spacing w:after="0"/>
              <w:rPr>
                <w:sz w:val="19"/>
                <w:szCs w:val="19"/>
                <w:color w:val="auto"/>
              </w:rPr>
            </w:pPr>
          </w:p>
        </w:tc>
        <w:tc>
          <w:tcPr>
            <w:tcW w:w="538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Rest of World</w:t>
            </w:r>
          </w:p>
        </w:tc>
        <w:tc>
          <w:tcPr>
            <w:tcW w:w="22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2,241</w:t>
            </w:r>
          </w:p>
        </w:tc>
        <w:tc>
          <w:tcPr>
            <w:tcW w:w="200" w:type="dxa"/>
            <w:vAlign w:val="bottom"/>
            <w:tcBorders>
              <w:bottom w:val="single" w:sz="8" w:color="CFF0FC"/>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2,200</w:t>
            </w:r>
          </w:p>
        </w:tc>
        <w:tc>
          <w:tcPr>
            <w:tcW w:w="220" w:type="dxa"/>
            <w:vAlign w:val="bottom"/>
            <w:tcBorders>
              <w:bottom w:val="single" w:sz="8" w:color="CFF0FC"/>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3,049</w:t>
            </w:r>
          </w:p>
        </w:tc>
        <w:tc>
          <w:tcPr>
            <w:tcW w:w="80" w:type="dxa"/>
            <w:vAlign w:val="bottom"/>
            <w:tcBorders>
              <w:bottom w:val="single" w:sz="8" w:color="CFF0FC"/>
            </w:tcBorders>
          </w:tcPr>
          <w:p>
            <w:pPr>
              <w:spacing w:after="0"/>
              <w:rPr>
                <w:sz w:val="19"/>
                <w:szCs w:val="19"/>
                <w:color w:val="auto"/>
              </w:rPr>
            </w:pPr>
          </w:p>
        </w:tc>
      </w:tr>
      <w:tr>
        <w:trPr>
          <w:trHeight w:val="223"/>
        </w:trPr>
        <w:tc>
          <w:tcPr>
            <w:tcW w:w="20" w:type="dxa"/>
            <w:vAlign w:val="bottom"/>
          </w:tcPr>
          <w:p>
            <w:pPr>
              <w:spacing w:after="0"/>
              <w:rPr>
                <w:sz w:val="19"/>
                <w:szCs w:val="19"/>
                <w:color w:val="auto"/>
              </w:rPr>
            </w:pPr>
          </w:p>
        </w:tc>
        <w:tc>
          <w:tcPr>
            <w:tcW w:w="5380" w:type="dxa"/>
            <w:vAlign w:val="bottom"/>
            <w:tcBorders>
              <w:bottom w:val="single" w:sz="8" w:color="CFF0FC"/>
            </w:tcBorders>
            <w:shd w:val="clear" w:color="auto" w:fill="CFF0FC"/>
          </w:tcPr>
          <w:p>
            <w:pPr>
              <w:ind w:left="120"/>
              <w:spacing w:after="0"/>
              <w:rPr>
                <w:sz w:val="20"/>
                <w:szCs w:val="20"/>
                <w:color w:val="auto"/>
              </w:rPr>
            </w:pPr>
            <w:r>
              <w:rPr>
                <w:rFonts w:ascii="Arial" w:cs="Arial" w:eastAsia="Arial" w:hAnsi="Arial"/>
                <w:sz w:val="18"/>
                <w:szCs w:val="18"/>
                <w:color w:val="auto"/>
              </w:rPr>
              <w:t>Total revenue</w:t>
            </w:r>
          </w:p>
        </w:tc>
        <w:tc>
          <w:tcPr>
            <w:tcW w:w="220" w:type="dxa"/>
            <w:vAlign w:val="bottom"/>
            <w:tcBorders>
              <w:bottom w:val="single" w:sz="8" w:color="auto"/>
            </w:tcBorders>
            <w:shd w:val="clear" w:color="auto" w:fill="CFF0FC"/>
          </w:tcPr>
          <w:p>
            <w:pPr>
              <w:jc w:val="right"/>
              <w:ind w:right="65"/>
              <w:spacing w:after="0"/>
              <w:rPr>
                <w:sz w:val="20"/>
                <w:szCs w:val="20"/>
                <w:color w:val="auto"/>
              </w:rPr>
            </w:pPr>
            <w:r>
              <w:rPr>
                <w:rFonts w:ascii="Arial" w:cs="Arial" w:eastAsia="Arial" w:hAnsi="Arial"/>
                <w:sz w:val="15"/>
                <w:szCs w:val="15"/>
                <w:color w:val="auto"/>
                <w:w w:val="71"/>
              </w:rPr>
              <w:t>$</w:t>
            </w:r>
          </w:p>
        </w:tc>
        <w:tc>
          <w:tcPr>
            <w:tcW w:w="8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21,297</w:t>
            </w:r>
          </w:p>
        </w:tc>
        <w:tc>
          <w:tcPr>
            <w:tcW w:w="200" w:type="dxa"/>
            <w:vAlign w:val="bottom"/>
            <w:tcBorders>
              <w:bottom w:val="single" w:sz="8" w:color="CFF0FC"/>
            </w:tcBorders>
            <w:shd w:val="clear" w:color="auto" w:fill="CFF0FC"/>
          </w:tcPr>
          <w:p>
            <w:pPr>
              <w:spacing w:after="0"/>
              <w:rPr>
                <w:sz w:val="19"/>
                <w:szCs w:val="19"/>
                <w:color w:val="auto"/>
              </w:rPr>
            </w:pPr>
          </w:p>
        </w:tc>
        <w:tc>
          <w:tcPr>
            <w:tcW w:w="240" w:type="dxa"/>
            <w:vAlign w:val="bottom"/>
            <w:tcBorders>
              <w:bottom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color w:val="auto"/>
                <w:w w:val="79"/>
              </w:rPr>
              <w:t>$</w:t>
            </w:r>
          </w:p>
        </w:tc>
        <w:tc>
          <w:tcPr>
            <w:tcW w:w="8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15,600</w:t>
            </w:r>
          </w:p>
        </w:tc>
        <w:tc>
          <w:tcPr>
            <w:tcW w:w="220" w:type="dxa"/>
            <w:vAlign w:val="bottom"/>
            <w:tcBorders>
              <w:bottom w:val="single" w:sz="8" w:color="CFF0FC"/>
            </w:tcBorders>
            <w:shd w:val="clear" w:color="auto" w:fill="CFF0FC"/>
          </w:tcPr>
          <w:p>
            <w:pPr>
              <w:spacing w:after="0"/>
              <w:rPr>
                <w:sz w:val="19"/>
                <w:szCs w:val="19"/>
                <w:color w:val="auto"/>
              </w:rPr>
            </w:pPr>
          </w:p>
        </w:tc>
        <w:tc>
          <w:tcPr>
            <w:tcW w:w="240" w:type="dxa"/>
            <w:vAlign w:val="bottom"/>
            <w:tcBorders>
              <w:bottom w:val="single" w:sz="8" w:color="auto"/>
            </w:tcBorders>
            <w:shd w:val="clear" w:color="auto" w:fill="CFF0FC"/>
          </w:tcPr>
          <w:p>
            <w:pPr>
              <w:jc w:val="right"/>
              <w:ind w:right="85"/>
              <w:spacing w:after="0"/>
              <w:rPr>
                <w:sz w:val="20"/>
                <w:szCs w:val="20"/>
                <w:color w:val="auto"/>
              </w:rPr>
            </w:pPr>
            <w:r>
              <w:rPr>
                <w:rFonts w:ascii="Arial" w:cs="Arial" w:eastAsia="Arial" w:hAnsi="Arial"/>
                <w:sz w:val="15"/>
                <w:szCs w:val="15"/>
                <w:color w:val="auto"/>
                <w:w w:val="71"/>
              </w:rPr>
              <w:t>$</w:t>
            </w:r>
          </w:p>
        </w:tc>
        <w:tc>
          <w:tcPr>
            <w:tcW w:w="8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17,230</w:t>
            </w:r>
          </w:p>
        </w:tc>
        <w:tc>
          <w:tcPr>
            <w:tcW w:w="80" w:type="dxa"/>
            <w:vAlign w:val="bottom"/>
            <w:tcBorders>
              <w:bottom w:val="single" w:sz="8" w:color="CFF0FC"/>
            </w:tcBorders>
            <w:shd w:val="clear" w:color="auto" w:fill="CFF0FC"/>
          </w:tcPr>
          <w:p>
            <w:pPr>
              <w:spacing w:after="0"/>
              <w:rPr>
                <w:sz w:val="19"/>
                <w:szCs w:val="19"/>
                <w:color w:val="auto"/>
              </w:rPr>
            </w:pPr>
          </w:p>
        </w:tc>
      </w:tr>
      <w:tr>
        <w:trPr>
          <w:trHeight w:val="20"/>
        </w:trPr>
        <w:tc>
          <w:tcPr>
            <w:tcW w:w="20" w:type="dxa"/>
            <w:vAlign w:val="bottom"/>
          </w:tcPr>
          <w:p>
            <w:pPr>
              <w:spacing w:after="0" w:line="20" w:lineRule="exact"/>
              <w:rPr>
                <w:sz w:val="1"/>
                <w:szCs w:val="1"/>
                <w:color w:val="auto"/>
              </w:rPr>
            </w:pPr>
          </w:p>
        </w:tc>
        <w:tc>
          <w:tcPr>
            <w:tcW w:w="53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188" w:lineRule="exact"/>
        <w:rPr>
          <w:sz w:val="20"/>
          <w:szCs w:val="20"/>
          <w:color w:val="auto"/>
        </w:rPr>
      </w:pPr>
    </w:p>
    <w:p>
      <w:pPr>
        <w:spacing w:after="0"/>
        <w:rPr>
          <w:sz w:val="20"/>
          <w:szCs w:val="20"/>
          <w:color w:val="auto"/>
        </w:rPr>
      </w:pPr>
      <w:r>
        <w:rPr>
          <w:rFonts w:ascii="Arial" w:cs="Arial" w:eastAsia="Arial" w:hAnsi="Arial"/>
          <w:sz w:val="18"/>
          <w:szCs w:val="18"/>
          <w:color w:val="auto"/>
        </w:rPr>
        <w:t>As of December 31, 2017 and 2016, all long-term assets were located within the United States.</w:t>
      </w:r>
    </w:p>
    <w:p>
      <w:pPr>
        <w:spacing w:after="0" w:line="14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14. SELECTED QUARTERLY FINANCIAL DATA</w:t>
      </w:r>
    </w:p>
    <w:p>
      <w:pPr>
        <w:spacing w:after="0" w:line="121" w:lineRule="exact"/>
        <w:rPr>
          <w:sz w:val="20"/>
          <w:szCs w:val="20"/>
          <w:color w:val="auto"/>
        </w:rPr>
      </w:pPr>
    </w:p>
    <w:p>
      <w:pPr>
        <w:ind w:right="140"/>
        <w:spacing w:after="0" w:line="257" w:lineRule="auto"/>
        <w:rPr>
          <w:sz w:val="20"/>
          <w:szCs w:val="20"/>
          <w:color w:val="auto"/>
        </w:rPr>
      </w:pPr>
      <w:r>
        <w:rPr>
          <w:rFonts w:ascii="Arial" w:cs="Arial" w:eastAsia="Arial" w:hAnsi="Arial"/>
          <w:sz w:val="18"/>
          <w:szCs w:val="18"/>
          <w:color w:val="auto"/>
        </w:rPr>
        <w:t>The following tables present certain selected unaudited consolidated quarterly financial information for each of the eight quarters ended December 31, 2017. This consolidated quarterly information has been prepared on the same basis as the consolidated financial statements and includes all adjustments necessary to state fairly the information for the periods presented. The selected consolidated quarterly financial results from operations for the years ended December 31, 2017 and 2016 are set forth therein. Net loss per share for all periods presented has been retroactively adjusted to reflect the 1-for-10 reverse stock split effected on September 15, 2017.</w:t>
      </w:r>
    </w:p>
    <w:p>
      <w:pPr>
        <w:spacing w:after="0" w:line="247"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580" w:type="dxa"/>
            <w:vAlign w:val="bottom"/>
          </w:tcPr>
          <w:p>
            <w:pPr>
              <w:spacing w:after="0"/>
              <w:rPr>
                <w:sz w:val="14"/>
                <w:szCs w:val="14"/>
                <w:color w:val="auto"/>
              </w:rPr>
            </w:pPr>
          </w:p>
        </w:tc>
        <w:tc>
          <w:tcPr>
            <w:tcW w:w="3800" w:type="dxa"/>
            <w:vAlign w:val="bottom"/>
          </w:tcPr>
          <w:p>
            <w:pPr>
              <w:spacing w:after="0"/>
              <w:rPr>
                <w:sz w:val="14"/>
                <w:szCs w:val="14"/>
                <w:color w:val="auto"/>
              </w:rPr>
            </w:pPr>
          </w:p>
        </w:tc>
        <w:tc>
          <w:tcPr>
            <w:tcW w:w="152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2320" w:type="dxa"/>
            <w:vAlign w:val="bottom"/>
            <w:tcBorders>
              <w:bottom w:val="single" w:sz="8" w:color="auto"/>
            </w:tcBorders>
            <w:gridSpan w:val="6"/>
          </w:tcPr>
          <w:p>
            <w:pPr>
              <w:jc w:val="right"/>
              <w:ind w:right="440"/>
              <w:spacing w:after="0"/>
              <w:rPr>
                <w:sz w:val="20"/>
                <w:szCs w:val="20"/>
                <w:color w:val="auto"/>
              </w:rPr>
            </w:pPr>
            <w:r>
              <w:rPr>
                <w:rFonts w:ascii="Arial" w:cs="Arial" w:eastAsia="Arial" w:hAnsi="Arial"/>
                <w:sz w:val="14"/>
                <w:szCs w:val="14"/>
                <w:b w:val="1"/>
                <w:bCs w:val="1"/>
                <w:color w:val="auto"/>
              </w:rPr>
              <w:t>Fiscal 2017 Quarter Ended,</w:t>
            </w:r>
          </w:p>
        </w:tc>
        <w:tc>
          <w:tcPr>
            <w:tcW w:w="10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580" w:type="dxa"/>
            <w:vAlign w:val="bottom"/>
          </w:tcPr>
          <w:p>
            <w:pPr>
              <w:spacing w:after="0"/>
              <w:rPr>
                <w:sz w:val="14"/>
                <w:szCs w:val="14"/>
                <w:color w:val="auto"/>
              </w:rPr>
            </w:pPr>
          </w:p>
        </w:tc>
      </w:tr>
      <w:tr>
        <w:trPr>
          <w:trHeight w:val="133"/>
        </w:trPr>
        <w:tc>
          <w:tcPr>
            <w:tcW w:w="580" w:type="dxa"/>
            <w:vAlign w:val="bottom"/>
          </w:tcPr>
          <w:p>
            <w:pPr>
              <w:spacing w:after="0"/>
              <w:rPr>
                <w:sz w:val="11"/>
                <w:szCs w:val="11"/>
                <w:color w:val="auto"/>
              </w:rPr>
            </w:pPr>
          </w:p>
        </w:tc>
        <w:tc>
          <w:tcPr>
            <w:tcW w:w="3800" w:type="dxa"/>
            <w:vAlign w:val="bottom"/>
          </w:tcPr>
          <w:p>
            <w:pPr>
              <w:spacing w:after="0"/>
              <w:rPr>
                <w:sz w:val="11"/>
                <w:szCs w:val="11"/>
                <w:color w:val="auto"/>
              </w:rPr>
            </w:pPr>
          </w:p>
        </w:tc>
        <w:tc>
          <w:tcPr>
            <w:tcW w:w="15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40" w:type="dxa"/>
            <w:vAlign w:val="bottom"/>
            <w:gridSpan w:val="2"/>
          </w:tcPr>
          <w:p>
            <w:pPr>
              <w:jc w:val="center"/>
              <w:ind w:right="280"/>
              <w:spacing w:after="0" w:line="133" w:lineRule="exact"/>
              <w:rPr>
                <w:sz w:val="20"/>
                <w:szCs w:val="20"/>
                <w:color w:val="auto"/>
              </w:rPr>
            </w:pPr>
            <w:r>
              <w:rPr>
                <w:rFonts w:ascii="Arial" w:cs="Arial" w:eastAsia="Arial" w:hAnsi="Arial"/>
                <w:sz w:val="14"/>
                <w:szCs w:val="14"/>
                <w:b w:val="1"/>
                <w:bCs w:val="1"/>
                <w:color w:val="auto"/>
                <w:w w:val="99"/>
              </w:rPr>
              <w:t>March 31,</w:t>
            </w: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60" w:type="dxa"/>
            <w:vAlign w:val="bottom"/>
            <w:gridSpan w:val="2"/>
          </w:tcPr>
          <w:p>
            <w:pPr>
              <w:jc w:val="center"/>
              <w:ind w:right="300"/>
              <w:spacing w:after="0" w:line="133" w:lineRule="exact"/>
              <w:rPr>
                <w:sz w:val="20"/>
                <w:szCs w:val="20"/>
                <w:color w:val="auto"/>
              </w:rPr>
            </w:pPr>
            <w:r>
              <w:rPr>
                <w:rFonts w:ascii="Arial" w:cs="Arial" w:eastAsia="Arial" w:hAnsi="Arial"/>
                <w:sz w:val="14"/>
                <w:szCs w:val="14"/>
                <w:b w:val="1"/>
                <w:bCs w:val="1"/>
                <w:color w:val="auto"/>
                <w:w w:val="92"/>
              </w:rPr>
              <w:t>June 30,</w:t>
            </w:r>
          </w:p>
        </w:tc>
        <w:tc>
          <w:tcPr>
            <w:tcW w:w="80" w:type="dxa"/>
            <w:vAlign w:val="bottom"/>
          </w:tcPr>
          <w:p>
            <w:pPr>
              <w:spacing w:after="0"/>
              <w:rPr>
                <w:sz w:val="11"/>
                <w:szCs w:val="11"/>
                <w:color w:val="auto"/>
              </w:rPr>
            </w:pPr>
          </w:p>
        </w:tc>
        <w:tc>
          <w:tcPr>
            <w:tcW w:w="1180" w:type="dxa"/>
            <w:vAlign w:val="bottom"/>
            <w:gridSpan w:val="3"/>
          </w:tcPr>
          <w:p>
            <w:pPr>
              <w:jc w:val="center"/>
              <w:ind w:right="140"/>
              <w:spacing w:after="0" w:line="133" w:lineRule="exact"/>
              <w:rPr>
                <w:sz w:val="20"/>
                <w:szCs w:val="20"/>
                <w:color w:val="auto"/>
              </w:rPr>
            </w:pPr>
            <w:r>
              <w:rPr>
                <w:rFonts w:ascii="Arial" w:cs="Arial" w:eastAsia="Arial" w:hAnsi="Arial"/>
                <w:sz w:val="14"/>
                <w:szCs w:val="14"/>
                <w:b w:val="1"/>
                <w:bCs w:val="1"/>
                <w:color w:val="auto"/>
                <w:w w:val="91"/>
              </w:rPr>
              <w:t>September 30,</w:t>
            </w: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60" w:type="dxa"/>
            <w:vAlign w:val="bottom"/>
          </w:tcPr>
          <w:p>
            <w:pPr>
              <w:jc w:val="center"/>
              <w:ind w:right="38"/>
              <w:spacing w:after="0" w:line="133" w:lineRule="exact"/>
              <w:rPr>
                <w:sz w:val="20"/>
                <w:szCs w:val="20"/>
                <w:color w:val="auto"/>
              </w:rPr>
            </w:pPr>
            <w:r>
              <w:rPr>
                <w:rFonts w:ascii="Arial" w:cs="Arial" w:eastAsia="Arial" w:hAnsi="Arial"/>
                <w:sz w:val="14"/>
                <w:szCs w:val="14"/>
                <w:b w:val="1"/>
                <w:bCs w:val="1"/>
                <w:color w:val="auto"/>
                <w:w w:val="92"/>
              </w:rPr>
              <w:t>December 31,</w:t>
            </w: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r>
      <w:tr>
        <w:trPr>
          <w:trHeight w:val="149"/>
        </w:trPr>
        <w:tc>
          <w:tcPr>
            <w:tcW w:w="580" w:type="dxa"/>
            <w:vAlign w:val="bottom"/>
          </w:tcPr>
          <w:p>
            <w:pPr>
              <w:spacing w:after="0"/>
              <w:rPr>
                <w:sz w:val="12"/>
                <w:szCs w:val="12"/>
                <w:color w:val="auto"/>
              </w:rPr>
            </w:pPr>
          </w:p>
        </w:tc>
        <w:tc>
          <w:tcPr>
            <w:tcW w:w="3800" w:type="dxa"/>
            <w:vAlign w:val="bottom"/>
          </w:tcPr>
          <w:p>
            <w:pPr>
              <w:spacing w:after="0"/>
              <w:rPr>
                <w:sz w:val="12"/>
                <w:szCs w:val="12"/>
                <w:color w:val="auto"/>
              </w:rPr>
            </w:pPr>
          </w:p>
        </w:tc>
        <w:tc>
          <w:tcPr>
            <w:tcW w:w="15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20" w:type="dxa"/>
            <w:vAlign w:val="bottom"/>
          </w:tcPr>
          <w:p>
            <w:pPr>
              <w:jc w:val="center"/>
              <w:ind w:right="78"/>
              <w:spacing w:after="0" w:line="149" w:lineRule="exact"/>
              <w:rPr>
                <w:sz w:val="20"/>
                <w:szCs w:val="20"/>
                <w:color w:val="auto"/>
              </w:rPr>
            </w:pPr>
            <w:r>
              <w:rPr>
                <w:rFonts w:ascii="Arial" w:cs="Arial" w:eastAsia="Arial" w:hAnsi="Arial"/>
                <w:sz w:val="14"/>
                <w:szCs w:val="14"/>
                <w:b w:val="1"/>
                <w:bCs w:val="1"/>
                <w:color w:val="auto"/>
                <w:w w:val="89"/>
              </w:rPr>
              <w:t>2017</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20" w:type="dxa"/>
            <w:vAlign w:val="bottom"/>
          </w:tcPr>
          <w:p>
            <w:pPr>
              <w:jc w:val="center"/>
              <w:ind w:right="79"/>
              <w:spacing w:after="0" w:line="149" w:lineRule="exact"/>
              <w:rPr>
                <w:sz w:val="20"/>
                <w:szCs w:val="20"/>
                <w:color w:val="auto"/>
              </w:rPr>
            </w:pPr>
            <w:r>
              <w:rPr>
                <w:rFonts w:ascii="Arial" w:cs="Arial" w:eastAsia="Arial" w:hAnsi="Arial"/>
                <w:sz w:val="14"/>
                <w:szCs w:val="14"/>
                <w:b w:val="1"/>
                <w:bCs w:val="1"/>
                <w:color w:val="auto"/>
                <w:w w:val="89"/>
              </w:rPr>
              <w:t>2017</w:t>
            </w: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20" w:type="dxa"/>
            <w:vAlign w:val="bottom"/>
          </w:tcPr>
          <w:p>
            <w:pPr>
              <w:jc w:val="center"/>
              <w:ind w:right="76"/>
              <w:spacing w:after="0" w:line="149" w:lineRule="exact"/>
              <w:rPr>
                <w:sz w:val="20"/>
                <w:szCs w:val="20"/>
                <w:color w:val="auto"/>
              </w:rPr>
            </w:pPr>
            <w:r>
              <w:rPr>
                <w:rFonts w:ascii="Arial" w:cs="Arial" w:eastAsia="Arial" w:hAnsi="Arial"/>
                <w:sz w:val="14"/>
                <w:szCs w:val="14"/>
                <w:b w:val="1"/>
                <w:bCs w:val="1"/>
                <w:color w:val="auto"/>
                <w:w w:val="89"/>
              </w:rPr>
              <w:t>2017</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60" w:type="dxa"/>
            <w:vAlign w:val="bottom"/>
          </w:tcPr>
          <w:p>
            <w:pPr>
              <w:jc w:val="center"/>
              <w:ind w:right="38"/>
              <w:spacing w:after="0" w:line="149" w:lineRule="exact"/>
              <w:rPr>
                <w:sz w:val="20"/>
                <w:szCs w:val="20"/>
                <w:color w:val="auto"/>
              </w:rPr>
            </w:pPr>
            <w:r>
              <w:rPr>
                <w:rFonts w:ascii="Arial" w:cs="Arial" w:eastAsia="Arial" w:hAnsi="Arial"/>
                <w:sz w:val="14"/>
                <w:szCs w:val="14"/>
                <w:b w:val="1"/>
                <w:bCs w:val="1"/>
                <w:color w:val="auto"/>
                <w:w w:val="89"/>
              </w:rPr>
              <w:t>2017</w:t>
            </w:r>
          </w:p>
        </w:tc>
        <w:tc>
          <w:tcPr>
            <w:tcW w:w="120" w:type="dxa"/>
            <w:vAlign w:val="bottom"/>
          </w:tcPr>
          <w:p>
            <w:pPr>
              <w:spacing w:after="0"/>
              <w:rPr>
                <w:sz w:val="12"/>
                <w:szCs w:val="12"/>
                <w:color w:val="auto"/>
              </w:rPr>
            </w:pPr>
          </w:p>
        </w:tc>
        <w:tc>
          <w:tcPr>
            <w:tcW w:w="580" w:type="dxa"/>
            <w:vAlign w:val="bottom"/>
          </w:tcPr>
          <w:p>
            <w:pPr>
              <w:spacing w:after="0"/>
              <w:rPr>
                <w:sz w:val="12"/>
                <w:szCs w:val="12"/>
                <w:color w:val="auto"/>
              </w:rPr>
            </w:pPr>
          </w:p>
        </w:tc>
      </w:tr>
      <w:tr>
        <w:trPr>
          <w:trHeight w:val="171"/>
        </w:trPr>
        <w:tc>
          <w:tcPr>
            <w:tcW w:w="580" w:type="dxa"/>
            <w:vAlign w:val="bottom"/>
          </w:tcPr>
          <w:p>
            <w:pPr>
              <w:spacing w:after="0"/>
              <w:rPr>
                <w:sz w:val="14"/>
                <w:szCs w:val="14"/>
                <w:color w:val="auto"/>
              </w:rPr>
            </w:pPr>
          </w:p>
        </w:tc>
        <w:tc>
          <w:tcPr>
            <w:tcW w:w="3800" w:type="dxa"/>
            <w:vAlign w:val="bottom"/>
          </w:tcPr>
          <w:p>
            <w:pPr>
              <w:spacing w:after="0"/>
              <w:rPr>
                <w:sz w:val="14"/>
                <w:szCs w:val="14"/>
                <w:color w:val="auto"/>
              </w:rPr>
            </w:pPr>
          </w:p>
        </w:tc>
        <w:tc>
          <w:tcPr>
            <w:tcW w:w="15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4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3"/>
              </w:rPr>
              <w:t>Unaudited</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6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3"/>
              </w:rPr>
              <w:t>Unaudited</w:t>
            </w: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4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3"/>
              </w:rPr>
              <w:t>Unaudited</w:t>
            </w: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8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3"/>
              </w:rPr>
              <w:t>Unaudited</w:t>
            </w:r>
          </w:p>
        </w:tc>
        <w:tc>
          <w:tcPr>
            <w:tcW w:w="580" w:type="dxa"/>
            <w:vAlign w:val="bottom"/>
          </w:tcPr>
          <w:p>
            <w:pPr>
              <w:spacing w:after="0"/>
              <w:rPr>
                <w:sz w:val="14"/>
                <w:szCs w:val="14"/>
                <w:color w:val="auto"/>
              </w:rPr>
            </w:pPr>
          </w:p>
        </w:tc>
      </w:tr>
      <w:tr>
        <w:trPr>
          <w:trHeight w:val="223"/>
        </w:trPr>
        <w:tc>
          <w:tcPr>
            <w:tcW w:w="580" w:type="dxa"/>
            <w:vAlign w:val="bottom"/>
          </w:tcPr>
          <w:p>
            <w:pPr>
              <w:spacing w:after="0"/>
              <w:rPr>
                <w:sz w:val="19"/>
                <w:szCs w:val="19"/>
                <w:color w:val="auto"/>
              </w:rPr>
            </w:pPr>
          </w:p>
        </w:tc>
        <w:tc>
          <w:tcPr>
            <w:tcW w:w="380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Revenue, net</w:t>
            </w:r>
          </w:p>
        </w:tc>
        <w:tc>
          <w:tcPr>
            <w:tcW w:w="152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5,475</w:t>
            </w:r>
          </w:p>
        </w:tc>
        <w:tc>
          <w:tcPr>
            <w:tcW w:w="12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5,789</w:t>
            </w:r>
          </w:p>
        </w:tc>
        <w:tc>
          <w:tcPr>
            <w:tcW w:w="140" w:type="dxa"/>
            <w:vAlign w:val="bottom"/>
            <w:tcBorders>
              <w:top w:val="single" w:sz="8" w:color="CFF0FC"/>
            </w:tcBorders>
            <w:shd w:val="clear" w:color="auto" w:fill="CFF0FC"/>
          </w:tcPr>
          <w:p>
            <w:pPr>
              <w:spacing w:after="0"/>
              <w:rPr>
                <w:sz w:val="19"/>
                <w:szCs w:val="19"/>
                <w:color w:val="auto"/>
              </w:rPr>
            </w:pPr>
          </w:p>
        </w:tc>
        <w:tc>
          <w:tcPr>
            <w:tcW w:w="8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4,177</w:t>
            </w:r>
          </w:p>
        </w:tc>
        <w:tc>
          <w:tcPr>
            <w:tcW w:w="12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CFF0FC"/>
            </w:tcBorders>
            <w:shd w:val="clear" w:color="auto" w:fill="CFF0FC"/>
          </w:tcPr>
          <w:p>
            <w:pPr>
              <w:spacing w:after="0"/>
              <w:rPr>
                <w:sz w:val="19"/>
                <w:szCs w:val="19"/>
                <w:color w:val="auto"/>
              </w:rPr>
            </w:pPr>
          </w:p>
        </w:tc>
        <w:tc>
          <w:tcPr>
            <w:tcW w:w="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9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5,856</w:t>
            </w:r>
          </w:p>
        </w:tc>
        <w:tc>
          <w:tcPr>
            <w:tcW w:w="120" w:type="dxa"/>
            <w:vAlign w:val="bottom"/>
            <w:tcBorders>
              <w:top w:val="single" w:sz="8" w:color="CFF0FC"/>
            </w:tcBorders>
            <w:shd w:val="clear" w:color="auto" w:fill="CFF0FC"/>
          </w:tcPr>
          <w:p>
            <w:pPr>
              <w:spacing w:after="0"/>
              <w:rPr>
                <w:sz w:val="19"/>
                <w:szCs w:val="19"/>
                <w:color w:val="auto"/>
              </w:rPr>
            </w:pPr>
          </w:p>
        </w:tc>
        <w:tc>
          <w:tcPr>
            <w:tcW w:w="580" w:type="dxa"/>
            <w:vAlign w:val="bottom"/>
          </w:tcPr>
          <w:p>
            <w:pPr>
              <w:spacing w:after="0"/>
              <w:rPr>
                <w:sz w:val="19"/>
                <w:szCs w:val="19"/>
                <w:color w:val="auto"/>
              </w:rPr>
            </w:pPr>
          </w:p>
        </w:tc>
      </w:tr>
      <w:tr>
        <w:trPr>
          <w:trHeight w:val="230"/>
        </w:trPr>
        <w:tc>
          <w:tcPr>
            <w:tcW w:w="580" w:type="dxa"/>
            <w:vAlign w:val="bottom"/>
          </w:tcPr>
          <w:p>
            <w:pPr>
              <w:spacing w:after="0"/>
              <w:rPr>
                <w:sz w:val="19"/>
                <w:szCs w:val="19"/>
                <w:color w:val="auto"/>
              </w:rPr>
            </w:pPr>
          </w:p>
        </w:tc>
        <w:tc>
          <w:tcPr>
            <w:tcW w:w="3800" w:type="dxa"/>
            <w:vAlign w:val="bottom"/>
          </w:tcPr>
          <w:p>
            <w:pPr>
              <w:spacing w:after="0"/>
              <w:rPr>
                <w:sz w:val="20"/>
                <w:szCs w:val="20"/>
                <w:color w:val="auto"/>
              </w:rPr>
            </w:pPr>
            <w:r>
              <w:rPr>
                <w:rFonts w:ascii="Arial" w:cs="Arial" w:eastAsia="Arial" w:hAnsi="Arial"/>
                <w:sz w:val="18"/>
                <w:szCs w:val="18"/>
                <w:color w:val="auto"/>
              </w:rPr>
              <w:t>Gross profit</w:t>
            </w:r>
          </w:p>
        </w:tc>
        <w:tc>
          <w:tcPr>
            <w:tcW w:w="16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2,383</w:t>
            </w:r>
          </w:p>
        </w:tc>
        <w:tc>
          <w:tcPr>
            <w:tcW w:w="120" w:type="dxa"/>
            <w:vAlign w:val="bottom"/>
          </w:tcPr>
          <w:p>
            <w:pPr>
              <w:spacing w:after="0"/>
              <w:rPr>
                <w:sz w:val="19"/>
                <w:szCs w:val="19"/>
                <w:color w:val="auto"/>
              </w:rPr>
            </w:pP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2,302</w:t>
            </w:r>
          </w:p>
        </w:tc>
        <w:tc>
          <w:tcPr>
            <w:tcW w:w="140" w:type="dxa"/>
            <w:vAlign w:val="bottom"/>
          </w:tcPr>
          <w:p>
            <w:pPr>
              <w:spacing w:after="0"/>
              <w:rPr>
                <w:sz w:val="19"/>
                <w:szCs w:val="19"/>
                <w:color w:val="auto"/>
              </w:rPr>
            </w:pP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1,703</w:t>
            </w:r>
          </w:p>
        </w:tc>
        <w:tc>
          <w:tcPr>
            <w:tcW w:w="120" w:type="dxa"/>
            <w:vAlign w:val="bottom"/>
          </w:tcPr>
          <w:p>
            <w:pPr>
              <w:spacing w:after="0"/>
              <w:rPr>
                <w:sz w:val="19"/>
                <w:szCs w:val="19"/>
                <w:color w:val="auto"/>
              </w:rPr>
            </w:pPr>
          </w:p>
        </w:tc>
        <w:tc>
          <w:tcPr>
            <w:tcW w:w="1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2,759</w:t>
            </w:r>
          </w:p>
        </w:tc>
        <w:tc>
          <w:tcPr>
            <w:tcW w:w="120" w:type="dxa"/>
            <w:vAlign w:val="bottom"/>
          </w:tcPr>
          <w:p>
            <w:pPr>
              <w:spacing w:after="0"/>
              <w:rPr>
                <w:sz w:val="19"/>
                <w:szCs w:val="19"/>
                <w:color w:val="auto"/>
              </w:rPr>
            </w:pPr>
          </w:p>
        </w:tc>
        <w:tc>
          <w:tcPr>
            <w:tcW w:w="580" w:type="dxa"/>
            <w:vAlign w:val="bottom"/>
          </w:tcPr>
          <w:p>
            <w:pPr>
              <w:spacing w:after="0"/>
              <w:rPr>
                <w:sz w:val="19"/>
                <w:szCs w:val="19"/>
                <w:color w:val="auto"/>
              </w:rPr>
            </w:pPr>
          </w:p>
        </w:tc>
      </w:tr>
      <w:tr>
        <w:trPr>
          <w:trHeight w:val="230"/>
        </w:trPr>
        <w:tc>
          <w:tcPr>
            <w:tcW w:w="580" w:type="dxa"/>
            <w:vAlign w:val="bottom"/>
          </w:tcPr>
          <w:p>
            <w:pPr>
              <w:spacing w:after="0"/>
              <w:rPr>
                <w:sz w:val="19"/>
                <w:szCs w:val="19"/>
                <w:color w:val="auto"/>
              </w:rPr>
            </w:pPr>
          </w:p>
        </w:tc>
        <w:tc>
          <w:tcPr>
            <w:tcW w:w="3800" w:type="dxa"/>
            <w:vAlign w:val="bottom"/>
            <w:shd w:val="clear" w:color="auto" w:fill="CFF0FC"/>
          </w:tcPr>
          <w:p>
            <w:pPr>
              <w:spacing w:after="0"/>
              <w:rPr>
                <w:sz w:val="20"/>
                <w:szCs w:val="20"/>
                <w:color w:val="auto"/>
              </w:rPr>
            </w:pPr>
            <w:r>
              <w:rPr>
                <w:rFonts w:ascii="Arial" w:cs="Arial" w:eastAsia="Arial" w:hAnsi="Arial"/>
                <w:sz w:val="18"/>
                <w:szCs w:val="18"/>
                <w:color w:val="auto"/>
              </w:rPr>
              <w:t>Net loss</w:t>
            </w:r>
          </w:p>
        </w:tc>
        <w:tc>
          <w:tcPr>
            <w:tcW w:w="164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(5,175)</w:t>
            </w:r>
          </w:p>
        </w:tc>
        <w:tc>
          <w:tcPr>
            <w:tcW w:w="22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(5,007)</w:t>
            </w:r>
          </w:p>
        </w:tc>
        <w:tc>
          <w:tcPr>
            <w:tcW w:w="22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(6,596)</w:t>
            </w:r>
          </w:p>
        </w:tc>
        <w:tc>
          <w:tcPr>
            <w:tcW w:w="18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(1,064)</w:t>
            </w:r>
          </w:p>
        </w:tc>
        <w:tc>
          <w:tcPr>
            <w:tcW w:w="580" w:type="dxa"/>
            <w:vAlign w:val="bottom"/>
          </w:tcPr>
          <w:p>
            <w:pPr>
              <w:spacing w:after="0"/>
              <w:rPr>
                <w:sz w:val="19"/>
                <w:szCs w:val="19"/>
                <w:color w:val="auto"/>
              </w:rPr>
            </w:pPr>
          </w:p>
        </w:tc>
      </w:tr>
      <w:tr>
        <w:trPr>
          <w:trHeight w:val="230"/>
        </w:trPr>
        <w:tc>
          <w:tcPr>
            <w:tcW w:w="580" w:type="dxa"/>
            <w:vAlign w:val="bottom"/>
          </w:tcPr>
          <w:p>
            <w:pPr>
              <w:spacing w:after="0"/>
              <w:rPr>
                <w:sz w:val="20"/>
                <w:szCs w:val="20"/>
                <w:color w:val="auto"/>
              </w:rPr>
            </w:pPr>
          </w:p>
        </w:tc>
        <w:tc>
          <w:tcPr>
            <w:tcW w:w="3800" w:type="dxa"/>
            <w:vAlign w:val="bottom"/>
          </w:tcPr>
          <w:p>
            <w:pPr>
              <w:spacing w:after="0"/>
              <w:rPr>
                <w:sz w:val="20"/>
                <w:szCs w:val="20"/>
                <w:color w:val="auto"/>
              </w:rPr>
            </w:pPr>
            <w:r>
              <w:rPr>
                <w:rFonts w:ascii="Arial" w:cs="Arial" w:eastAsia="Arial" w:hAnsi="Arial"/>
                <w:sz w:val="18"/>
                <w:szCs w:val="18"/>
                <w:color w:val="auto"/>
              </w:rPr>
              <w:t>Basic and diluted net loss per share</w:t>
            </w:r>
          </w:p>
        </w:tc>
        <w:tc>
          <w:tcPr>
            <w:tcW w:w="16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40" w:type="dxa"/>
            <w:vAlign w:val="bottom"/>
            <w:gridSpan w:val="2"/>
          </w:tcPr>
          <w:p>
            <w:pPr>
              <w:jc w:val="right"/>
              <w:ind w:right="80"/>
              <w:spacing w:after="0"/>
              <w:rPr>
                <w:sz w:val="20"/>
                <w:szCs w:val="20"/>
                <w:color w:val="auto"/>
              </w:rPr>
            </w:pPr>
            <w:r>
              <w:rPr>
                <w:rFonts w:ascii="Arial" w:cs="Arial" w:eastAsia="Arial" w:hAnsi="Arial"/>
                <w:sz w:val="18"/>
                <w:szCs w:val="18"/>
                <w:color w:val="auto"/>
              </w:rPr>
              <w:t>(3.20)</w:t>
            </w: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60" w:type="dxa"/>
            <w:vAlign w:val="bottom"/>
            <w:gridSpan w:val="2"/>
          </w:tcPr>
          <w:p>
            <w:pPr>
              <w:jc w:val="right"/>
              <w:ind w:right="80"/>
              <w:spacing w:after="0"/>
              <w:rPr>
                <w:sz w:val="20"/>
                <w:szCs w:val="20"/>
                <w:color w:val="auto"/>
              </w:rPr>
            </w:pPr>
            <w:r>
              <w:rPr>
                <w:rFonts w:ascii="Arial" w:cs="Arial" w:eastAsia="Arial" w:hAnsi="Arial"/>
                <w:sz w:val="18"/>
                <w:szCs w:val="18"/>
                <w:color w:val="auto"/>
              </w:rPr>
              <w:t>(3.09)</w:t>
            </w: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40" w:type="dxa"/>
            <w:vAlign w:val="bottom"/>
            <w:gridSpan w:val="2"/>
          </w:tcPr>
          <w:p>
            <w:pPr>
              <w:jc w:val="right"/>
              <w:ind w:right="80"/>
              <w:spacing w:after="0"/>
              <w:rPr>
                <w:sz w:val="20"/>
                <w:szCs w:val="20"/>
                <w:color w:val="auto"/>
              </w:rPr>
            </w:pPr>
            <w:r>
              <w:rPr>
                <w:rFonts w:ascii="Arial" w:cs="Arial" w:eastAsia="Arial" w:hAnsi="Arial"/>
                <w:sz w:val="18"/>
                <w:szCs w:val="18"/>
                <w:color w:val="auto"/>
              </w:rPr>
              <w:t>(4.07)</w:t>
            </w:r>
          </w:p>
        </w:tc>
        <w:tc>
          <w:tcPr>
            <w:tcW w:w="1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80" w:type="dxa"/>
            <w:vAlign w:val="bottom"/>
            <w:gridSpan w:val="2"/>
          </w:tcPr>
          <w:p>
            <w:pPr>
              <w:jc w:val="right"/>
              <w:ind w:right="60"/>
              <w:spacing w:after="0"/>
              <w:rPr>
                <w:sz w:val="20"/>
                <w:szCs w:val="20"/>
                <w:color w:val="auto"/>
              </w:rPr>
            </w:pPr>
            <w:r>
              <w:rPr>
                <w:rFonts w:ascii="Arial" w:cs="Arial" w:eastAsia="Arial" w:hAnsi="Arial"/>
                <w:sz w:val="18"/>
                <w:szCs w:val="18"/>
                <w:color w:val="auto"/>
              </w:rPr>
              <w:t>(0.04)</w:t>
            </w:r>
          </w:p>
        </w:tc>
        <w:tc>
          <w:tcPr>
            <w:tcW w:w="580" w:type="dxa"/>
            <w:vAlign w:val="bottom"/>
          </w:tcPr>
          <w:p>
            <w:pPr>
              <w:spacing w:after="0"/>
              <w:rPr>
                <w:sz w:val="20"/>
                <w:szCs w:val="20"/>
                <w:color w:val="auto"/>
              </w:rPr>
            </w:pPr>
          </w:p>
        </w:tc>
      </w:tr>
      <w:tr>
        <w:trPr>
          <w:trHeight w:val="634"/>
        </w:trPr>
        <w:tc>
          <w:tcPr>
            <w:tcW w:w="580" w:type="dxa"/>
            <w:vAlign w:val="bottom"/>
          </w:tcPr>
          <w:p>
            <w:pPr>
              <w:spacing w:after="0"/>
              <w:rPr>
                <w:sz w:val="24"/>
                <w:szCs w:val="24"/>
                <w:color w:val="auto"/>
              </w:rPr>
            </w:pPr>
          </w:p>
        </w:tc>
        <w:tc>
          <w:tcPr>
            <w:tcW w:w="3800" w:type="dxa"/>
            <w:vAlign w:val="bottom"/>
          </w:tcPr>
          <w:p>
            <w:pPr>
              <w:spacing w:after="0"/>
              <w:rPr>
                <w:sz w:val="24"/>
                <w:szCs w:val="24"/>
                <w:color w:val="auto"/>
              </w:rPr>
            </w:pPr>
          </w:p>
        </w:tc>
        <w:tc>
          <w:tcPr>
            <w:tcW w:w="1520" w:type="dxa"/>
            <w:vAlign w:val="bottom"/>
          </w:tcPr>
          <w:p>
            <w:pPr>
              <w:jc w:val="right"/>
              <w:ind w:right="10"/>
              <w:spacing w:after="0"/>
              <w:rPr>
                <w:sz w:val="20"/>
                <w:szCs w:val="20"/>
                <w:color w:val="auto"/>
              </w:rPr>
            </w:pPr>
            <w:r>
              <w:rPr>
                <w:rFonts w:ascii="Arial" w:cs="Arial" w:eastAsia="Arial" w:hAnsi="Arial"/>
                <w:sz w:val="18"/>
                <w:szCs w:val="18"/>
                <w:color w:val="auto"/>
              </w:rPr>
              <w:t>99</w:t>
            </w:r>
          </w:p>
        </w:tc>
        <w:tc>
          <w:tcPr>
            <w:tcW w:w="1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80" w:type="dxa"/>
            <w:vAlign w:val="bottom"/>
          </w:tcPr>
          <w:p>
            <w:pPr>
              <w:spacing w:after="0"/>
              <w:rPr>
                <w:sz w:val="24"/>
                <w:szCs w:val="24"/>
                <w:color w:val="auto"/>
              </w:rPr>
            </w:pPr>
          </w:p>
        </w:tc>
      </w:tr>
      <w:tr>
        <w:trPr>
          <w:trHeight w:val="115"/>
        </w:trPr>
        <w:tc>
          <w:tcPr>
            <w:tcW w:w="580" w:type="dxa"/>
            <w:vAlign w:val="bottom"/>
            <w:tcBorders>
              <w:bottom w:val="single" w:sz="8" w:color="9A9A9A"/>
            </w:tcBorders>
          </w:tcPr>
          <w:p>
            <w:pPr>
              <w:spacing w:after="0"/>
              <w:rPr>
                <w:sz w:val="10"/>
                <w:szCs w:val="10"/>
                <w:color w:val="auto"/>
              </w:rPr>
            </w:pPr>
          </w:p>
        </w:tc>
        <w:tc>
          <w:tcPr>
            <w:tcW w:w="3800" w:type="dxa"/>
            <w:vAlign w:val="bottom"/>
            <w:tcBorders>
              <w:bottom w:val="single" w:sz="8" w:color="9A9A9A"/>
            </w:tcBorders>
          </w:tcPr>
          <w:p>
            <w:pPr>
              <w:spacing w:after="0"/>
              <w:rPr>
                <w:sz w:val="10"/>
                <w:szCs w:val="10"/>
                <w:color w:val="auto"/>
              </w:rPr>
            </w:pPr>
          </w:p>
        </w:tc>
        <w:tc>
          <w:tcPr>
            <w:tcW w:w="152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92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92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92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96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58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7247255</wp:posOffset>
            </wp:positionH>
            <wp:positionV relativeFrom="paragraph">
              <wp:posOffset>-29210</wp:posOffset>
            </wp:positionV>
            <wp:extent cx="34290" cy="4254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440"/>
          </w:cols>
          <w:pgMar w:left="240" w:top="341" w:right="219" w:bottom="1440" w:gutter="0" w:footer="0" w:header="0"/>
        </w:sectPr>
      </w:pPr>
    </w:p>
    <w:bookmarkStart w:id="100" w:name="page101"/>
    <w:bookmarkEnd w:id="100"/>
    <w:tbl>
      <w:tblPr>
        <w:tblLayout w:type="fixed"/>
        <w:tblInd w:w="580" w:type="dxa"/>
        <w:tblCellMar>
          <w:top w:w="0" w:type="dxa"/>
          <w:left w:w="0" w:type="dxa"/>
          <w:bottom w:w="0" w:type="dxa"/>
          <w:right w:w="0" w:type="dxa"/>
        </w:tblCellMar>
      </w:tblPr>
      <w:tr>
        <w:trPr>
          <w:trHeight w:val="171"/>
        </w:trPr>
        <w:tc>
          <w:tcPr>
            <w:tcW w:w="392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2320" w:type="dxa"/>
            <w:vAlign w:val="bottom"/>
            <w:tcBorders>
              <w:bottom w:val="single" w:sz="8" w:color="auto"/>
            </w:tcBorders>
            <w:gridSpan w:val="6"/>
          </w:tcPr>
          <w:p>
            <w:pPr>
              <w:jc w:val="right"/>
              <w:ind w:right="440"/>
              <w:spacing w:after="0"/>
              <w:rPr>
                <w:sz w:val="20"/>
                <w:szCs w:val="20"/>
                <w:color w:val="auto"/>
              </w:rPr>
            </w:pPr>
            <w:r>
              <w:rPr>
                <w:rFonts w:ascii="Arial" w:cs="Arial" w:eastAsia="Arial" w:hAnsi="Arial"/>
                <w:sz w:val="14"/>
                <w:szCs w:val="14"/>
                <w:b w:val="1"/>
                <w:bCs w:val="1"/>
                <w:color w:val="auto"/>
              </w:rPr>
              <w:t>Fiscal 2016 Quarter Ended,</w:t>
            </w:r>
          </w:p>
        </w:tc>
        <w:tc>
          <w:tcPr>
            <w:tcW w:w="10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r>
      <w:tr>
        <w:trPr>
          <w:trHeight w:val="133"/>
        </w:trPr>
        <w:tc>
          <w:tcPr>
            <w:tcW w:w="3920" w:type="dxa"/>
            <w:vAlign w:val="bottom"/>
          </w:tcPr>
          <w:p>
            <w:pPr>
              <w:spacing w:after="0"/>
              <w:rPr>
                <w:sz w:val="11"/>
                <w:szCs w:val="11"/>
                <w:color w:val="auto"/>
              </w:rPr>
            </w:pPr>
          </w:p>
        </w:tc>
        <w:tc>
          <w:tcPr>
            <w:tcW w:w="14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40" w:type="dxa"/>
            <w:vAlign w:val="bottom"/>
            <w:gridSpan w:val="2"/>
          </w:tcPr>
          <w:p>
            <w:pPr>
              <w:jc w:val="center"/>
              <w:ind w:right="280"/>
              <w:spacing w:after="0" w:line="133" w:lineRule="exact"/>
              <w:rPr>
                <w:sz w:val="20"/>
                <w:szCs w:val="20"/>
                <w:color w:val="auto"/>
              </w:rPr>
            </w:pPr>
            <w:r>
              <w:rPr>
                <w:rFonts w:ascii="Arial" w:cs="Arial" w:eastAsia="Arial" w:hAnsi="Arial"/>
                <w:sz w:val="14"/>
                <w:szCs w:val="14"/>
                <w:b w:val="1"/>
                <w:bCs w:val="1"/>
                <w:color w:val="auto"/>
                <w:w w:val="99"/>
              </w:rPr>
              <w:t>March 31,</w:t>
            </w: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60" w:type="dxa"/>
            <w:vAlign w:val="bottom"/>
            <w:gridSpan w:val="2"/>
          </w:tcPr>
          <w:p>
            <w:pPr>
              <w:jc w:val="center"/>
              <w:ind w:right="300"/>
              <w:spacing w:after="0" w:line="133" w:lineRule="exact"/>
              <w:rPr>
                <w:sz w:val="20"/>
                <w:szCs w:val="20"/>
                <w:color w:val="auto"/>
              </w:rPr>
            </w:pPr>
            <w:r>
              <w:rPr>
                <w:rFonts w:ascii="Arial" w:cs="Arial" w:eastAsia="Arial" w:hAnsi="Arial"/>
                <w:sz w:val="14"/>
                <w:szCs w:val="14"/>
                <w:b w:val="1"/>
                <w:bCs w:val="1"/>
                <w:color w:val="auto"/>
                <w:w w:val="92"/>
              </w:rPr>
              <w:t>June 30,</w:t>
            </w:r>
          </w:p>
        </w:tc>
        <w:tc>
          <w:tcPr>
            <w:tcW w:w="80" w:type="dxa"/>
            <w:vAlign w:val="bottom"/>
          </w:tcPr>
          <w:p>
            <w:pPr>
              <w:spacing w:after="0"/>
              <w:rPr>
                <w:sz w:val="11"/>
                <w:szCs w:val="11"/>
                <w:color w:val="auto"/>
              </w:rPr>
            </w:pPr>
          </w:p>
        </w:tc>
        <w:tc>
          <w:tcPr>
            <w:tcW w:w="1180" w:type="dxa"/>
            <w:vAlign w:val="bottom"/>
            <w:gridSpan w:val="3"/>
          </w:tcPr>
          <w:p>
            <w:pPr>
              <w:jc w:val="center"/>
              <w:ind w:right="140"/>
              <w:spacing w:after="0" w:line="133" w:lineRule="exact"/>
              <w:rPr>
                <w:sz w:val="20"/>
                <w:szCs w:val="20"/>
                <w:color w:val="auto"/>
              </w:rPr>
            </w:pPr>
            <w:r>
              <w:rPr>
                <w:rFonts w:ascii="Arial" w:cs="Arial" w:eastAsia="Arial" w:hAnsi="Arial"/>
                <w:sz w:val="14"/>
                <w:szCs w:val="14"/>
                <w:b w:val="1"/>
                <w:bCs w:val="1"/>
                <w:color w:val="auto"/>
                <w:w w:val="91"/>
              </w:rPr>
              <w:t>September 30,</w:t>
            </w: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60" w:type="dxa"/>
            <w:vAlign w:val="bottom"/>
          </w:tcPr>
          <w:p>
            <w:pPr>
              <w:jc w:val="center"/>
              <w:ind w:right="38"/>
              <w:spacing w:after="0" w:line="133" w:lineRule="exact"/>
              <w:rPr>
                <w:sz w:val="20"/>
                <w:szCs w:val="20"/>
                <w:color w:val="auto"/>
              </w:rPr>
            </w:pPr>
            <w:r>
              <w:rPr>
                <w:rFonts w:ascii="Arial" w:cs="Arial" w:eastAsia="Arial" w:hAnsi="Arial"/>
                <w:sz w:val="14"/>
                <w:szCs w:val="14"/>
                <w:b w:val="1"/>
                <w:bCs w:val="1"/>
                <w:color w:val="auto"/>
                <w:w w:val="92"/>
              </w:rPr>
              <w:t>December 31,</w:t>
            </w:r>
          </w:p>
        </w:tc>
        <w:tc>
          <w:tcPr>
            <w:tcW w:w="120" w:type="dxa"/>
            <w:vAlign w:val="bottom"/>
          </w:tcPr>
          <w:p>
            <w:pPr>
              <w:spacing w:after="0"/>
              <w:rPr>
                <w:sz w:val="11"/>
                <w:szCs w:val="11"/>
                <w:color w:val="auto"/>
              </w:rPr>
            </w:pPr>
          </w:p>
        </w:tc>
      </w:tr>
      <w:tr>
        <w:trPr>
          <w:trHeight w:val="149"/>
        </w:trPr>
        <w:tc>
          <w:tcPr>
            <w:tcW w:w="3920" w:type="dxa"/>
            <w:vAlign w:val="bottom"/>
          </w:tcPr>
          <w:p>
            <w:pPr>
              <w:spacing w:after="0"/>
              <w:rPr>
                <w:sz w:val="12"/>
                <w:szCs w:val="12"/>
                <w:color w:val="auto"/>
              </w:rPr>
            </w:pPr>
          </w:p>
        </w:tc>
        <w:tc>
          <w:tcPr>
            <w:tcW w:w="14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20" w:type="dxa"/>
            <w:vAlign w:val="bottom"/>
          </w:tcPr>
          <w:p>
            <w:pPr>
              <w:jc w:val="center"/>
              <w:ind w:right="78"/>
              <w:spacing w:after="0" w:line="149" w:lineRule="exact"/>
              <w:rPr>
                <w:sz w:val="20"/>
                <w:szCs w:val="20"/>
                <w:color w:val="auto"/>
              </w:rPr>
            </w:pPr>
            <w:r>
              <w:rPr>
                <w:rFonts w:ascii="Arial" w:cs="Arial" w:eastAsia="Arial" w:hAnsi="Arial"/>
                <w:sz w:val="14"/>
                <w:szCs w:val="14"/>
                <w:b w:val="1"/>
                <w:bCs w:val="1"/>
                <w:color w:val="auto"/>
                <w:w w:val="89"/>
              </w:rPr>
              <w:t>2016</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20" w:type="dxa"/>
            <w:vAlign w:val="bottom"/>
          </w:tcPr>
          <w:p>
            <w:pPr>
              <w:jc w:val="center"/>
              <w:ind w:right="79"/>
              <w:spacing w:after="0" w:line="149" w:lineRule="exact"/>
              <w:rPr>
                <w:sz w:val="20"/>
                <w:szCs w:val="20"/>
                <w:color w:val="auto"/>
              </w:rPr>
            </w:pPr>
            <w:r>
              <w:rPr>
                <w:rFonts w:ascii="Arial" w:cs="Arial" w:eastAsia="Arial" w:hAnsi="Arial"/>
                <w:sz w:val="14"/>
                <w:szCs w:val="14"/>
                <w:b w:val="1"/>
                <w:bCs w:val="1"/>
                <w:color w:val="auto"/>
                <w:w w:val="89"/>
              </w:rPr>
              <w:t>2016</w:t>
            </w: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20" w:type="dxa"/>
            <w:vAlign w:val="bottom"/>
          </w:tcPr>
          <w:p>
            <w:pPr>
              <w:jc w:val="center"/>
              <w:ind w:right="76"/>
              <w:spacing w:after="0" w:line="149" w:lineRule="exact"/>
              <w:rPr>
                <w:sz w:val="20"/>
                <w:szCs w:val="20"/>
                <w:color w:val="auto"/>
              </w:rPr>
            </w:pPr>
            <w:r>
              <w:rPr>
                <w:rFonts w:ascii="Arial" w:cs="Arial" w:eastAsia="Arial" w:hAnsi="Arial"/>
                <w:sz w:val="14"/>
                <w:szCs w:val="14"/>
                <w:b w:val="1"/>
                <w:bCs w:val="1"/>
                <w:color w:val="auto"/>
                <w:w w:val="89"/>
              </w:rPr>
              <w:t>2016</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60" w:type="dxa"/>
            <w:vAlign w:val="bottom"/>
          </w:tcPr>
          <w:p>
            <w:pPr>
              <w:jc w:val="center"/>
              <w:ind w:right="38"/>
              <w:spacing w:after="0" w:line="149" w:lineRule="exact"/>
              <w:rPr>
                <w:sz w:val="20"/>
                <w:szCs w:val="20"/>
                <w:color w:val="auto"/>
              </w:rPr>
            </w:pPr>
            <w:r>
              <w:rPr>
                <w:rFonts w:ascii="Arial" w:cs="Arial" w:eastAsia="Arial" w:hAnsi="Arial"/>
                <w:sz w:val="14"/>
                <w:szCs w:val="14"/>
                <w:b w:val="1"/>
                <w:bCs w:val="1"/>
                <w:color w:val="auto"/>
                <w:w w:val="89"/>
              </w:rPr>
              <w:t>2016</w:t>
            </w:r>
          </w:p>
        </w:tc>
        <w:tc>
          <w:tcPr>
            <w:tcW w:w="120" w:type="dxa"/>
            <w:vAlign w:val="bottom"/>
          </w:tcPr>
          <w:p>
            <w:pPr>
              <w:spacing w:after="0"/>
              <w:rPr>
                <w:sz w:val="12"/>
                <w:szCs w:val="12"/>
                <w:color w:val="auto"/>
              </w:rPr>
            </w:pPr>
          </w:p>
        </w:tc>
      </w:tr>
      <w:tr>
        <w:trPr>
          <w:trHeight w:val="171"/>
        </w:trPr>
        <w:tc>
          <w:tcPr>
            <w:tcW w:w="392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4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3"/>
              </w:rPr>
              <w:t>Unaudited</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6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3"/>
              </w:rPr>
              <w:t>Unaudited</w:t>
            </w: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4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3"/>
              </w:rPr>
              <w:t>Unaudited</w:t>
            </w: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8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3"/>
              </w:rPr>
              <w:t>Unaudited</w:t>
            </w:r>
          </w:p>
        </w:tc>
      </w:tr>
      <w:tr>
        <w:trPr>
          <w:trHeight w:val="223"/>
        </w:trPr>
        <w:tc>
          <w:tcPr>
            <w:tcW w:w="392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Revenue, net</w:t>
            </w:r>
          </w:p>
        </w:tc>
        <w:tc>
          <w:tcPr>
            <w:tcW w:w="140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3,187</w:t>
            </w:r>
          </w:p>
        </w:tc>
        <w:tc>
          <w:tcPr>
            <w:tcW w:w="12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3,559</w:t>
            </w:r>
          </w:p>
        </w:tc>
        <w:tc>
          <w:tcPr>
            <w:tcW w:w="140" w:type="dxa"/>
            <w:vAlign w:val="bottom"/>
            <w:tcBorders>
              <w:top w:val="single" w:sz="8" w:color="CFF0FC"/>
            </w:tcBorders>
            <w:shd w:val="clear" w:color="auto" w:fill="CFF0FC"/>
          </w:tcPr>
          <w:p>
            <w:pPr>
              <w:spacing w:after="0"/>
              <w:rPr>
                <w:sz w:val="19"/>
                <w:szCs w:val="19"/>
                <w:color w:val="auto"/>
              </w:rPr>
            </w:pPr>
          </w:p>
        </w:tc>
        <w:tc>
          <w:tcPr>
            <w:tcW w:w="8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3,676</w:t>
            </w:r>
          </w:p>
        </w:tc>
        <w:tc>
          <w:tcPr>
            <w:tcW w:w="12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CFF0FC"/>
            </w:tcBorders>
            <w:shd w:val="clear" w:color="auto" w:fill="CFF0FC"/>
          </w:tcPr>
          <w:p>
            <w:pPr>
              <w:spacing w:after="0"/>
              <w:rPr>
                <w:sz w:val="19"/>
                <w:szCs w:val="19"/>
                <w:color w:val="auto"/>
              </w:rPr>
            </w:pPr>
          </w:p>
        </w:tc>
        <w:tc>
          <w:tcPr>
            <w:tcW w:w="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9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5,178</w:t>
            </w:r>
          </w:p>
        </w:tc>
        <w:tc>
          <w:tcPr>
            <w:tcW w:w="120" w:type="dxa"/>
            <w:vAlign w:val="bottom"/>
            <w:tcBorders>
              <w:top w:val="single" w:sz="8" w:color="CFF0FC"/>
            </w:tcBorders>
            <w:shd w:val="clear" w:color="auto" w:fill="CFF0FC"/>
          </w:tcPr>
          <w:p>
            <w:pPr>
              <w:spacing w:after="0"/>
              <w:rPr>
                <w:sz w:val="19"/>
                <w:szCs w:val="19"/>
                <w:color w:val="auto"/>
              </w:rPr>
            </w:pPr>
          </w:p>
        </w:tc>
      </w:tr>
      <w:tr>
        <w:trPr>
          <w:trHeight w:val="230"/>
        </w:trPr>
        <w:tc>
          <w:tcPr>
            <w:tcW w:w="3920" w:type="dxa"/>
            <w:vAlign w:val="bottom"/>
          </w:tcPr>
          <w:p>
            <w:pPr>
              <w:spacing w:after="0"/>
              <w:rPr>
                <w:sz w:val="20"/>
                <w:szCs w:val="20"/>
                <w:color w:val="auto"/>
              </w:rPr>
            </w:pPr>
            <w:r>
              <w:rPr>
                <w:rFonts w:ascii="Arial" w:cs="Arial" w:eastAsia="Arial" w:hAnsi="Arial"/>
                <w:sz w:val="18"/>
                <w:szCs w:val="18"/>
                <w:color w:val="auto"/>
              </w:rPr>
              <w:t>Gross profit</w:t>
            </w:r>
          </w:p>
        </w:tc>
        <w:tc>
          <w:tcPr>
            <w:tcW w:w="15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779</w:t>
            </w:r>
          </w:p>
        </w:tc>
        <w:tc>
          <w:tcPr>
            <w:tcW w:w="120" w:type="dxa"/>
            <w:vAlign w:val="bottom"/>
          </w:tcPr>
          <w:p>
            <w:pPr>
              <w:spacing w:after="0"/>
              <w:rPr>
                <w:sz w:val="19"/>
                <w:szCs w:val="19"/>
                <w:color w:val="auto"/>
              </w:rPr>
            </w:pP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1,104</w:t>
            </w:r>
          </w:p>
        </w:tc>
        <w:tc>
          <w:tcPr>
            <w:tcW w:w="140" w:type="dxa"/>
            <w:vAlign w:val="bottom"/>
          </w:tcPr>
          <w:p>
            <w:pPr>
              <w:spacing w:after="0"/>
              <w:rPr>
                <w:sz w:val="19"/>
                <w:szCs w:val="19"/>
                <w:color w:val="auto"/>
              </w:rPr>
            </w:pP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1,272</w:t>
            </w:r>
          </w:p>
        </w:tc>
        <w:tc>
          <w:tcPr>
            <w:tcW w:w="120" w:type="dxa"/>
            <w:vAlign w:val="bottom"/>
          </w:tcPr>
          <w:p>
            <w:pPr>
              <w:spacing w:after="0"/>
              <w:rPr>
                <w:sz w:val="19"/>
                <w:szCs w:val="19"/>
                <w:color w:val="auto"/>
              </w:rPr>
            </w:pPr>
          </w:p>
        </w:tc>
        <w:tc>
          <w:tcPr>
            <w:tcW w:w="1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2,014</w:t>
            </w:r>
          </w:p>
        </w:tc>
        <w:tc>
          <w:tcPr>
            <w:tcW w:w="120" w:type="dxa"/>
            <w:vAlign w:val="bottom"/>
          </w:tcPr>
          <w:p>
            <w:pPr>
              <w:spacing w:after="0"/>
              <w:rPr>
                <w:sz w:val="19"/>
                <w:szCs w:val="19"/>
                <w:color w:val="auto"/>
              </w:rPr>
            </w:pPr>
          </w:p>
        </w:tc>
      </w:tr>
      <w:tr>
        <w:trPr>
          <w:trHeight w:val="230"/>
        </w:trPr>
        <w:tc>
          <w:tcPr>
            <w:tcW w:w="3920" w:type="dxa"/>
            <w:vAlign w:val="bottom"/>
            <w:shd w:val="clear" w:color="auto" w:fill="CFF0FC"/>
          </w:tcPr>
          <w:p>
            <w:pPr>
              <w:spacing w:after="0"/>
              <w:rPr>
                <w:sz w:val="20"/>
                <w:szCs w:val="20"/>
                <w:color w:val="auto"/>
              </w:rPr>
            </w:pPr>
            <w:r>
              <w:rPr>
                <w:rFonts w:ascii="Arial" w:cs="Arial" w:eastAsia="Arial" w:hAnsi="Arial"/>
                <w:sz w:val="18"/>
                <w:szCs w:val="18"/>
                <w:color w:val="auto"/>
              </w:rPr>
              <w:t>Net loss</w:t>
            </w:r>
          </w:p>
        </w:tc>
        <w:tc>
          <w:tcPr>
            <w:tcW w:w="152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(5,814)</w:t>
            </w:r>
          </w:p>
        </w:tc>
        <w:tc>
          <w:tcPr>
            <w:tcW w:w="22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(5,172)</w:t>
            </w:r>
          </w:p>
        </w:tc>
        <w:tc>
          <w:tcPr>
            <w:tcW w:w="22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(5,928)</w:t>
            </w:r>
          </w:p>
        </w:tc>
        <w:tc>
          <w:tcPr>
            <w:tcW w:w="18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(4,932)</w:t>
            </w:r>
          </w:p>
        </w:tc>
      </w:tr>
      <w:tr>
        <w:trPr>
          <w:trHeight w:val="230"/>
        </w:trPr>
        <w:tc>
          <w:tcPr>
            <w:tcW w:w="3920" w:type="dxa"/>
            <w:vAlign w:val="bottom"/>
          </w:tcPr>
          <w:p>
            <w:pPr>
              <w:spacing w:after="0"/>
              <w:rPr>
                <w:sz w:val="20"/>
                <w:szCs w:val="20"/>
                <w:color w:val="auto"/>
              </w:rPr>
            </w:pPr>
            <w:r>
              <w:rPr>
                <w:rFonts w:ascii="Arial" w:cs="Arial" w:eastAsia="Arial" w:hAnsi="Arial"/>
                <w:sz w:val="18"/>
                <w:szCs w:val="18"/>
                <w:color w:val="auto"/>
              </w:rPr>
              <w:t>Basic and diluted net loss per share</w:t>
            </w:r>
          </w:p>
        </w:tc>
        <w:tc>
          <w:tcPr>
            <w:tcW w:w="15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40" w:type="dxa"/>
            <w:vAlign w:val="bottom"/>
            <w:gridSpan w:val="2"/>
          </w:tcPr>
          <w:p>
            <w:pPr>
              <w:jc w:val="right"/>
              <w:ind w:right="80"/>
              <w:spacing w:after="0"/>
              <w:rPr>
                <w:sz w:val="20"/>
                <w:szCs w:val="20"/>
                <w:color w:val="auto"/>
              </w:rPr>
            </w:pPr>
            <w:r>
              <w:rPr>
                <w:rFonts w:ascii="Arial" w:cs="Arial" w:eastAsia="Arial" w:hAnsi="Arial"/>
                <w:sz w:val="18"/>
                <w:szCs w:val="18"/>
                <w:color w:val="auto"/>
              </w:rPr>
              <w:t>(3.61)</w:t>
            </w: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60" w:type="dxa"/>
            <w:vAlign w:val="bottom"/>
            <w:gridSpan w:val="2"/>
          </w:tcPr>
          <w:p>
            <w:pPr>
              <w:jc w:val="right"/>
              <w:ind w:right="80"/>
              <w:spacing w:after="0"/>
              <w:rPr>
                <w:sz w:val="20"/>
                <w:szCs w:val="20"/>
                <w:color w:val="auto"/>
              </w:rPr>
            </w:pPr>
            <w:r>
              <w:rPr>
                <w:rFonts w:ascii="Arial" w:cs="Arial" w:eastAsia="Arial" w:hAnsi="Arial"/>
                <w:sz w:val="18"/>
                <w:szCs w:val="18"/>
                <w:color w:val="auto"/>
              </w:rPr>
              <w:t>(3.21)</w:t>
            </w: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40" w:type="dxa"/>
            <w:vAlign w:val="bottom"/>
            <w:gridSpan w:val="2"/>
          </w:tcPr>
          <w:p>
            <w:pPr>
              <w:jc w:val="right"/>
              <w:ind w:right="80"/>
              <w:spacing w:after="0"/>
              <w:rPr>
                <w:sz w:val="20"/>
                <w:szCs w:val="20"/>
                <w:color w:val="auto"/>
              </w:rPr>
            </w:pPr>
            <w:r>
              <w:rPr>
                <w:rFonts w:ascii="Arial" w:cs="Arial" w:eastAsia="Arial" w:hAnsi="Arial"/>
                <w:sz w:val="18"/>
                <w:szCs w:val="18"/>
                <w:color w:val="auto"/>
              </w:rPr>
              <w:t>(3.67)</w:t>
            </w:r>
          </w:p>
        </w:tc>
        <w:tc>
          <w:tcPr>
            <w:tcW w:w="1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80" w:type="dxa"/>
            <w:vAlign w:val="bottom"/>
            <w:gridSpan w:val="2"/>
          </w:tcPr>
          <w:p>
            <w:pPr>
              <w:jc w:val="right"/>
              <w:ind w:right="60"/>
              <w:spacing w:after="0"/>
              <w:rPr>
                <w:sz w:val="20"/>
                <w:szCs w:val="20"/>
                <w:color w:val="auto"/>
              </w:rPr>
            </w:pPr>
            <w:r>
              <w:rPr>
                <w:rFonts w:ascii="Arial" w:cs="Arial" w:eastAsia="Arial" w:hAnsi="Arial"/>
                <w:sz w:val="18"/>
                <w:szCs w:val="18"/>
                <w:color w:val="auto"/>
              </w:rPr>
              <w:t>(3.06)</w:t>
            </w:r>
          </w:p>
        </w:tc>
      </w:tr>
    </w:tbl>
    <w:p>
      <w:pPr>
        <w:spacing w:after="0" w:line="1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15. RELATED PARTY TRANSACTIONS</w:t>
      </w:r>
    </w:p>
    <w:p>
      <w:pPr>
        <w:spacing w:after="0" w:line="121"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color w:val="auto"/>
        </w:rPr>
        <w:t>During the years ended December 31, 2017 and 2016, the Company has engaged in a commercial transaction with a then-member of the Company’s board of directors. The aggregate revenue for this transaction was $83 and $240 for the years ended December 31, 2017 and 2016. There were no accounts receivable due from this then-member of the board of directors as of December 31, 2017 and 2016. In January 2017, that member of the Company’s board of directors resigned.</w:t>
      </w:r>
    </w:p>
    <w:p>
      <w:pPr>
        <w:spacing w:after="0" w:line="1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9.Changes in and Disagreements With Accountants on Accounting and Financial Disclosure.</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9A.Controls and Procedures.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Evaluation of disclosure controls and procedures</w:t>
      </w:r>
      <w:r>
        <w:rPr>
          <w:rFonts w:ascii="Arial" w:cs="Arial" w:eastAsia="Arial" w:hAnsi="Arial"/>
          <w:sz w:val="18"/>
          <w:szCs w:val="18"/>
          <w:i w:val="1"/>
          <w:iCs w:val="1"/>
          <w:color w:val="auto"/>
        </w:rPr>
        <w:t>.</w:t>
      </w:r>
    </w:p>
    <w:p>
      <w:pPr>
        <w:spacing w:after="0" w:line="121" w:lineRule="exact"/>
        <w:rPr>
          <w:sz w:val="20"/>
          <w:szCs w:val="20"/>
          <w:color w:val="auto"/>
        </w:rPr>
      </w:pPr>
    </w:p>
    <w:p>
      <w:pPr>
        <w:ind w:right="60"/>
        <w:spacing w:after="0" w:line="291" w:lineRule="auto"/>
        <w:rPr>
          <w:sz w:val="20"/>
          <w:szCs w:val="20"/>
          <w:color w:val="auto"/>
        </w:rPr>
      </w:pPr>
      <w:r>
        <w:rPr>
          <w:rFonts w:ascii="Arial" w:cs="Arial" w:eastAsia="Arial" w:hAnsi="Arial"/>
          <w:sz w:val="16"/>
          <w:szCs w:val="16"/>
          <w:color w:val="auto"/>
        </w:rPr>
        <w:t>As of December 31, 2017, our management, with the participation of our Chief Executive Officer and Chief Financial Officer, performed an evaluation of the effectiveness of the design and operation of our disclosure controls and procedures as defined in Rules 13a-15(e) and 15d-15(e) of the Exchange Act. Our disclosure controls and procedures are designed to ensure that information required to be disclosed in the reports we file or submit under the Exchange Act is recorded, processed, summarized and reported within the time periods specified in the Securities and Exchange Commission’s rules and forms, and that such information is accumulated and communicated to our management, including the Chief Executive Officer and the Chief Financial Officer, to allow timely decisions regarding required disclosures. Based on this evaluation, our Chief Executive Officer and Chief Financial Officer concluded that, as of December 31, 2017, the design and operation of our disclosure controls and procedures were effective at a reasonable assurance level.</w:t>
      </w:r>
    </w:p>
    <w:p>
      <w:pPr>
        <w:spacing w:after="0" w:line="59" w:lineRule="exact"/>
        <w:rPr>
          <w:sz w:val="20"/>
          <w:szCs w:val="20"/>
          <w:color w:val="auto"/>
        </w:rPr>
      </w:pPr>
    </w:p>
    <w:p>
      <w:pPr>
        <w:spacing w:after="0" w:line="308" w:lineRule="auto"/>
        <w:rPr>
          <w:sz w:val="20"/>
          <w:szCs w:val="20"/>
          <w:color w:val="auto"/>
        </w:rPr>
      </w:pPr>
      <w:r>
        <w:rPr>
          <w:rFonts w:ascii="Arial" w:cs="Arial" w:eastAsia="Arial" w:hAnsi="Arial"/>
          <w:sz w:val="17"/>
          <w:szCs w:val="17"/>
          <w:color w:val="auto"/>
        </w:rPr>
        <w:t>Any controls and procedures, no matter how well designed and operated, can provide only reasonable assurance of achieving the desired control objective and management necessarily applies its judgment in evaluating the cost-benefit relationship of possible controls and procedures.</w:t>
      </w:r>
    </w:p>
    <w:p>
      <w:pPr>
        <w:spacing w:after="0" w:line="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Management’s Annual Report on Internal Control Over Financial Reporting</w:t>
      </w:r>
    </w:p>
    <w:p>
      <w:pPr>
        <w:spacing w:after="0" w:line="121" w:lineRule="exact"/>
        <w:rPr>
          <w:sz w:val="20"/>
          <w:szCs w:val="20"/>
          <w:color w:val="auto"/>
        </w:rPr>
      </w:pPr>
    </w:p>
    <w:p>
      <w:pPr>
        <w:ind w:right="140"/>
        <w:spacing w:after="0" w:line="308" w:lineRule="auto"/>
        <w:rPr>
          <w:sz w:val="20"/>
          <w:szCs w:val="20"/>
          <w:color w:val="auto"/>
        </w:rPr>
      </w:pPr>
      <w:r>
        <w:rPr>
          <w:rFonts w:ascii="Arial" w:cs="Arial" w:eastAsia="Arial" w:hAnsi="Arial"/>
          <w:sz w:val="17"/>
          <w:szCs w:val="17"/>
          <w:color w:val="auto"/>
        </w:rPr>
        <w:t>This Annual Report on Form 10-K does not include a report of management’s assessment regarding internal control over financial reporting or an attestation report of our registered public accounting firm due to a transition period established by rules of the SEC for newly public companies.</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Changes in internal control over financial reporting.</w:t>
      </w:r>
    </w:p>
    <w:p>
      <w:pPr>
        <w:spacing w:after="0" w:line="121" w:lineRule="exact"/>
        <w:rPr>
          <w:sz w:val="20"/>
          <w:szCs w:val="20"/>
          <w:color w:val="auto"/>
        </w:rPr>
      </w:pPr>
    </w:p>
    <w:p>
      <w:pPr>
        <w:jc w:val="both"/>
        <w:ind w:right="60"/>
        <w:spacing w:after="0" w:line="264" w:lineRule="auto"/>
        <w:rPr>
          <w:sz w:val="20"/>
          <w:szCs w:val="20"/>
          <w:color w:val="auto"/>
        </w:rPr>
      </w:pPr>
      <w:r>
        <w:rPr>
          <w:rFonts w:ascii="Arial" w:cs="Arial" w:eastAsia="Arial" w:hAnsi="Arial"/>
          <w:sz w:val="18"/>
          <w:szCs w:val="18"/>
          <w:color w:val="auto"/>
        </w:rPr>
        <w:t>There were no changes in our internal control over financial reporting identified in connection with the evaluation required by Rule 13a-15(d) and 15d-15(d) of the Exchange Act that occurred during the quarter ended December 31, 2017 that have materially affected, or are reasonably likely to materially affect, our internal control over financial reporting.</w:t>
      </w:r>
    </w:p>
    <w:p>
      <w:pPr>
        <w:spacing w:after="0" w:line="1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9B.Other Information.</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414" w:right="239" w:bottom="1440" w:gutter="0" w:footer="0" w:header="0"/>
        </w:sectPr>
      </w:pPr>
    </w:p>
    <w:bookmarkStart w:id="101" w:name="page102"/>
    <w:bookmarkEnd w:id="101"/>
    <w:p>
      <w:pPr>
        <w:jc w:val="center"/>
        <w:ind w:right="-59"/>
        <w:spacing w:after="0"/>
        <w:rPr>
          <w:sz w:val="20"/>
          <w:szCs w:val="20"/>
          <w:color w:val="auto"/>
        </w:rPr>
      </w:pPr>
      <w:r>
        <w:rPr>
          <w:rFonts w:ascii="Arial" w:cs="Arial" w:eastAsia="Arial" w:hAnsi="Arial"/>
          <w:sz w:val="18"/>
          <w:szCs w:val="18"/>
          <w:b w:val="1"/>
          <w:bCs w:val="1"/>
          <w:color w:val="auto"/>
        </w:rPr>
        <w:t>PART III</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10.Directors, Executive Officers and Corporate Governance.</w:t>
      </w:r>
    </w:p>
    <w:p>
      <w:pPr>
        <w:spacing w:after="0" w:line="121"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The information required by this item is incorporated herein by reference to our Proxy Statement with respect to our 2018 Annual Meeting of Stockholders to be filed with the SEC within 120 days of the end of the fiscal year covered by this Annual Report on Form 10-K.</w:t>
      </w:r>
    </w:p>
    <w:p>
      <w:pPr>
        <w:spacing w:after="0" w:line="9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11.Executive Compensation.</w:t>
      </w:r>
    </w:p>
    <w:p>
      <w:pPr>
        <w:spacing w:after="0" w:line="121"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The information required by this item is incorporated herein by reference to our Proxy Statement with respect to our 2018 Annual Meeting of Stockholders to be filed with the SEC within 120 days of the end of the fiscal year covered by this Annual Report on Form 10-K.</w:t>
      </w:r>
    </w:p>
    <w:p>
      <w:pPr>
        <w:spacing w:after="0" w:line="9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12.Security Ownership of Certain Beneficial Owners and Management and Related Stockholder Matters.</w:t>
      </w:r>
    </w:p>
    <w:p>
      <w:pPr>
        <w:spacing w:after="0" w:line="121"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The information required by this item is incorporated herein by reference to our Proxy Statement with respect to our 2018 Annual Meeting of Stockholders to be filed with the SEC within 120 days of the end of the fiscal year covered by this Annual Report on Form 10-K.</w:t>
      </w:r>
    </w:p>
    <w:p>
      <w:pPr>
        <w:spacing w:after="0" w:line="9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13.Certain Relationships and Related Transactions, and Director Independence.</w:t>
      </w:r>
    </w:p>
    <w:p>
      <w:pPr>
        <w:spacing w:after="0" w:line="121"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The information required by this item is incorporated herein by reference to our Proxy Statement with respect to our 2018 Annual Meeting of Stockholders to be filed with the SEC within 120 days of the end of the fiscal year covered by this Annual Report on Form 10-K.</w:t>
      </w:r>
    </w:p>
    <w:p>
      <w:pPr>
        <w:spacing w:after="0" w:line="9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14.Principal Accounting Fees and Services.</w:t>
      </w:r>
    </w:p>
    <w:p>
      <w:pPr>
        <w:spacing w:after="0" w:line="121"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The information required by this item is incorporated herein by reference to our Proxy Statement with respect to our 2018 Annual Meeting of Stockholders to be filed with the SEC within 120 days of the end of the fiscal year covered by this Annual Report on Form 10-K.</w:t>
      </w:r>
    </w:p>
    <w:p>
      <w:pPr>
        <w:spacing w:after="0" w:line="170"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360"/>
          </w:cols>
          <w:pgMar w:left="240" w:top="337" w:right="299" w:bottom="1440" w:gutter="0" w:footer="0" w:header="0"/>
        </w:sectPr>
      </w:pPr>
    </w:p>
    <w:bookmarkStart w:id="102" w:name="page103"/>
    <w:bookmarkEnd w:id="102"/>
    <w:p>
      <w:pPr>
        <w:ind w:left="5660"/>
        <w:spacing w:after="0"/>
        <w:rPr>
          <w:sz w:val="20"/>
          <w:szCs w:val="20"/>
          <w:color w:val="auto"/>
        </w:rPr>
      </w:pPr>
      <w:r>
        <w:rPr>
          <w:rFonts w:ascii="Arial" w:cs="Arial" w:eastAsia="Arial" w:hAnsi="Arial"/>
          <w:sz w:val="18"/>
          <w:szCs w:val="18"/>
          <w:b w:val="1"/>
          <w:bCs w:val="1"/>
          <w:color w:val="auto"/>
        </w:rPr>
        <w:t>PART IV</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15.Exhibits, Consolidated Financial Statement Schedules.</w:t>
      </w:r>
    </w:p>
    <w:p>
      <w:pPr>
        <w:spacing w:after="0" w:line="121" w:lineRule="exact"/>
        <w:rPr>
          <w:sz w:val="20"/>
          <w:szCs w:val="20"/>
          <w:color w:val="auto"/>
        </w:rPr>
      </w:pPr>
    </w:p>
    <w:p>
      <w:pPr>
        <w:ind w:right="7000" w:firstLine="8"/>
        <w:spacing w:after="0" w:line="375" w:lineRule="auto"/>
        <w:tabs>
          <w:tab w:leader="none" w:pos="245" w:val="left"/>
        </w:tabs>
        <w:numPr>
          <w:ilvl w:val="0"/>
          <w:numId w:val="55"/>
        </w:numPr>
        <w:rPr>
          <w:rFonts w:ascii="Arial" w:cs="Arial" w:eastAsia="Arial" w:hAnsi="Arial"/>
          <w:sz w:val="18"/>
          <w:szCs w:val="18"/>
          <w:color w:val="auto"/>
        </w:rPr>
      </w:pPr>
      <w:r>
        <w:rPr>
          <w:rFonts w:ascii="Arial" w:cs="Arial" w:eastAsia="Arial" w:hAnsi="Arial"/>
          <w:sz w:val="18"/>
          <w:szCs w:val="18"/>
          <w:color w:val="auto"/>
        </w:rPr>
        <w:t>The following documents are filed as part of this report: 1. Consolidated Financial Statements</w:t>
      </w:r>
    </w:p>
    <w:p>
      <w:pPr>
        <w:spacing w:after="0" w:line="1" w:lineRule="exact"/>
        <w:rPr>
          <w:rFonts w:ascii="Arial" w:cs="Arial" w:eastAsia="Arial" w:hAnsi="Arial"/>
          <w:sz w:val="18"/>
          <w:szCs w:val="18"/>
          <w:color w:val="auto"/>
        </w:rPr>
      </w:pPr>
    </w:p>
    <w:p>
      <w:pPr>
        <w:ind w:right="6600"/>
        <w:spacing w:after="0" w:line="375" w:lineRule="auto"/>
        <w:rPr>
          <w:rFonts w:ascii="Arial" w:cs="Arial" w:eastAsia="Arial" w:hAnsi="Arial"/>
          <w:sz w:val="18"/>
          <w:szCs w:val="18"/>
          <w:color w:val="auto"/>
        </w:rPr>
      </w:pPr>
      <w:r>
        <w:rPr>
          <w:rFonts w:ascii="Arial" w:cs="Arial" w:eastAsia="Arial" w:hAnsi="Arial"/>
          <w:sz w:val="18"/>
          <w:szCs w:val="18"/>
          <w:color w:val="auto"/>
        </w:rPr>
        <w:t>See Index to Consolidated Financial Statements at Item 8 herein. 2. Consolidated Financial Statement Schedules</w:t>
      </w:r>
    </w:p>
    <w:p>
      <w:pPr>
        <w:spacing w:after="0" w:line="1"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No consolidated financial statement schedules are provided because the information called for is not required or is shown either in the consolidated financial statements or notes thereto.</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color w:val="auto"/>
        </w:rPr>
        <w:t>3. Exhibits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See the Exhibit Index immediately preceding the signature page of this Annual Report on Form 10-K.</w:t>
      </w:r>
    </w:p>
    <w:p>
      <w:pPr>
        <w:spacing w:after="0" w:line="225"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102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280"/>
          </w:cols>
          <w:pgMar w:left="240" w:top="337" w:right="379" w:bottom="1440" w:gutter="0" w:footer="0" w:header="0"/>
        </w:sectPr>
      </w:pPr>
    </w:p>
    <w:bookmarkStart w:id="103" w:name="page104"/>
    <w:bookmarkEnd w:id="103"/>
    <w:tbl>
      <w:tblPr>
        <w:tblLayout w:type="fixed"/>
        <w:tblInd w:w="0" w:type="dxa"/>
        <w:tblCellMar>
          <w:top w:w="0" w:type="dxa"/>
          <w:left w:w="0" w:type="dxa"/>
          <w:bottom w:w="0" w:type="dxa"/>
          <w:right w:w="0" w:type="dxa"/>
        </w:tblCellMar>
      </w:tblPr>
      <w:tr>
        <w:trPr>
          <w:trHeight w:val="234"/>
        </w:trPr>
        <w:tc>
          <w:tcPr>
            <w:tcW w:w="10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960" w:type="dxa"/>
            <w:vAlign w:val="bottom"/>
            <w:gridSpan w:val="14"/>
          </w:tcPr>
          <w:p>
            <w:pPr>
              <w:jc w:val="center"/>
              <w:ind w:right="1200"/>
              <w:spacing w:after="0"/>
              <w:rPr>
                <w:sz w:val="20"/>
                <w:szCs w:val="20"/>
                <w:color w:val="auto"/>
              </w:rPr>
            </w:pPr>
            <w:r>
              <w:rPr>
                <w:rFonts w:ascii="Arial" w:cs="Arial" w:eastAsia="Arial" w:hAnsi="Arial"/>
                <w:sz w:val="18"/>
                <w:szCs w:val="18"/>
                <w:b w:val="1"/>
                <w:bCs w:val="1"/>
                <w:color w:val="auto"/>
              </w:rPr>
              <w:t>EXHIBIT INDEX</w:t>
            </w:r>
          </w:p>
        </w:tc>
        <w:tc>
          <w:tcPr>
            <w:tcW w:w="0" w:type="dxa"/>
            <w:vAlign w:val="bottom"/>
          </w:tcPr>
          <w:p>
            <w:pPr>
              <w:spacing w:after="0"/>
              <w:rPr>
                <w:sz w:val="1"/>
                <w:szCs w:val="1"/>
                <w:color w:val="auto"/>
              </w:rPr>
            </w:pPr>
          </w:p>
        </w:tc>
      </w:tr>
      <w:tr>
        <w:trPr>
          <w:trHeight w:val="369"/>
        </w:trPr>
        <w:tc>
          <w:tcPr>
            <w:tcW w:w="1000" w:type="dxa"/>
            <w:vAlign w:val="bottom"/>
          </w:tcPr>
          <w:p>
            <w:pPr>
              <w:spacing w:after="0"/>
              <w:rPr>
                <w:sz w:val="20"/>
                <w:szCs w:val="20"/>
                <w:color w:val="auto"/>
              </w:rPr>
            </w:pPr>
            <w:r>
              <w:rPr>
                <w:rFonts w:ascii="Arial" w:cs="Arial" w:eastAsia="Arial" w:hAnsi="Arial"/>
                <w:sz w:val="14"/>
                <w:szCs w:val="14"/>
                <w:b w:val="1"/>
                <w:bCs w:val="1"/>
                <w:color w:val="auto"/>
              </w:rPr>
              <w:t>Exhibit</w:t>
            </w:r>
          </w:p>
        </w:tc>
        <w:tc>
          <w:tcPr>
            <w:tcW w:w="1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60" w:type="dxa"/>
            <w:vAlign w:val="bottom"/>
            <w:gridSpan w:val="6"/>
            <w:vMerge w:val="restart"/>
          </w:tcPr>
          <w:p>
            <w:pPr>
              <w:ind w:left="40"/>
              <w:spacing w:after="0"/>
              <w:rPr>
                <w:sz w:val="20"/>
                <w:szCs w:val="20"/>
                <w:color w:val="auto"/>
              </w:rPr>
            </w:pPr>
            <w:r>
              <w:rPr>
                <w:rFonts w:ascii="Arial" w:cs="Arial" w:eastAsia="Arial" w:hAnsi="Arial"/>
                <w:sz w:val="14"/>
                <w:szCs w:val="14"/>
                <w:b w:val="1"/>
                <w:bCs w:val="1"/>
                <w:color w:val="auto"/>
              </w:rPr>
              <w:t>Exhibit Description</w:t>
            </w:r>
          </w:p>
        </w:tc>
        <w:tc>
          <w:tcPr>
            <w:tcW w:w="2160" w:type="dxa"/>
            <w:vAlign w:val="bottom"/>
            <w:gridSpan w:val="11"/>
            <w:vMerge w:val="restart"/>
          </w:tcPr>
          <w:p>
            <w:pPr>
              <w:spacing w:after="0"/>
              <w:rPr>
                <w:sz w:val="24"/>
                <w:szCs w:val="24"/>
                <w:color w:val="auto"/>
              </w:rPr>
            </w:pPr>
          </w:p>
        </w:tc>
        <w:tc>
          <w:tcPr>
            <w:tcW w:w="0" w:type="dxa"/>
            <w:vAlign w:val="bottom"/>
          </w:tcPr>
          <w:p>
            <w:pPr>
              <w:spacing w:after="0"/>
              <w:rPr>
                <w:sz w:val="1"/>
                <w:szCs w:val="1"/>
                <w:color w:val="auto"/>
              </w:rPr>
            </w:pPr>
          </w:p>
        </w:tc>
      </w:tr>
      <w:tr>
        <w:trPr>
          <w:trHeight w:val="171"/>
        </w:trPr>
        <w:tc>
          <w:tcPr>
            <w:tcW w:w="100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Number</w:t>
            </w:r>
          </w:p>
        </w:tc>
        <w:tc>
          <w:tcPr>
            <w:tcW w:w="1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460" w:type="dxa"/>
            <w:vAlign w:val="bottom"/>
            <w:tcBorders>
              <w:bottom w:val="single" w:sz="8" w:color="auto"/>
            </w:tcBorders>
            <w:gridSpan w:val="6"/>
            <w:vMerge w:val="continue"/>
          </w:tcPr>
          <w:p>
            <w:pPr>
              <w:spacing w:after="0"/>
              <w:rPr>
                <w:sz w:val="14"/>
                <w:szCs w:val="14"/>
                <w:color w:val="auto"/>
              </w:rPr>
            </w:pPr>
          </w:p>
        </w:tc>
        <w:tc>
          <w:tcPr>
            <w:tcW w:w="2160" w:type="dxa"/>
            <w:vAlign w:val="bottom"/>
            <w:gridSpan w:val="11"/>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304"/>
        </w:trPr>
        <w:tc>
          <w:tcPr>
            <w:tcW w:w="1000" w:type="dxa"/>
            <w:vAlign w:val="bottom"/>
          </w:tcPr>
          <w:p>
            <w:pPr>
              <w:jc w:val="right"/>
              <w:ind w:right="592"/>
              <w:spacing w:after="0"/>
              <w:rPr>
                <w:sz w:val="20"/>
                <w:szCs w:val="20"/>
                <w:color w:val="auto"/>
              </w:rPr>
            </w:pPr>
            <w:r>
              <w:rPr>
                <w:rFonts w:ascii="Arial" w:cs="Arial" w:eastAsia="Arial" w:hAnsi="Arial"/>
                <w:sz w:val="18"/>
                <w:szCs w:val="18"/>
                <w:color w:val="auto"/>
              </w:rPr>
              <w:t>3.1</w:t>
            </w:r>
          </w:p>
        </w:tc>
        <w:tc>
          <w:tcPr>
            <w:tcW w:w="100" w:type="dxa"/>
            <w:vAlign w:val="bottom"/>
          </w:tcPr>
          <w:p>
            <w:pPr>
              <w:spacing w:after="0"/>
              <w:rPr>
                <w:sz w:val="24"/>
                <w:szCs w:val="24"/>
                <w:color w:val="auto"/>
              </w:rPr>
            </w:pPr>
          </w:p>
        </w:tc>
        <w:tc>
          <w:tcPr>
            <w:tcW w:w="6700" w:type="dxa"/>
            <w:vAlign w:val="bottom"/>
            <w:gridSpan w:val="26"/>
          </w:tcPr>
          <w:p>
            <w:pPr>
              <w:ind w:left="20"/>
              <w:spacing w:after="0"/>
              <w:rPr>
                <w:rFonts w:ascii="Arial" w:cs="Arial" w:eastAsia="Arial" w:hAnsi="Arial"/>
                <w:sz w:val="18"/>
                <w:szCs w:val="18"/>
                <w:color w:val="0000EE"/>
              </w:rPr>
            </w:pPr>
            <w:hyperlink r:id="rId135">
              <w:r>
                <w:rPr>
                  <w:rFonts w:ascii="Arial" w:cs="Arial" w:eastAsia="Arial" w:hAnsi="Arial"/>
                  <w:sz w:val="18"/>
                  <w:szCs w:val="18"/>
                  <w:color w:val="0000EE"/>
                </w:rPr>
                <w:t>Amended and Restated Certificate of Incorporation of Restoration Robotics, Inc.</w:t>
              </w:r>
            </w:hyperlink>
          </w:p>
        </w:tc>
        <w:tc>
          <w:tcPr>
            <w:tcW w:w="0" w:type="dxa"/>
            <w:vAlign w:val="bottom"/>
          </w:tcPr>
          <w:p>
            <w:pPr>
              <w:spacing w:after="0"/>
              <w:rPr>
                <w:sz w:val="1"/>
                <w:szCs w:val="1"/>
                <w:color w:val="auto"/>
              </w:rPr>
            </w:pPr>
          </w:p>
        </w:tc>
      </w:tr>
      <w:tr>
        <w:trPr>
          <w:trHeight w:val="345"/>
        </w:trPr>
        <w:tc>
          <w:tcPr>
            <w:tcW w:w="1000" w:type="dxa"/>
            <w:vAlign w:val="bottom"/>
          </w:tcPr>
          <w:p>
            <w:pPr>
              <w:jc w:val="right"/>
              <w:ind w:right="592"/>
              <w:spacing w:after="0"/>
              <w:rPr>
                <w:sz w:val="20"/>
                <w:szCs w:val="20"/>
                <w:color w:val="auto"/>
              </w:rPr>
            </w:pPr>
            <w:r>
              <w:rPr>
                <w:rFonts w:ascii="Arial" w:cs="Arial" w:eastAsia="Arial" w:hAnsi="Arial"/>
                <w:sz w:val="18"/>
                <w:szCs w:val="18"/>
                <w:color w:val="auto"/>
              </w:rPr>
              <w:t>3.4</w:t>
            </w:r>
          </w:p>
        </w:tc>
        <w:tc>
          <w:tcPr>
            <w:tcW w:w="100" w:type="dxa"/>
            <w:vAlign w:val="bottom"/>
          </w:tcPr>
          <w:p>
            <w:pPr>
              <w:spacing w:after="0"/>
              <w:rPr>
                <w:sz w:val="24"/>
                <w:szCs w:val="24"/>
                <w:color w:val="auto"/>
              </w:rPr>
            </w:pPr>
          </w:p>
        </w:tc>
        <w:tc>
          <w:tcPr>
            <w:tcW w:w="5820" w:type="dxa"/>
            <w:vAlign w:val="bottom"/>
            <w:tcBorders>
              <w:top w:val="single" w:sz="8" w:color="0000EE"/>
            </w:tcBorders>
            <w:gridSpan w:val="18"/>
          </w:tcPr>
          <w:p>
            <w:pPr>
              <w:ind w:left="20"/>
              <w:spacing w:after="0"/>
              <w:rPr>
                <w:rFonts w:ascii="Arial" w:cs="Arial" w:eastAsia="Arial" w:hAnsi="Arial"/>
                <w:sz w:val="18"/>
                <w:szCs w:val="18"/>
                <w:color w:val="0000EE"/>
              </w:rPr>
            </w:pPr>
            <w:hyperlink r:id="rId136">
              <w:r>
                <w:rPr>
                  <w:rFonts w:ascii="Arial" w:cs="Arial" w:eastAsia="Arial" w:hAnsi="Arial"/>
                  <w:sz w:val="18"/>
                  <w:szCs w:val="18"/>
                  <w:color w:val="0000EE"/>
                </w:rPr>
                <w:t>Amended and Restated Bylaws of Restoration Robotics, Inc.</w:t>
              </w:r>
            </w:hyperlink>
          </w:p>
        </w:tc>
        <w:tc>
          <w:tcPr>
            <w:tcW w:w="880" w:type="dxa"/>
            <w:vAlign w:val="bottom"/>
            <w:gridSpan w:val="8"/>
          </w:tcPr>
          <w:p>
            <w:pPr>
              <w:spacing w:after="0"/>
              <w:rPr>
                <w:sz w:val="24"/>
                <w:szCs w:val="24"/>
                <w:color w:val="auto"/>
              </w:rPr>
            </w:pPr>
          </w:p>
        </w:tc>
        <w:tc>
          <w:tcPr>
            <w:tcW w:w="0" w:type="dxa"/>
            <w:vAlign w:val="bottom"/>
          </w:tcPr>
          <w:p>
            <w:pPr>
              <w:spacing w:after="0"/>
              <w:rPr>
                <w:sz w:val="1"/>
                <w:szCs w:val="1"/>
                <w:color w:val="auto"/>
              </w:rPr>
            </w:pPr>
          </w:p>
        </w:tc>
      </w:tr>
      <w:tr>
        <w:trPr>
          <w:trHeight w:val="331"/>
        </w:trPr>
        <w:tc>
          <w:tcPr>
            <w:tcW w:w="1000" w:type="dxa"/>
            <w:vAlign w:val="bottom"/>
          </w:tcPr>
          <w:p>
            <w:pPr>
              <w:jc w:val="right"/>
              <w:ind w:right="592"/>
              <w:spacing w:after="0"/>
              <w:rPr>
                <w:sz w:val="20"/>
                <w:szCs w:val="20"/>
                <w:color w:val="auto"/>
              </w:rPr>
            </w:pPr>
            <w:r>
              <w:rPr>
                <w:rFonts w:ascii="Arial" w:cs="Arial" w:eastAsia="Arial" w:hAnsi="Arial"/>
                <w:sz w:val="18"/>
                <w:szCs w:val="18"/>
                <w:color w:val="auto"/>
              </w:rPr>
              <w:t>4.1</w:t>
            </w:r>
          </w:p>
        </w:tc>
        <w:tc>
          <w:tcPr>
            <w:tcW w:w="100" w:type="dxa"/>
            <w:vAlign w:val="bottom"/>
          </w:tcPr>
          <w:p>
            <w:pPr>
              <w:spacing w:after="0"/>
              <w:rPr>
                <w:sz w:val="24"/>
                <w:szCs w:val="24"/>
                <w:color w:val="auto"/>
              </w:rPr>
            </w:pPr>
          </w:p>
        </w:tc>
        <w:tc>
          <w:tcPr>
            <w:tcW w:w="4380" w:type="dxa"/>
            <w:vAlign w:val="bottom"/>
            <w:tcBorders>
              <w:top w:val="single" w:sz="8" w:color="0000EE"/>
            </w:tcBorders>
            <w:gridSpan w:val="14"/>
          </w:tcPr>
          <w:p>
            <w:pPr>
              <w:ind w:left="20"/>
              <w:spacing w:after="0"/>
              <w:rPr>
                <w:rFonts w:ascii="Arial" w:cs="Arial" w:eastAsia="Arial" w:hAnsi="Arial"/>
                <w:sz w:val="18"/>
                <w:szCs w:val="18"/>
                <w:color w:val="auto"/>
              </w:rPr>
            </w:pPr>
            <w:r>
              <w:rPr>
                <w:rFonts w:ascii="Arial" w:cs="Arial" w:eastAsia="Arial" w:hAnsi="Arial"/>
                <w:sz w:val="18"/>
                <w:szCs w:val="18"/>
                <w:color w:val="auto"/>
              </w:rPr>
              <w:t xml:space="preserve">Reference is made to Exhibits </w:t>
            </w:r>
            <w:hyperlink r:id="rId135">
              <w:r>
                <w:rPr>
                  <w:rFonts w:ascii="Arial" w:cs="Arial" w:eastAsia="Arial" w:hAnsi="Arial"/>
                  <w:sz w:val="18"/>
                  <w:szCs w:val="18"/>
                  <w:color w:val="0000EE"/>
                </w:rPr>
                <w:t>3.1</w:t>
              </w:r>
              <w:r>
                <w:rPr>
                  <w:rFonts w:ascii="Arial" w:cs="Arial" w:eastAsia="Arial" w:hAnsi="Arial"/>
                  <w:sz w:val="18"/>
                  <w:szCs w:val="18"/>
                  <w:color w:val="auto"/>
                </w:rPr>
                <w:t xml:space="preserve"> </w:t>
              </w:r>
            </w:hyperlink>
            <w:r>
              <w:rPr>
                <w:rFonts w:ascii="Arial" w:cs="Arial" w:eastAsia="Arial" w:hAnsi="Arial"/>
                <w:sz w:val="18"/>
                <w:szCs w:val="18"/>
                <w:color w:val="auto"/>
              </w:rPr>
              <w:t xml:space="preserve">through </w:t>
            </w:r>
            <w:hyperlink r:id="rId136">
              <w:r>
                <w:rPr>
                  <w:rFonts w:ascii="Arial" w:cs="Arial" w:eastAsia="Arial" w:hAnsi="Arial"/>
                  <w:sz w:val="18"/>
                  <w:szCs w:val="18"/>
                  <w:color w:val="0000EE"/>
                </w:rPr>
                <w:t>3.2</w:t>
              </w:r>
            </w:hyperlink>
            <w:r>
              <w:rPr>
                <w:rFonts w:ascii="Arial" w:cs="Arial" w:eastAsia="Arial" w:hAnsi="Arial"/>
                <w:sz w:val="18"/>
                <w:szCs w:val="18"/>
                <w:color w:val="auto"/>
              </w:rPr>
              <w:t>.</w:t>
            </w:r>
          </w:p>
        </w:tc>
        <w:tc>
          <w:tcPr>
            <w:tcW w:w="2320" w:type="dxa"/>
            <w:vAlign w:val="bottom"/>
            <w:gridSpan w:val="12"/>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10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440" w:type="dxa"/>
            <w:vAlign w:val="bottom"/>
            <w:gridSpan w:val="3"/>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2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31"/>
        </w:trPr>
        <w:tc>
          <w:tcPr>
            <w:tcW w:w="1000" w:type="dxa"/>
            <w:vAlign w:val="bottom"/>
          </w:tcPr>
          <w:p>
            <w:pPr>
              <w:jc w:val="right"/>
              <w:ind w:right="592"/>
              <w:spacing w:after="0"/>
              <w:rPr>
                <w:sz w:val="20"/>
                <w:szCs w:val="20"/>
                <w:color w:val="auto"/>
              </w:rPr>
            </w:pPr>
            <w:r>
              <w:rPr>
                <w:rFonts w:ascii="Arial" w:cs="Arial" w:eastAsia="Arial" w:hAnsi="Arial"/>
                <w:sz w:val="18"/>
                <w:szCs w:val="18"/>
                <w:color w:val="auto"/>
              </w:rPr>
              <w:t>4.2</w:t>
            </w:r>
          </w:p>
        </w:tc>
        <w:tc>
          <w:tcPr>
            <w:tcW w:w="100" w:type="dxa"/>
            <w:vAlign w:val="bottom"/>
          </w:tcPr>
          <w:p>
            <w:pPr>
              <w:spacing w:after="0"/>
              <w:rPr>
                <w:sz w:val="24"/>
                <w:szCs w:val="24"/>
                <w:color w:val="auto"/>
              </w:rPr>
            </w:pPr>
          </w:p>
        </w:tc>
        <w:tc>
          <w:tcPr>
            <w:tcW w:w="2620" w:type="dxa"/>
            <w:vAlign w:val="bottom"/>
            <w:tcBorders>
              <w:bottom w:val="single" w:sz="8" w:color="0000EE"/>
            </w:tcBorders>
            <w:gridSpan w:val="6"/>
          </w:tcPr>
          <w:p>
            <w:pPr>
              <w:ind w:left="20"/>
              <w:spacing w:after="0"/>
              <w:rPr>
                <w:rFonts w:ascii="Arial" w:cs="Arial" w:eastAsia="Arial" w:hAnsi="Arial"/>
                <w:sz w:val="18"/>
                <w:szCs w:val="18"/>
                <w:color w:val="0000EE"/>
                <w:w w:val="91"/>
              </w:rPr>
            </w:pPr>
            <w:hyperlink r:id="rId137">
              <w:r>
                <w:rPr>
                  <w:rFonts w:ascii="Arial" w:cs="Arial" w:eastAsia="Arial" w:hAnsi="Arial"/>
                  <w:sz w:val="18"/>
                  <w:szCs w:val="18"/>
                  <w:color w:val="0000EE"/>
                  <w:w w:val="91"/>
                </w:rPr>
                <w:t>Form of Common Stock Certificate.</w:t>
              </w:r>
            </w:hyperlink>
          </w:p>
        </w:tc>
        <w:tc>
          <w:tcPr>
            <w:tcW w:w="4080" w:type="dxa"/>
            <w:vAlign w:val="bottom"/>
            <w:gridSpan w:val="20"/>
          </w:tcPr>
          <w:p>
            <w:pPr>
              <w:spacing w:after="0"/>
              <w:rPr>
                <w:sz w:val="24"/>
                <w:szCs w:val="24"/>
                <w:color w:val="auto"/>
              </w:rPr>
            </w:pPr>
          </w:p>
        </w:tc>
        <w:tc>
          <w:tcPr>
            <w:tcW w:w="0" w:type="dxa"/>
            <w:vAlign w:val="bottom"/>
          </w:tcPr>
          <w:p>
            <w:pPr>
              <w:spacing w:after="0"/>
              <w:rPr>
                <w:sz w:val="1"/>
                <w:szCs w:val="1"/>
                <w:color w:val="auto"/>
              </w:rPr>
            </w:pPr>
          </w:p>
        </w:tc>
      </w:tr>
      <w:tr>
        <w:trPr>
          <w:trHeight w:val="345"/>
        </w:trPr>
        <w:tc>
          <w:tcPr>
            <w:tcW w:w="1000" w:type="dxa"/>
            <w:vAlign w:val="bottom"/>
          </w:tcPr>
          <w:p>
            <w:pPr>
              <w:jc w:val="right"/>
              <w:ind w:right="592"/>
              <w:spacing w:after="0"/>
              <w:rPr>
                <w:sz w:val="20"/>
                <w:szCs w:val="20"/>
                <w:color w:val="auto"/>
              </w:rPr>
            </w:pPr>
            <w:r>
              <w:rPr>
                <w:rFonts w:ascii="Arial" w:cs="Arial" w:eastAsia="Arial" w:hAnsi="Arial"/>
                <w:sz w:val="18"/>
                <w:szCs w:val="18"/>
                <w:color w:val="auto"/>
              </w:rPr>
              <w:t>4.3</w:t>
            </w:r>
          </w:p>
        </w:tc>
        <w:tc>
          <w:tcPr>
            <w:tcW w:w="100" w:type="dxa"/>
            <w:vAlign w:val="bottom"/>
          </w:tcPr>
          <w:p>
            <w:pPr>
              <w:spacing w:after="0"/>
              <w:rPr>
                <w:sz w:val="24"/>
                <w:szCs w:val="24"/>
                <w:color w:val="auto"/>
              </w:rPr>
            </w:pPr>
          </w:p>
        </w:tc>
        <w:tc>
          <w:tcPr>
            <w:tcW w:w="6700" w:type="dxa"/>
            <w:vAlign w:val="bottom"/>
            <w:gridSpan w:val="26"/>
          </w:tcPr>
          <w:p>
            <w:pPr>
              <w:ind w:left="20"/>
              <w:spacing w:after="0"/>
              <w:rPr>
                <w:rFonts w:ascii="Arial" w:cs="Arial" w:eastAsia="Arial" w:hAnsi="Arial"/>
                <w:sz w:val="18"/>
                <w:szCs w:val="18"/>
                <w:color w:val="0000EE"/>
                <w:w w:val="97"/>
              </w:rPr>
            </w:pPr>
            <w:hyperlink r:id="rId138">
              <w:r>
                <w:rPr>
                  <w:rFonts w:ascii="Arial" w:cs="Arial" w:eastAsia="Arial" w:hAnsi="Arial"/>
                  <w:sz w:val="18"/>
                  <w:szCs w:val="18"/>
                  <w:color w:val="0000EE"/>
                  <w:w w:val="97"/>
                </w:rPr>
                <w:t>Amended and Restated Investors’ Rights Agreement, dated February 7, 2013, by and</w:t>
              </w:r>
            </w:hyperlink>
          </w:p>
        </w:tc>
        <w:tc>
          <w:tcPr>
            <w:tcW w:w="0" w:type="dxa"/>
            <w:vAlign w:val="bottom"/>
          </w:tcPr>
          <w:p>
            <w:pPr>
              <w:spacing w:after="0"/>
              <w:rPr>
                <w:sz w:val="1"/>
                <w:szCs w:val="1"/>
                <w:color w:val="auto"/>
              </w:rPr>
            </w:pPr>
          </w:p>
        </w:tc>
      </w:tr>
      <w:tr>
        <w:trPr>
          <w:trHeight w:val="196"/>
        </w:trPr>
        <w:tc>
          <w:tcPr>
            <w:tcW w:w="10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740" w:type="dxa"/>
            <w:vAlign w:val="bottom"/>
            <w:tcBorders>
              <w:top w:val="single" w:sz="8" w:color="0000EE"/>
              <w:bottom w:val="single" w:sz="8" w:color="0000EE"/>
            </w:tcBorders>
            <w:gridSpan w:val="16"/>
          </w:tcPr>
          <w:p>
            <w:pPr>
              <w:ind w:left="20"/>
              <w:spacing w:after="0" w:line="196" w:lineRule="exact"/>
              <w:rPr>
                <w:rFonts w:ascii="Arial" w:cs="Arial" w:eastAsia="Arial" w:hAnsi="Arial"/>
                <w:sz w:val="18"/>
                <w:szCs w:val="18"/>
                <w:color w:val="0000EE"/>
                <w:w w:val="88"/>
              </w:rPr>
            </w:pPr>
            <w:hyperlink r:id="rId138">
              <w:r>
                <w:rPr>
                  <w:rFonts w:ascii="Arial" w:cs="Arial" w:eastAsia="Arial" w:hAnsi="Arial"/>
                  <w:sz w:val="18"/>
                  <w:szCs w:val="18"/>
                  <w:color w:val="0000EE"/>
                  <w:w w:val="88"/>
                </w:rPr>
                <w:t>among the Company and the investors listed therein, as amended.</w:t>
              </w:r>
            </w:hyperlink>
          </w:p>
        </w:tc>
        <w:tc>
          <w:tcPr>
            <w:tcW w:w="1440" w:type="dxa"/>
            <w:vAlign w:val="bottom"/>
            <w:tcBorders>
              <w:top w:val="single" w:sz="8" w:color="0000EE"/>
            </w:tcBorders>
            <w:gridSpan w:val="4"/>
          </w:tcPr>
          <w:p>
            <w:pPr>
              <w:spacing w:after="0"/>
              <w:rPr>
                <w:sz w:val="17"/>
                <w:szCs w:val="17"/>
                <w:color w:val="auto"/>
              </w:rPr>
            </w:pPr>
          </w:p>
        </w:tc>
        <w:tc>
          <w:tcPr>
            <w:tcW w:w="520" w:type="dxa"/>
            <w:vAlign w:val="bottom"/>
            <w:gridSpan w:val="6"/>
          </w:tcPr>
          <w:p>
            <w:pPr>
              <w:spacing w:after="0"/>
              <w:rPr>
                <w:sz w:val="17"/>
                <w:szCs w:val="17"/>
                <w:color w:val="auto"/>
              </w:rPr>
            </w:pPr>
          </w:p>
        </w:tc>
        <w:tc>
          <w:tcPr>
            <w:tcW w:w="0" w:type="dxa"/>
            <w:vAlign w:val="bottom"/>
          </w:tcPr>
          <w:p>
            <w:pPr>
              <w:spacing w:after="0"/>
              <w:rPr>
                <w:sz w:val="1"/>
                <w:szCs w:val="1"/>
                <w:color w:val="auto"/>
              </w:rPr>
            </w:pPr>
          </w:p>
        </w:tc>
      </w:tr>
      <w:tr>
        <w:trPr>
          <w:trHeight w:val="331"/>
        </w:trPr>
        <w:tc>
          <w:tcPr>
            <w:tcW w:w="1000" w:type="dxa"/>
            <w:vAlign w:val="bottom"/>
          </w:tcPr>
          <w:p>
            <w:pPr>
              <w:jc w:val="right"/>
              <w:ind w:right="592"/>
              <w:spacing w:after="0"/>
              <w:rPr>
                <w:sz w:val="20"/>
                <w:szCs w:val="20"/>
                <w:color w:val="auto"/>
              </w:rPr>
            </w:pPr>
            <w:r>
              <w:rPr>
                <w:rFonts w:ascii="Arial" w:cs="Arial" w:eastAsia="Arial" w:hAnsi="Arial"/>
                <w:sz w:val="18"/>
                <w:szCs w:val="18"/>
                <w:color w:val="auto"/>
              </w:rPr>
              <w:t>4.4</w:t>
            </w:r>
          </w:p>
        </w:tc>
        <w:tc>
          <w:tcPr>
            <w:tcW w:w="100" w:type="dxa"/>
            <w:vAlign w:val="bottom"/>
          </w:tcPr>
          <w:p>
            <w:pPr>
              <w:spacing w:after="0"/>
              <w:rPr>
                <w:sz w:val="24"/>
                <w:szCs w:val="24"/>
                <w:color w:val="auto"/>
              </w:rPr>
            </w:pPr>
          </w:p>
        </w:tc>
        <w:tc>
          <w:tcPr>
            <w:tcW w:w="6700" w:type="dxa"/>
            <w:vAlign w:val="bottom"/>
            <w:gridSpan w:val="26"/>
          </w:tcPr>
          <w:p>
            <w:pPr>
              <w:ind w:left="20"/>
              <w:spacing w:after="0"/>
              <w:rPr>
                <w:rFonts w:ascii="Arial" w:cs="Arial" w:eastAsia="Arial" w:hAnsi="Arial"/>
                <w:sz w:val="18"/>
                <w:szCs w:val="18"/>
                <w:color w:val="0000EE"/>
                <w:w w:val="94"/>
              </w:rPr>
            </w:pPr>
            <w:hyperlink r:id="rId139">
              <w:r>
                <w:rPr>
                  <w:rFonts w:ascii="Arial" w:cs="Arial" w:eastAsia="Arial" w:hAnsi="Arial"/>
                  <w:sz w:val="18"/>
                  <w:szCs w:val="18"/>
                  <w:color w:val="0000EE"/>
                  <w:w w:val="94"/>
                </w:rPr>
                <w:t>Form of Warrant to Purchase Stock dated August 27, 2014, issued to National Securities</w:t>
              </w:r>
            </w:hyperlink>
          </w:p>
        </w:tc>
        <w:tc>
          <w:tcPr>
            <w:tcW w:w="0" w:type="dxa"/>
            <w:vAlign w:val="bottom"/>
          </w:tcPr>
          <w:p>
            <w:pPr>
              <w:spacing w:after="0"/>
              <w:rPr>
                <w:sz w:val="1"/>
                <w:szCs w:val="1"/>
                <w:color w:val="auto"/>
              </w:rPr>
            </w:pPr>
          </w:p>
        </w:tc>
      </w:tr>
      <w:tr>
        <w:trPr>
          <w:trHeight w:val="196"/>
        </w:trPr>
        <w:tc>
          <w:tcPr>
            <w:tcW w:w="10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360" w:type="dxa"/>
            <w:vAlign w:val="bottom"/>
            <w:tcBorders>
              <w:top w:val="single" w:sz="8" w:color="0000EE"/>
            </w:tcBorders>
            <w:gridSpan w:val="22"/>
          </w:tcPr>
          <w:p>
            <w:pPr>
              <w:ind w:left="20"/>
              <w:spacing w:after="0" w:line="196" w:lineRule="exact"/>
              <w:rPr>
                <w:rFonts w:ascii="Arial" w:cs="Arial" w:eastAsia="Arial" w:hAnsi="Arial"/>
                <w:sz w:val="18"/>
                <w:szCs w:val="18"/>
                <w:color w:val="0000EE"/>
              </w:rPr>
            </w:pPr>
            <w:hyperlink r:id="rId139">
              <w:r>
                <w:rPr>
                  <w:rFonts w:ascii="Arial" w:cs="Arial" w:eastAsia="Arial" w:hAnsi="Arial"/>
                  <w:sz w:val="18"/>
                  <w:szCs w:val="18"/>
                  <w:color w:val="0000EE"/>
                </w:rPr>
                <w:t>Corporation.</w:t>
              </w:r>
            </w:hyperlink>
          </w:p>
        </w:tc>
        <w:tc>
          <w:tcPr>
            <w:tcW w:w="340" w:type="dxa"/>
            <w:vAlign w:val="bottom"/>
            <w:gridSpan w:val="4"/>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0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20" w:type="dxa"/>
            <w:vAlign w:val="bottom"/>
            <w:shd w:val="clear" w:color="auto" w:fill="0000EE"/>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00" w:type="dxa"/>
            <w:vAlign w:val="bottom"/>
            <w:gridSpan w:val="3"/>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840" w:type="dxa"/>
            <w:vAlign w:val="bottom"/>
            <w:gridSpan w:val="4"/>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720" w:type="dxa"/>
            <w:vAlign w:val="bottom"/>
            <w:gridSpan w:val="4"/>
          </w:tcPr>
          <w:p>
            <w:pPr>
              <w:spacing w:after="0" w:line="20" w:lineRule="exact"/>
              <w:rPr>
                <w:sz w:val="1"/>
                <w:szCs w:val="1"/>
                <w:color w:val="auto"/>
              </w:rPr>
            </w:pPr>
          </w:p>
        </w:tc>
        <w:tc>
          <w:tcPr>
            <w:tcW w:w="1020" w:type="dxa"/>
            <w:vAlign w:val="bottom"/>
            <w:gridSpan w:val="2"/>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31"/>
        </w:trPr>
        <w:tc>
          <w:tcPr>
            <w:tcW w:w="1000" w:type="dxa"/>
            <w:vAlign w:val="bottom"/>
          </w:tcPr>
          <w:p>
            <w:pPr>
              <w:jc w:val="right"/>
              <w:ind w:right="592"/>
              <w:spacing w:after="0"/>
              <w:rPr>
                <w:sz w:val="20"/>
                <w:szCs w:val="20"/>
                <w:color w:val="auto"/>
              </w:rPr>
            </w:pPr>
            <w:r>
              <w:rPr>
                <w:rFonts w:ascii="Arial" w:cs="Arial" w:eastAsia="Arial" w:hAnsi="Arial"/>
                <w:sz w:val="18"/>
                <w:szCs w:val="18"/>
                <w:color w:val="auto"/>
              </w:rPr>
              <w:t>4.5</w:t>
            </w:r>
          </w:p>
        </w:tc>
        <w:tc>
          <w:tcPr>
            <w:tcW w:w="100" w:type="dxa"/>
            <w:vAlign w:val="bottom"/>
          </w:tcPr>
          <w:p>
            <w:pPr>
              <w:spacing w:after="0"/>
              <w:rPr>
                <w:sz w:val="24"/>
                <w:szCs w:val="24"/>
                <w:color w:val="auto"/>
              </w:rPr>
            </w:pPr>
          </w:p>
        </w:tc>
        <w:tc>
          <w:tcPr>
            <w:tcW w:w="6240" w:type="dxa"/>
            <w:vAlign w:val="bottom"/>
            <w:tcBorders>
              <w:bottom w:val="single" w:sz="8" w:color="0000EE"/>
            </w:tcBorders>
            <w:gridSpan w:val="21"/>
          </w:tcPr>
          <w:p>
            <w:pPr>
              <w:ind w:left="20"/>
              <w:spacing w:after="0"/>
              <w:rPr>
                <w:rFonts w:ascii="Arial" w:cs="Arial" w:eastAsia="Arial" w:hAnsi="Arial"/>
                <w:sz w:val="18"/>
                <w:szCs w:val="18"/>
                <w:color w:val="0000EE"/>
                <w:w w:val="89"/>
              </w:rPr>
            </w:pPr>
            <w:hyperlink r:id="rId140">
              <w:r>
                <w:rPr>
                  <w:rFonts w:ascii="Arial" w:cs="Arial" w:eastAsia="Arial" w:hAnsi="Arial"/>
                  <w:sz w:val="18"/>
                  <w:szCs w:val="18"/>
                  <w:color w:val="0000EE"/>
                  <w:w w:val="89"/>
                </w:rPr>
                <w:t>Loan and Security Agreement, dated May 19, 2015, by and between the Company and</w:t>
              </w:r>
            </w:hyperlink>
          </w:p>
        </w:tc>
        <w:tc>
          <w:tcPr>
            <w:tcW w:w="460" w:type="dxa"/>
            <w:vAlign w:val="bottom"/>
            <w:gridSpan w:val="5"/>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10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580" w:type="dxa"/>
            <w:vAlign w:val="bottom"/>
            <w:tcBorders>
              <w:bottom w:val="single" w:sz="8" w:color="0000EE"/>
            </w:tcBorders>
            <w:gridSpan w:val="2"/>
          </w:tcPr>
          <w:p>
            <w:pPr>
              <w:ind w:left="20"/>
              <w:spacing w:after="0" w:line="196" w:lineRule="exact"/>
              <w:rPr>
                <w:rFonts w:ascii="Arial" w:cs="Arial" w:eastAsia="Arial" w:hAnsi="Arial"/>
                <w:sz w:val="18"/>
                <w:szCs w:val="18"/>
                <w:color w:val="0000EE"/>
                <w:w w:val="92"/>
              </w:rPr>
            </w:pPr>
            <w:hyperlink r:id="rId140">
              <w:r>
                <w:rPr>
                  <w:rFonts w:ascii="Arial" w:cs="Arial" w:eastAsia="Arial" w:hAnsi="Arial"/>
                  <w:sz w:val="18"/>
                  <w:szCs w:val="18"/>
                  <w:color w:val="0000EE"/>
                  <w:w w:val="92"/>
                </w:rPr>
                <w:t>Oxford Finance LLC.</w:t>
              </w:r>
            </w:hyperlink>
          </w:p>
        </w:tc>
        <w:tc>
          <w:tcPr>
            <w:tcW w:w="5120" w:type="dxa"/>
            <w:vAlign w:val="bottom"/>
            <w:gridSpan w:val="24"/>
          </w:tcPr>
          <w:p>
            <w:pPr>
              <w:spacing w:after="0"/>
              <w:rPr>
                <w:sz w:val="17"/>
                <w:szCs w:val="17"/>
                <w:color w:val="auto"/>
              </w:rPr>
            </w:pPr>
          </w:p>
        </w:tc>
        <w:tc>
          <w:tcPr>
            <w:tcW w:w="0" w:type="dxa"/>
            <w:vAlign w:val="bottom"/>
          </w:tcPr>
          <w:p>
            <w:pPr>
              <w:spacing w:after="0"/>
              <w:rPr>
                <w:sz w:val="1"/>
                <w:szCs w:val="1"/>
                <w:color w:val="auto"/>
              </w:rPr>
            </w:pPr>
          </w:p>
        </w:tc>
      </w:tr>
      <w:tr>
        <w:trPr>
          <w:trHeight w:val="331"/>
        </w:trPr>
        <w:tc>
          <w:tcPr>
            <w:tcW w:w="1000" w:type="dxa"/>
            <w:vAlign w:val="bottom"/>
          </w:tcPr>
          <w:p>
            <w:pPr>
              <w:jc w:val="right"/>
              <w:ind w:right="592"/>
              <w:spacing w:after="0"/>
              <w:rPr>
                <w:sz w:val="20"/>
                <w:szCs w:val="20"/>
                <w:color w:val="auto"/>
              </w:rPr>
            </w:pPr>
            <w:r>
              <w:rPr>
                <w:rFonts w:ascii="Arial" w:cs="Arial" w:eastAsia="Arial" w:hAnsi="Arial"/>
                <w:sz w:val="18"/>
                <w:szCs w:val="18"/>
                <w:color w:val="auto"/>
              </w:rPr>
              <w:t>4.6</w:t>
            </w:r>
          </w:p>
        </w:tc>
        <w:tc>
          <w:tcPr>
            <w:tcW w:w="100" w:type="dxa"/>
            <w:vAlign w:val="bottom"/>
          </w:tcPr>
          <w:p>
            <w:pPr>
              <w:spacing w:after="0"/>
              <w:rPr>
                <w:sz w:val="24"/>
                <w:szCs w:val="24"/>
                <w:color w:val="auto"/>
              </w:rPr>
            </w:pPr>
          </w:p>
        </w:tc>
        <w:tc>
          <w:tcPr>
            <w:tcW w:w="6700" w:type="dxa"/>
            <w:vAlign w:val="bottom"/>
            <w:tcBorders>
              <w:bottom w:val="single" w:sz="8" w:color="0000EE"/>
            </w:tcBorders>
            <w:gridSpan w:val="26"/>
          </w:tcPr>
          <w:p>
            <w:pPr>
              <w:ind w:left="20"/>
              <w:spacing w:after="0"/>
              <w:rPr>
                <w:rFonts w:ascii="Arial" w:cs="Arial" w:eastAsia="Arial" w:hAnsi="Arial"/>
                <w:sz w:val="18"/>
                <w:szCs w:val="18"/>
                <w:color w:val="0000EE"/>
                <w:w w:val="87"/>
              </w:rPr>
            </w:pPr>
            <w:hyperlink r:id="rId141">
              <w:r>
                <w:rPr>
                  <w:rFonts w:ascii="Arial" w:cs="Arial" w:eastAsia="Arial" w:hAnsi="Arial"/>
                  <w:sz w:val="18"/>
                  <w:szCs w:val="18"/>
                  <w:color w:val="0000EE"/>
                  <w:w w:val="87"/>
                </w:rPr>
                <w:t>First Amendment to Loan and Security Agreement, dated September 15, 2015, by and between</w:t>
              </w:r>
            </w:hyperlink>
          </w:p>
        </w:tc>
        <w:tc>
          <w:tcPr>
            <w:tcW w:w="0" w:type="dxa"/>
            <w:vAlign w:val="bottom"/>
          </w:tcPr>
          <w:p>
            <w:pPr>
              <w:spacing w:after="0"/>
              <w:rPr>
                <w:sz w:val="1"/>
                <w:szCs w:val="1"/>
                <w:color w:val="auto"/>
              </w:rPr>
            </w:pPr>
          </w:p>
        </w:tc>
      </w:tr>
      <w:tr>
        <w:trPr>
          <w:trHeight w:val="196"/>
        </w:trPr>
        <w:tc>
          <w:tcPr>
            <w:tcW w:w="10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820" w:type="dxa"/>
            <w:vAlign w:val="bottom"/>
            <w:tcBorders>
              <w:bottom w:val="single" w:sz="8" w:color="0000EE"/>
            </w:tcBorders>
            <w:gridSpan w:val="7"/>
          </w:tcPr>
          <w:p>
            <w:pPr>
              <w:ind w:left="20"/>
              <w:spacing w:after="0" w:line="196" w:lineRule="exact"/>
              <w:rPr>
                <w:rFonts w:ascii="Arial" w:cs="Arial" w:eastAsia="Arial" w:hAnsi="Arial"/>
                <w:sz w:val="18"/>
                <w:szCs w:val="18"/>
                <w:color w:val="0000EE"/>
                <w:w w:val="88"/>
              </w:rPr>
            </w:pPr>
            <w:hyperlink r:id="rId141">
              <w:r>
                <w:rPr>
                  <w:rFonts w:ascii="Arial" w:cs="Arial" w:eastAsia="Arial" w:hAnsi="Arial"/>
                  <w:sz w:val="18"/>
                  <w:szCs w:val="18"/>
                  <w:color w:val="0000EE"/>
                  <w:w w:val="88"/>
                </w:rPr>
                <w:t>Oxford Finance LLC and the Company.</w:t>
              </w:r>
            </w:hyperlink>
          </w:p>
        </w:tc>
        <w:tc>
          <w:tcPr>
            <w:tcW w:w="3880" w:type="dxa"/>
            <w:vAlign w:val="bottom"/>
            <w:gridSpan w:val="19"/>
          </w:tcPr>
          <w:p>
            <w:pPr>
              <w:spacing w:after="0"/>
              <w:rPr>
                <w:sz w:val="17"/>
                <w:szCs w:val="17"/>
                <w:color w:val="auto"/>
              </w:rPr>
            </w:pPr>
          </w:p>
        </w:tc>
        <w:tc>
          <w:tcPr>
            <w:tcW w:w="0" w:type="dxa"/>
            <w:vAlign w:val="bottom"/>
          </w:tcPr>
          <w:p>
            <w:pPr>
              <w:spacing w:after="0"/>
              <w:rPr>
                <w:sz w:val="1"/>
                <w:szCs w:val="1"/>
                <w:color w:val="auto"/>
              </w:rPr>
            </w:pPr>
          </w:p>
        </w:tc>
      </w:tr>
      <w:tr>
        <w:trPr>
          <w:trHeight w:val="331"/>
        </w:trPr>
        <w:tc>
          <w:tcPr>
            <w:tcW w:w="1000" w:type="dxa"/>
            <w:vAlign w:val="bottom"/>
          </w:tcPr>
          <w:p>
            <w:pPr>
              <w:jc w:val="right"/>
              <w:ind w:right="592"/>
              <w:spacing w:after="0"/>
              <w:rPr>
                <w:sz w:val="20"/>
                <w:szCs w:val="20"/>
                <w:color w:val="auto"/>
              </w:rPr>
            </w:pPr>
            <w:r>
              <w:rPr>
                <w:rFonts w:ascii="Arial" w:cs="Arial" w:eastAsia="Arial" w:hAnsi="Arial"/>
                <w:sz w:val="18"/>
                <w:szCs w:val="18"/>
                <w:color w:val="auto"/>
              </w:rPr>
              <w:t>4.7</w:t>
            </w:r>
          </w:p>
        </w:tc>
        <w:tc>
          <w:tcPr>
            <w:tcW w:w="100" w:type="dxa"/>
            <w:vAlign w:val="bottom"/>
          </w:tcPr>
          <w:p>
            <w:pPr>
              <w:spacing w:after="0"/>
              <w:rPr>
                <w:sz w:val="24"/>
                <w:szCs w:val="24"/>
                <w:color w:val="auto"/>
              </w:rPr>
            </w:pPr>
          </w:p>
        </w:tc>
        <w:tc>
          <w:tcPr>
            <w:tcW w:w="6480" w:type="dxa"/>
            <w:vAlign w:val="bottom"/>
            <w:tcBorders>
              <w:bottom w:val="single" w:sz="8" w:color="0000EE"/>
            </w:tcBorders>
            <w:gridSpan w:val="24"/>
          </w:tcPr>
          <w:p>
            <w:pPr>
              <w:ind w:left="20"/>
              <w:spacing w:after="0"/>
              <w:rPr>
                <w:rFonts w:ascii="Arial" w:cs="Arial" w:eastAsia="Arial" w:hAnsi="Arial"/>
                <w:sz w:val="18"/>
                <w:szCs w:val="18"/>
                <w:color w:val="0000EE"/>
                <w:w w:val="90"/>
              </w:rPr>
            </w:pPr>
            <w:hyperlink r:id="rId142">
              <w:r>
                <w:rPr>
                  <w:rFonts w:ascii="Arial" w:cs="Arial" w:eastAsia="Arial" w:hAnsi="Arial"/>
                  <w:sz w:val="18"/>
                  <w:szCs w:val="18"/>
                  <w:color w:val="0000EE"/>
                  <w:w w:val="90"/>
                </w:rPr>
                <w:t>Secured Promissory Note, dated May 19, 2015, by and between Oxford Finance LLC and</w:t>
              </w:r>
            </w:hyperlink>
          </w:p>
        </w:tc>
        <w:tc>
          <w:tcPr>
            <w:tcW w:w="220" w:type="dxa"/>
            <w:vAlign w:val="bottom"/>
            <w:gridSpan w:val="2"/>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10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700" w:type="dxa"/>
            <w:vAlign w:val="bottom"/>
            <w:gridSpan w:val="26"/>
          </w:tcPr>
          <w:p>
            <w:pPr>
              <w:ind w:left="20"/>
              <w:spacing w:after="0" w:line="196" w:lineRule="exact"/>
              <w:rPr>
                <w:rFonts w:ascii="Arial" w:cs="Arial" w:eastAsia="Arial" w:hAnsi="Arial"/>
                <w:sz w:val="18"/>
                <w:szCs w:val="18"/>
                <w:color w:val="0000EE"/>
              </w:rPr>
            </w:pPr>
            <w:hyperlink r:id="rId142">
              <w:r>
                <w:rPr>
                  <w:rFonts w:ascii="Arial" w:cs="Arial" w:eastAsia="Arial" w:hAnsi="Arial"/>
                  <w:sz w:val="18"/>
                  <w:szCs w:val="18"/>
                  <w:color w:val="0000EE"/>
                </w:rPr>
                <w:t>the Company to purchase 276,224 shares of Series C Preferred Stock.</w:t>
              </w:r>
            </w:hyperlink>
          </w:p>
        </w:tc>
        <w:tc>
          <w:tcPr>
            <w:tcW w:w="0" w:type="dxa"/>
            <w:vAlign w:val="bottom"/>
          </w:tcPr>
          <w:p>
            <w:pPr>
              <w:spacing w:after="0"/>
              <w:rPr>
                <w:sz w:val="1"/>
                <w:szCs w:val="1"/>
                <w:color w:val="auto"/>
              </w:rPr>
            </w:pPr>
          </w:p>
        </w:tc>
      </w:tr>
      <w:tr>
        <w:trPr>
          <w:trHeight w:val="20"/>
        </w:trPr>
        <w:tc>
          <w:tcPr>
            <w:tcW w:w="10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580" w:type="dxa"/>
            <w:vAlign w:val="bottom"/>
            <w:gridSpan w:val="5"/>
            <w:shd w:val="clear" w:color="auto" w:fill="0000EE"/>
          </w:tcPr>
          <w:p>
            <w:pPr>
              <w:spacing w:after="0" w:line="20" w:lineRule="exact"/>
              <w:rPr>
                <w:sz w:val="1"/>
                <w:szCs w:val="1"/>
                <w:color w:val="auto"/>
              </w:rPr>
            </w:pPr>
          </w:p>
        </w:tc>
        <w:tc>
          <w:tcPr>
            <w:tcW w:w="1080" w:type="dxa"/>
            <w:vAlign w:val="bottom"/>
            <w:gridSpan w:val="6"/>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720" w:type="dxa"/>
            <w:vAlign w:val="bottom"/>
            <w:gridSpan w:val="4"/>
            <w:shd w:val="clear" w:color="auto" w:fill="0000EE"/>
          </w:tcPr>
          <w:p>
            <w:pPr>
              <w:spacing w:after="0" w:line="20" w:lineRule="exact"/>
              <w:rPr>
                <w:sz w:val="1"/>
                <w:szCs w:val="1"/>
                <w:color w:val="auto"/>
              </w:rPr>
            </w:pPr>
          </w:p>
        </w:tc>
        <w:tc>
          <w:tcPr>
            <w:tcW w:w="1020" w:type="dxa"/>
            <w:vAlign w:val="bottom"/>
            <w:gridSpan w:val="2"/>
          </w:tcPr>
          <w:p>
            <w:pPr>
              <w:spacing w:after="0" w:line="20" w:lineRule="exact"/>
              <w:rPr>
                <w:sz w:val="1"/>
                <w:szCs w:val="1"/>
                <w:color w:val="auto"/>
              </w:rPr>
            </w:pPr>
          </w:p>
        </w:tc>
        <w:tc>
          <w:tcPr>
            <w:tcW w:w="420" w:type="dxa"/>
            <w:vAlign w:val="bottom"/>
            <w:gridSpan w:val="4"/>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31"/>
        </w:trPr>
        <w:tc>
          <w:tcPr>
            <w:tcW w:w="1000" w:type="dxa"/>
            <w:vAlign w:val="bottom"/>
          </w:tcPr>
          <w:p>
            <w:pPr>
              <w:jc w:val="right"/>
              <w:ind w:right="592"/>
              <w:spacing w:after="0"/>
              <w:rPr>
                <w:sz w:val="20"/>
                <w:szCs w:val="20"/>
                <w:color w:val="auto"/>
              </w:rPr>
            </w:pPr>
            <w:r>
              <w:rPr>
                <w:rFonts w:ascii="Arial" w:cs="Arial" w:eastAsia="Arial" w:hAnsi="Arial"/>
                <w:sz w:val="18"/>
                <w:szCs w:val="18"/>
                <w:color w:val="auto"/>
              </w:rPr>
              <w:t>4.8</w:t>
            </w:r>
          </w:p>
        </w:tc>
        <w:tc>
          <w:tcPr>
            <w:tcW w:w="100" w:type="dxa"/>
            <w:vAlign w:val="bottom"/>
          </w:tcPr>
          <w:p>
            <w:pPr>
              <w:spacing w:after="0"/>
              <w:rPr>
                <w:sz w:val="24"/>
                <w:szCs w:val="24"/>
                <w:color w:val="auto"/>
              </w:rPr>
            </w:pPr>
          </w:p>
        </w:tc>
        <w:tc>
          <w:tcPr>
            <w:tcW w:w="6480" w:type="dxa"/>
            <w:vAlign w:val="bottom"/>
            <w:tcBorders>
              <w:bottom w:val="single" w:sz="8" w:color="0000EE"/>
            </w:tcBorders>
            <w:gridSpan w:val="24"/>
          </w:tcPr>
          <w:p>
            <w:pPr>
              <w:ind w:left="20"/>
              <w:spacing w:after="0"/>
              <w:rPr>
                <w:rFonts w:ascii="Arial" w:cs="Arial" w:eastAsia="Arial" w:hAnsi="Arial"/>
                <w:sz w:val="18"/>
                <w:szCs w:val="18"/>
                <w:color w:val="0000EE"/>
                <w:w w:val="90"/>
              </w:rPr>
            </w:pPr>
            <w:hyperlink r:id="rId143">
              <w:r>
                <w:rPr>
                  <w:rFonts w:ascii="Arial" w:cs="Arial" w:eastAsia="Arial" w:hAnsi="Arial"/>
                  <w:sz w:val="18"/>
                  <w:szCs w:val="18"/>
                  <w:color w:val="0000EE"/>
                  <w:w w:val="90"/>
                </w:rPr>
                <w:t>Secured Promissory Note, dated May 19, 2015, by and between Oxford Finance LLC and</w:t>
              </w:r>
            </w:hyperlink>
          </w:p>
        </w:tc>
        <w:tc>
          <w:tcPr>
            <w:tcW w:w="220" w:type="dxa"/>
            <w:vAlign w:val="bottom"/>
            <w:gridSpan w:val="2"/>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10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700" w:type="dxa"/>
            <w:vAlign w:val="bottom"/>
            <w:gridSpan w:val="26"/>
          </w:tcPr>
          <w:p>
            <w:pPr>
              <w:ind w:left="20"/>
              <w:spacing w:after="0" w:line="196" w:lineRule="exact"/>
              <w:rPr>
                <w:rFonts w:ascii="Arial" w:cs="Arial" w:eastAsia="Arial" w:hAnsi="Arial"/>
                <w:sz w:val="18"/>
                <w:szCs w:val="18"/>
                <w:color w:val="0000EE"/>
              </w:rPr>
            </w:pPr>
            <w:hyperlink r:id="rId143">
              <w:r>
                <w:rPr>
                  <w:rFonts w:ascii="Arial" w:cs="Arial" w:eastAsia="Arial" w:hAnsi="Arial"/>
                  <w:sz w:val="18"/>
                  <w:szCs w:val="18"/>
                  <w:color w:val="0000EE"/>
                </w:rPr>
                <w:t>the Company to purchase 220,979 shares of Series C Preferred Stock.</w:t>
              </w:r>
            </w:hyperlink>
          </w:p>
        </w:tc>
        <w:tc>
          <w:tcPr>
            <w:tcW w:w="0" w:type="dxa"/>
            <w:vAlign w:val="bottom"/>
          </w:tcPr>
          <w:p>
            <w:pPr>
              <w:spacing w:after="0"/>
              <w:rPr>
                <w:sz w:val="1"/>
                <w:szCs w:val="1"/>
                <w:color w:val="auto"/>
              </w:rPr>
            </w:pPr>
          </w:p>
        </w:tc>
      </w:tr>
      <w:tr>
        <w:trPr>
          <w:trHeight w:val="20"/>
        </w:trPr>
        <w:tc>
          <w:tcPr>
            <w:tcW w:w="10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580" w:type="dxa"/>
            <w:vAlign w:val="bottom"/>
            <w:gridSpan w:val="5"/>
            <w:shd w:val="clear" w:color="auto" w:fill="0000EE"/>
          </w:tcPr>
          <w:p>
            <w:pPr>
              <w:spacing w:after="0" w:line="20" w:lineRule="exact"/>
              <w:rPr>
                <w:sz w:val="1"/>
                <w:szCs w:val="1"/>
                <w:color w:val="auto"/>
              </w:rPr>
            </w:pPr>
          </w:p>
        </w:tc>
        <w:tc>
          <w:tcPr>
            <w:tcW w:w="1080" w:type="dxa"/>
            <w:vAlign w:val="bottom"/>
            <w:gridSpan w:val="6"/>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720" w:type="dxa"/>
            <w:vAlign w:val="bottom"/>
            <w:gridSpan w:val="4"/>
            <w:shd w:val="clear" w:color="auto" w:fill="0000EE"/>
          </w:tcPr>
          <w:p>
            <w:pPr>
              <w:spacing w:after="0" w:line="20" w:lineRule="exact"/>
              <w:rPr>
                <w:sz w:val="1"/>
                <w:szCs w:val="1"/>
                <w:color w:val="auto"/>
              </w:rPr>
            </w:pPr>
          </w:p>
        </w:tc>
        <w:tc>
          <w:tcPr>
            <w:tcW w:w="1020" w:type="dxa"/>
            <w:vAlign w:val="bottom"/>
            <w:gridSpan w:val="2"/>
          </w:tcPr>
          <w:p>
            <w:pPr>
              <w:spacing w:after="0" w:line="20" w:lineRule="exact"/>
              <w:rPr>
                <w:sz w:val="1"/>
                <w:szCs w:val="1"/>
                <w:color w:val="auto"/>
              </w:rPr>
            </w:pPr>
          </w:p>
        </w:tc>
        <w:tc>
          <w:tcPr>
            <w:tcW w:w="420" w:type="dxa"/>
            <w:vAlign w:val="bottom"/>
            <w:gridSpan w:val="4"/>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31"/>
        </w:trPr>
        <w:tc>
          <w:tcPr>
            <w:tcW w:w="1000" w:type="dxa"/>
            <w:vAlign w:val="bottom"/>
          </w:tcPr>
          <w:p>
            <w:pPr>
              <w:jc w:val="right"/>
              <w:ind w:right="592"/>
              <w:spacing w:after="0"/>
              <w:rPr>
                <w:sz w:val="20"/>
                <w:szCs w:val="20"/>
                <w:color w:val="auto"/>
              </w:rPr>
            </w:pPr>
            <w:r>
              <w:rPr>
                <w:rFonts w:ascii="Arial" w:cs="Arial" w:eastAsia="Arial" w:hAnsi="Arial"/>
                <w:sz w:val="18"/>
                <w:szCs w:val="18"/>
                <w:color w:val="auto"/>
              </w:rPr>
              <w:t>4.9</w:t>
            </w:r>
          </w:p>
        </w:tc>
        <w:tc>
          <w:tcPr>
            <w:tcW w:w="100" w:type="dxa"/>
            <w:vAlign w:val="bottom"/>
          </w:tcPr>
          <w:p>
            <w:pPr>
              <w:spacing w:after="0"/>
              <w:rPr>
                <w:sz w:val="24"/>
                <w:szCs w:val="24"/>
                <w:color w:val="auto"/>
              </w:rPr>
            </w:pPr>
          </w:p>
        </w:tc>
        <w:tc>
          <w:tcPr>
            <w:tcW w:w="6480" w:type="dxa"/>
            <w:vAlign w:val="bottom"/>
            <w:tcBorders>
              <w:bottom w:val="single" w:sz="8" w:color="0000EE"/>
            </w:tcBorders>
            <w:gridSpan w:val="24"/>
          </w:tcPr>
          <w:p>
            <w:pPr>
              <w:ind w:left="20"/>
              <w:spacing w:after="0"/>
              <w:rPr>
                <w:rFonts w:ascii="Arial" w:cs="Arial" w:eastAsia="Arial" w:hAnsi="Arial"/>
                <w:sz w:val="18"/>
                <w:szCs w:val="18"/>
                <w:color w:val="0000EE"/>
                <w:w w:val="90"/>
              </w:rPr>
            </w:pPr>
            <w:hyperlink r:id="rId144">
              <w:r>
                <w:rPr>
                  <w:rFonts w:ascii="Arial" w:cs="Arial" w:eastAsia="Arial" w:hAnsi="Arial"/>
                  <w:sz w:val="18"/>
                  <w:szCs w:val="18"/>
                  <w:color w:val="0000EE"/>
                  <w:w w:val="90"/>
                </w:rPr>
                <w:t>Secured Promissory Note, dated May 19, 2015, by and between Oxford Finance LLC and</w:t>
              </w:r>
            </w:hyperlink>
          </w:p>
        </w:tc>
        <w:tc>
          <w:tcPr>
            <w:tcW w:w="220" w:type="dxa"/>
            <w:vAlign w:val="bottom"/>
            <w:gridSpan w:val="2"/>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10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700" w:type="dxa"/>
            <w:vAlign w:val="bottom"/>
            <w:gridSpan w:val="26"/>
          </w:tcPr>
          <w:p>
            <w:pPr>
              <w:ind w:left="20"/>
              <w:spacing w:after="0" w:line="196" w:lineRule="exact"/>
              <w:rPr>
                <w:rFonts w:ascii="Arial" w:cs="Arial" w:eastAsia="Arial" w:hAnsi="Arial"/>
                <w:sz w:val="18"/>
                <w:szCs w:val="18"/>
                <w:color w:val="0000EE"/>
              </w:rPr>
            </w:pPr>
            <w:hyperlink r:id="rId144">
              <w:r>
                <w:rPr>
                  <w:rFonts w:ascii="Arial" w:cs="Arial" w:eastAsia="Arial" w:hAnsi="Arial"/>
                  <w:sz w:val="18"/>
                  <w:szCs w:val="18"/>
                  <w:color w:val="0000EE"/>
                </w:rPr>
                <w:t>the Company to purchase 220,979 shares of Series C Preferred Stock.</w:t>
              </w:r>
            </w:hyperlink>
          </w:p>
        </w:tc>
        <w:tc>
          <w:tcPr>
            <w:tcW w:w="0" w:type="dxa"/>
            <w:vAlign w:val="bottom"/>
          </w:tcPr>
          <w:p>
            <w:pPr>
              <w:spacing w:after="0"/>
              <w:rPr>
                <w:sz w:val="1"/>
                <w:szCs w:val="1"/>
                <w:color w:val="auto"/>
              </w:rPr>
            </w:pPr>
          </w:p>
        </w:tc>
      </w:tr>
      <w:tr>
        <w:trPr>
          <w:trHeight w:val="20"/>
        </w:trPr>
        <w:tc>
          <w:tcPr>
            <w:tcW w:w="10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580" w:type="dxa"/>
            <w:vAlign w:val="bottom"/>
            <w:gridSpan w:val="5"/>
            <w:shd w:val="clear" w:color="auto" w:fill="0000EE"/>
          </w:tcPr>
          <w:p>
            <w:pPr>
              <w:spacing w:after="0" w:line="20" w:lineRule="exact"/>
              <w:rPr>
                <w:sz w:val="1"/>
                <w:szCs w:val="1"/>
                <w:color w:val="auto"/>
              </w:rPr>
            </w:pPr>
          </w:p>
        </w:tc>
        <w:tc>
          <w:tcPr>
            <w:tcW w:w="1080" w:type="dxa"/>
            <w:vAlign w:val="bottom"/>
            <w:gridSpan w:val="6"/>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720" w:type="dxa"/>
            <w:vAlign w:val="bottom"/>
            <w:gridSpan w:val="4"/>
            <w:shd w:val="clear" w:color="auto" w:fill="0000EE"/>
          </w:tcPr>
          <w:p>
            <w:pPr>
              <w:spacing w:after="0" w:line="20" w:lineRule="exact"/>
              <w:rPr>
                <w:sz w:val="1"/>
                <w:szCs w:val="1"/>
                <w:color w:val="auto"/>
              </w:rPr>
            </w:pPr>
          </w:p>
        </w:tc>
        <w:tc>
          <w:tcPr>
            <w:tcW w:w="1020" w:type="dxa"/>
            <w:vAlign w:val="bottom"/>
            <w:gridSpan w:val="2"/>
          </w:tcPr>
          <w:p>
            <w:pPr>
              <w:spacing w:after="0" w:line="20" w:lineRule="exact"/>
              <w:rPr>
                <w:sz w:val="1"/>
                <w:szCs w:val="1"/>
                <w:color w:val="auto"/>
              </w:rPr>
            </w:pPr>
          </w:p>
        </w:tc>
        <w:tc>
          <w:tcPr>
            <w:tcW w:w="420" w:type="dxa"/>
            <w:vAlign w:val="bottom"/>
            <w:gridSpan w:val="4"/>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31"/>
        </w:trPr>
        <w:tc>
          <w:tcPr>
            <w:tcW w:w="1000" w:type="dxa"/>
            <w:vAlign w:val="bottom"/>
          </w:tcPr>
          <w:p>
            <w:pPr>
              <w:jc w:val="right"/>
              <w:ind w:right="592"/>
              <w:spacing w:after="0"/>
              <w:rPr>
                <w:sz w:val="20"/>
                <w:szCs w:val="20"/>
                <w:color w:val="auto"/>
              </w:rPr>
            </w:pPr>
            <w:r>
              <w:rPr>
                <w:rFonts w:ascii="Arial" w:cs="Arial" w:eastAsia="Arial" w:hAnsi="Arial"/>
                <w:sz w:val="18"/>
                <w:szCs w:val="18"/>
                <w:color w:val="auto"/>
                <w:w w:val="85"/>
              </w:rPr>
              <w:t>4.10</w:t>
            </w:r>
          </w:p>
        </w:tc>
        <w:tc>
          <w:tcPr>
            <w:tcW w:w="100" w:type="dxa"/>
            <w:vAlign w:val="bottom"/>
          </w:tcPr>
          <w:p>
            <w:pPr>
              <w:spacing w:after="0"/>
              <w:rPr>
                <w:sz w:val="24"/>
                <w:szCs w:val="24"/>
                <w:color w:val="auto"/>
              </w:rPr>
            </w:pPr>
          </w:p>
        </w:tc>
        <w:tc>
          <w:tcPr>
            <w:tcW w:w="6480" w:type="dxa"/>
            <w:vAlign w:val="bottom"/>
            <w:tcBorders>
              <w:bottom w:val="single" w:sz="8" w:color="0000EE"/>
            </w:tcBorders>
            <w:gridSpan w:val="24"/>
          </w:tcPr>
          <w:p>
            <w:pPr>
              <w:ind w:left="20"/>
              <w:spacing w:after="0"/>
              <w:rPr>
                <w:rFonts w:ascii="Arial" w:cs="Arial" w:eastAsia="Arial" w:hAnsi="Arial"/>
                <w:sz w:val="18"/>
                <w:szCs w:val="18"/>
                <w:color w:val="0000EE"/>
                <w:w w:val="90"/>
              </w:rPr>
            </w:pPr>
            <w:hyperlink r:id="rId145">
              <w:r>
                <w:rPr>
                  <w:rFonts w:ascii="Arial" w:cs="Arial" w:eastAsia="Arial" w:hAnsi="Arial"/>
                  <w:sz w:val="18"/>
                  <w:szCs w:val="18"/>
                  <w:color w:val="0000EE"/>
                  <w:w w:val="90"/>
                </w:rPr>
                <w:t>Secured Promissory Note, dated May 19, 2015, by and between Oxford Finance LLC and</w:t>
              </w:r>
            </w:hyperlink>
          </w:p>
        </w:tc>
        <w:tc>
          <w:tcPr>
            <w:tcW w:w="220" w:type="dxa"/>
            <w:vAlign w:val="bottom"/>
            <w:gridSpan w:val="2"/>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10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700" w:type="dxa"/>
            <w:vAlign w:val="bottom"/>
            <w:gridSpan w:val="26"/>
          </w:tcPr>
          <w:p>
            <w:pPr>
              <w:ind w:left="20"/>
              <w:spacing w:after="0" w:line="196" w:lineRule="exact"/>
              <w:rPr>
                <w:rFonts w:ascii="Arial" w:cs="Arial" w:eastAsia="Arial" w:hAnsi="Arial"/>
                <w:sz w:val="18"/>
                <w:szCs w:val="18"/>
                <w:color w:val="0000EE"/>
              </w:rPr>
            </w:pPr>
            <w:hyperlink r:id="rId145">
              <w:r>
                <w:rPr>
                  <w:rFonts w:ascii="Arial" w:cs="Arial" w:eastAsia="Arial" w:hAnsi="Arial"/>
                  <w:sz w:val="18"/>
                  <w:szCs w:val="18"/>
                  <w:color w:val="0000EE"/>
                </w:rPr>
                <w:t>the Company to purchase 220,979 shares of Series C Preferred Stock.</w:t>
              </w:r>
            </w:hyperlink>
          </w:p>
        </w:tc>
        <w:tc>
          <w:tcPr>
            <w:tcW w:w="0" w:type="dxa"/>
            <w:vAlign w:val="bottom"/>
          </w:tcPr>
          <w:p>
            <w:pPr>
              <w:spacing w:after="0"/>
              <w:rPr>
                <w:sz w:val="1"/>
                <w:szCs w:val="1"/>
                <w:color w:val="auto"/>
              </w:rPr>
            </w:pPr>
          </w:p>
        </w:tc>
      </w:tr>
      <w:tr>
        <w:trPr>
          <w:trHeight w:val="20"/>
        </w:trPr>
        <w:tc>
          <w:tcPr>
            <w:tcW w:w="10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580" w:type="dxa"/>
            <w:vAlign w:val="bottom"/>
            <w:gridSpan w:val="5"/>
            <w:shd w:val="clear" w:color="auto" w:fill="0000EE"/>
          </w:tcPr>
          <w:p>
            <w:pPr>
              <w:spacing w:after="0" w:line="20" w:lineRule="exact"/>
              <w:rPr>
                <w:sz w:val="1"/>
                <w:szCs w:val="1"/>
                <w:color w:val="auto"/>
              </w:rPr>
            </w:pPr>
          </w:p>
        </w:tc>
        <w:tc>
          <w:tcPr>
            <w:tcW w:w="1080" w:type="dxa"/>
            <w:vAlign w:val="bottom"/>
            <w:gridSpan w:val="6"/>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720" w:type="dxa"/>
            <w:vAlign w:val="bottom"/>
            <w:gridSpan w:val="4"/>
            <w:shd w:val="clear" w:color="auto" w:fill="0000EE"/>
          </w:tcPr>
          <w:p>
            <w:pPr>
              <w:spacing w:after="0" w:line="20" w:lineRule="exact"/>
              <w:rPr>
                <w:sz w:val="1"/>
                <w:szCs w:val="1"/>
                <w:color w:val="auto"/>
              </w:rPr>
            </w:pPr>
          </w:p>
        </w:tc>
        <w:tc>
          <w:tcPr>
            <w:tcW w:w="1020" w:type="dxa"/>
            <w:vAlign w:val="bottom"/>
            <w:gridSpan w:val="2"/>
          </w:tcPr>
          <w:p>
            <w:pPr>
              <w:spacing w:after="0" w:line="20" w:lineRule="exact"/>
              <w:rPr>
                <w:sz w:val="1"/>
                <w:szCs w:val="1"/>
                <w:color w:val="auto"/>
              </w:rPr>
            </w:pPr>
          </w:p>
        </w:tc>
        <w:tc>
          <w:tcPr>
            <w:tcW w:w="420" w:type="dxa"/>
            <w:vAlign w:val="bottom"/>
            <w:gridSpan w:val="4"/>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31"/>
        </w:trPr>
        <w:tc>
          <w:tcPr>
            <w:tcW w:w="1000" w:type="dxa"/>
            <w:vAlign w:val="bottom"/>
          </w:tcPr>
          <w:p>
            <w:pPr>
              <w:jc w:val="right"/>
              <w:ind w:right="592"/>
              <w:spacing w:after="0"/>
              <w:rPr>
                <w:sz w:val="20"/>
                <w:szCs w:val="20"/>
                <w:color w:val="auto"/>
              </w:rPr>
            </w:pPr>
            <w:r>
              <w:rPr>
                <w:rFonts w:ascii="Arial" w:cs="Arial" w:eastAsia="Arial" w:hAnsi="Arial"/>
                <w:sz w:val="18"/>
                <w:szCs w:val="18"/>
                <w:color w:val="auto"/>
                <w:w w:val="85"/>
              </w:rPr>
              <w:t>4.11</w:t>
            </w:r>
          </w:p>
        </w:tc>
        <w:tc>
          <w:tcPr>
            <w:tcW w:w="100" w:type="dxa"/>
            <w:vAlign w:val="bottom"/>
          </w:tcPr>
          <w:p>
            <w:pPr>
              <w:spacing w:after="0"/>
              <w:rPr>
                <w:sz w:val="24"/>
                <w:szCs w:val="24"/>
                <w:color w:val="auto"/>
              </w:rPr>
            </w:pPr>
          </w:p>
        </w:tc>
        <w:tc>
          <w:tcPr>
            <w:tcW w:w="6480" w:type="dxa"/>
            <w:vAlign w:val="bottom"/>
            <w:tcBorders>
              <w:bottom w:val="single" w:sz="8" w:color="0000EE"/>
            </w:tcBorders>
            <w:gridSpan w:val="24"/>
          </w:tcPr>
          <w:p>
            <w:pPr>
              <w:ind w:left="20"/>
              <w:spacing w:after="0"/>
              <w:rPr>
                <w:rFonts w:ascii="Arial" w:cs="Arial" w:eastAsia="Arial" w:hAnsi="Arial"/>
                <w:sz w:val="18"/>
                <w:szCs w:val="18"/>
                <w:color w:val="0000EE"/>
                <w:w w:val="90"/>
              </w:rPr>
            </w:pPr>
            <w:hyperlink r:id="rId146">
              <w:r>
                <w:rPr>
                  <w:rFonts w:ascii="Arial" w:cs="Arial" w:eastAsia="Arial" w:hAnsi="Arial"/>
                  <w:sz w:val="18"/>
                  <w:szCs w:val="18"/>
                  <w:color w:val="0000EE"/>
                  <w:w w:val="90"/>
                </w:rPr>
                <w:t>Secured Promissory Note, dated May 19, 2015, by and between Oxford Finance LLC and</w:t>
              </w:r>
            </w:hyperlink>
          </w:p>
        </w:tc>
        <w:tc>
          <w:tcPr>
            <w:tcW w:w="220" w:type="dxa"/>
            <w:vAlign w:val="bottom"/>
            <w:gridSpan w:val="2"/>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10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700" w:type="dxa"/>
            <w:vAlign w:val="bottom"/>
            <w:gridSpan w:val="26"/>
          </w:tcPr>
          <w:p>
            <w:pPr>
              <w:ind w:left="20"/>
              <w:spacing w:after="0" w:line="196" w:lineRule="exact"/>
              <w:rPr>
                <w:rFonts w:ascii="Arial" w:cs="Arial" w:eastAsia="Arial" w:hAnsi="Arial"/>
                <w:sz w:val="18"/>
                <w:szCs w:val="18"/>
                <w:color w:val="0000EE"/>
              </w:rPr>
            </w:pPr>
            <w:hyperlink r:id="rId146">
              <w:r>
                <w:rPr>
                  <w:rFonts w:ascii="Arial" w:cs="Arial" w:eastAsia="Arial" w:hAnsi="Arial"/>
                  <w:sz w:val="18"/>
                  <w:szCs w:val="18"/>
                  <w:color w:val="0000EE"/>
                </w:rPr>
                <w:t>the Company to purchase 165,734 shares of Series C Preferred Stock.</w:t>
              </w:r>
            </w:hyperlink>
          </w:p>
        </w:tc>
        <w:tc>
          <w:tcPr>
            <w:tcW w:w="0" w:type="dxa"/>
            <w:vAlign w:val="bottom"/>
          </w:tcPr>
          <w:p>
            <w:pPr>
              <w:spacing w:after="0"/>
              <w:rPr>
                <w:sz w:val="1"/>
                <w:szCs w:val="1"/>
                <w:color w:val="auto"/>
              </w:rPr>
            </w:pPr>
          </w:p>
        </w:tc>
      </w:tr>
      <w:tr>
        <w:trPr>
          <w:trHeight w:val="20"/>
        </w:trPr>
        <w:tc>
          <w:tcPr>
            <w:tcW w:w="10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580" w:type="dxa"/>
            <w:vAlign w:val="bottom"/>
            <w:gridSpan w:val="5"/>
            <w:shd w:val="clear" w:color="auto" w:fill="0000EE"/>
          </w:tcPr>
          <w:p>
            <w:pPr>
              <w:spacing w:after="0" w:line="20" w:lineRule="exact"/>
              <w:rPr>
                <w:sz w:val="1"/>
                <w:szCs w:val="1"/>
                <w:color w:val="auto"/>
              </w:rPr>
            </w:pPr>
          </w:p>
        </w:tc>
        <w:tc>
          <w:tcPr>
            <w:tcW w:w="1080" w:type="dxa"/>
            <w:vAlign w:val="bottom"/>
            <w:gridSpan w:val="6"/>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720" w:type="dxa"/>
            <w:vAlign w:val="bottom"/>
            <w:gridSpan w:val="4"/>
            <w:shd w:val="clear" w:color="auto" w:fill="0000EE"/>
          </w:tcPr>
          <w:p>
            <w:pPr>
              <w:spacing w:after="0" w:line="20" w:lineRule="exact"/>
              <w:rPr>
                <w:sz w:val="1"/>
                <w:szCs w:val="1"/>
                <w:color w:val="auto"/>
              </w:rPr>
            </w:pPr>
          </w:p>
        </w:tc>
        <w:tc>
          <w:tcPr>
            <w:tcW w:w="1020" w:type="dxa"/>
            <w:vAlign w:val="bottom"/>
            <w:gridSpan w:val="2"/>
          </w:tcPr>
          <w:p>
            <w:pPr>
              <w:spacing w:after="0" w:line="20" w:lineRule="exact"/>
              <w:rPr>
                <w:sz w:val="1"/>
                <w:szCs w:val="1"/>
                <w:color w:val="auto"/>
              </w:rPr>
            </w:pPr>
          </w:p>
        </w:tc>
        <w:tc>
          <w:tcPr>
            <w:tcW w:w="420" w:type="dxa"/>
            <w:vAlign w:val="bottom"/>
            <w:gridSpan w:val="4"/>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31"/>
        </w:trPr>
        <w:tc>
          <w:tcPr>
            <w:tcW w:w="1000" w:type="dxa"/>
            <w:vAlign w:val="bottom"/>
          </w:tcPr>
          <w:p>
            <w:pPr>
              <w:jc w:val="right"/>
              <w:ind w:right="592"/>
              <w:spacing w:after="0"/>
              <w:rPr>
                <w:sz w:val="20"/>
                <w:szCs w:val="20"/>
                <w:color w:val="auto"/>
              </w:rPr>
            </w:pPr>
            <w:r>
              <w:rPr>
                <w:rFonts w:ascii="Arial" w:cs="Arial" w:eastAsia="Arial" w:hAnsi="Arial"/>
                <w:sz w:val="18"/>
                <w:szCs w:val="18"/>
                <w:color w:val="auto"/>
                <w:w w:val="85"/>
              </w:rPr>
              <w:t>10.1</w:t>
            </w:r>
          </w:p>
        </w:tc>
        <w:tc>
          <w:tcPr>
            <w:tcW w:w="100" w:type="dxa"/>
            <w:vAlign w:val="bottom"/>
          </w:tcPr>
          <w:p>
            <w:pPr>
              <w:spacing w:after="0"/>
              <w:rPr>
                <w:sz w:val="24"/>
                <w:szCs w:val="24"/>
                <w:color w:val="auto"/>
              </w:rPr>
            </w:pPr>
          </w:p>
        </w:tc>
        <w:tc>
          <w:tcPr>
            <w:tcW w:w="6040" w:type="dxa"/>
            <w:vAlign w:val="bottom"/>
            <w:tcBorders>
              <w:bottom w:val="single" w:sz="8" w:color="0000EE"/>
            </w:tcBorders>
            <w:gridSpan w:val="19"/>
          </w:tcPr>
          <w:p>
            <w:pPr>
              <w:ind w:left="20"/>
              <w:spacing w:after="0"/>
              <w:rPr>
                <w:rFonts w:ascii="Arial" w:cs="Arial" w:eastAsia="Arial" w:hAnsi="Arial"/>
                <w:sz w:val="18"/>
                <w:szCs w:val="18"/>
                <w:color w:val="0000EE"/>
                <w:w w:val="88"/>
              </w:rPr>
            </w:pPr>
            <w:hyperlink r:id="rId147">
              <w:r>
                <w:rPr>
                  <w:rFonts w:ascii="Arial" w:cs="Arial" w:eastAsia="Arial" w:hAnsi="Arial"/>
                  <w:sz w:val="18"/>
                  <w:szCs w:val="18"/>
                  <w:color w:val="0000EE"/>
                  <w:w w:val="88"/>
                </w:rPr>
                <w:t>Manufacturing Agreement for Systems, dated March 1, 2016, by and between Evolve</w:t>
              </w:r>
            </w:hyperlink>
          </w:p>
        </w:tc>
        <w:tc>
          <w:tcPr>
            <w:tcW w:w="660" w:type="dxa"/>
            <w:vAlign w:val="bottom"/>
            <w:gridSpan w:val="7"/>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10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700" w:type="dxa"/>
            <w:vAlign w:val="bottom"/>
            <w:gridSpan w:val="26"/>
          </w:tcPr>
          <w:p>
            <w:pPr>
              <w:ind w:left="20"/>
              <w:spacing w:after="0" w:line="196" w:lineRule="exact"/>
              <w:rPr>
                <w:rFonts w:ascii="Arial" w:cs="Arial" w:eastAsia="Arial" w:hAnsi="Arial"/>
                <w:sz w:val="18"/>
                <w:szCs w:val="18"/>
                <w:color w:val="0000EE"/>
              </w:rPr>
            </w:pPr>
            <w:hyperlink r:id="rId147">
              <w:r>
                <w:rPr>
                  <w:rFonts w:ascii="Arial" w:cs="Arial" w:eastAsia="Arial" w:hAnsi="Arial"/>
                  <w:sz w:val="18"/>
                  <w:szCs w:val="18"/>
                  <w:color w:val="0000EE"/>
                </w:rPr>
                <w:t>Manufacturing Technologies Inc. and the Company.</w:t>
              </w:r>
            </w:hyperlink>
          </w:p>
        </w:tc>
        <w:tc>
          <w:tcPr>
            <w:tcW w:w="0" w:type="dxa"/>
            <w:vAlign w:val="bottom"/>
          </w:tcPr>
          <w:p>
            <w:pPr>
              <w:spacing w:after="0"/>
              <w:rPr>
                <w:sz w:val="1"/>
                <w:szCs w:val="1"/>
                <w:color w:val="auto"/>
              </w:rPr>
            </w:pPr>
          </w:p>
        </w:tc>
      </w:tr>
      <w:tr>
        <w:trPr>
          <w:trHeight w:val="20"/>
        </w:trPr>
        <w:tc>
          <w:tcPr>
            <w:tcW w:w="10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580" w:type="dxa"/>
            <w:vAlign w:val="bottom"/>
            <w:gridSpan w:val="5"/>
            <w:shd w:val="clear" w:color="auto" w:fill="0000EE"/>
          </w:tcPr>
          <w:p>
            <w:pPr>
              <w:spacing w:after="0" w:line="20" w:lineRule="exact"/>
              <w:rPr>
                <w:sz w:val="1"/>
                <w:szCs w:val="1"/>
                <w:color w:val="auto"/>
              </w:rPr>
            </w:pPr>
          </w:p>
        </w:tc>
        <w:tc>
          <w:tcPr>
            <w:tcW w:w="1080" w:type="dxa"/>
            <w:vAlign w:val="bottom"/>
            <w:gridSpan w:val="6"/>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160" w:type="dxa"/>
            <w:vAlign w:val="bottom"/>
            <w:gridSpan w:val="10"/>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31"/>
        </w:trPr>
        <w:tc>
          <w:tcPr>
            <w:tcW w:w="1000" w:type="dxa"/>
            <w:vAlign w:val="bottom"/>
          </w:tcPr>
          <w:p>
            <w:pPr>
              <w:jc w:val="right"/>
              <w:ind w:right="592"/>
              <w:spacing w:after="0"/>
              <w:rPr>
                <w:sz w:val="20"/>
                <w:szCs w:val="20"/>
                <w:color w:val="auto"/>
              </w:rPr>
            </w:pPr>
            <w:r>
              <w:rPr>
                <w:rFonts w:ascii="Arial" w:cs="Arial" w:eastAsia="Arial" w:hAnsi="Arial"/>
                <w:sz w:val="18"/>
                <w:szCs w:val="18"/>
                <w:color w:val="auto"/>
                <w:w w:val="85"/>
              </w:rPr>
              <w:t>10.2</w:t>
            </w:r>
          </w:p>
        </w:tc>
        <w:tc>
          <w:tcPr>
            <w:tcW w:w="100" w:type="dxa"/>
            <w:vAlign w:val="bottom"/>
          </w:tcPr>
          <w:p>
            <w:pPr>
              <w:spacing w:after="0"/>
              <w:rPr>
                <w:sz w:val="24"/>
                <w:szCs w:val="24"/>
                <w:color w:val="auto"/>
              </w:rPr>
            </w:pPr>
          </w:p>
        </w:tc>
        <w:tc>
          <w:tcPr>
            <w:tcW w:w="6460" w:type="dxa"/>
            <w:vAlign w:val="bottom"/>
            <w:tcBorders>
              <w:bottom w:val="single" w:sz="8" w:color="0000EE"/>
            </w:tcBorders>
            <w:gridSpan w:val="23"/>
          </w:tcPr>
          <w:p>
            <w:pPr>
              <w:ind w:left="20"/>
              <w:spacing w:after="0"/>
              <w:rPr>
                <w:rFonts w:ascii="Arial" w:cs="Arial" w:eastAsia="Arial" w:hAnsi="Arial"/>
                <w:sz w:val="18"/>
                <w:szCs w:val="18"/>
                <w:color w:val="0000EE"/>
                <w:w w:val="91"/>
              </w:rPr>
            </w:pPr>
            <w:hyperlink r:id="rId148">
              <w:r>
                <w:rPr>
                  <w:rFonts w:ascii="Arial" w:cs="Arial" w:eastAsia="Arial" w:hAnsi="Arial"/>
                  <w:sz w:val="18"/>
                  <w:szCs w:val="18"/>
                  <w:color w:val="0000EE"/>
                  <w:w w:val="91"/>
                </w:rPr>
                <w:t>Manufacturing Agreement for Consumables, dated April 1, 2016, by and between Evolve</w:t>
              </w:r>
            </w:hyperlink>
          </w:p>
        </w:tc>
        <w:tc>
          <w:tcPr>
            <w:tcW w:w="240" w:type="dxa"/>
            <w:vAlign w:val="bottom"/>
            <w:gridSpan w:val="3"/>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10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700" w:type="dxa"/>
            <w:vAlign w:val="bottom"/>
            <w:gridSpan w:val="26"/>
          </w:tcPr>
          <w:p>
            <w:pPr>
              <w:ind w:left="20"/>
              <w:spacing w:after="0" w:line="196" w:lineRule="exact"/>
              <w:rPr>
                <w:rFonts w:ascii="Arial" w:cs="Arial" w:eastAsia="Arial" w:hAnsi="Arial"/>
                <w:sz w:val="18"/>
                <w:szCs w:val="18"/>
                <w:color w:val="0000EE"/>
              </w:rPr>
            </w:pPr>
            <w:hyperlink r:id="rId148">
              <w:r>
                <w:rPr>
                  <w:rFonts w:ascii="Arial" w:cs="Arial" w:eastAsia="Arial" w:hAnsi="Arial"/>
                  <w:sz w:val="18"/>
                  <w:szCs w:val="18"/>
                  <w:color w:val="0000EE"/>
                </w:rPr>
                <w:t>Manufacturing Technologies Inc. and the Company.</w:t>
              </w:r>
            </w:hyperlink>
          </w:p>
        </w:tc>
        <w:tc>
          <w:tcPr>
            <w:tcW w:w="0" w:type="dxa"/>
            <w:vAlign w:val="bottom"/>
          </w:tcPr>
          <w:p>
            <w:pPr>
              <w:spacing w:after="0"/>
              <w:rPr>
                <w:sz w:val="1"/>
                <w:szCs w:val="1"/>
                <w:color w:val="auto"/>
              </w:rPr>
            </w:pPr>
          </w:p>
        </w:tc>
      </w:tr>
      <w:tr>
        <w:trPr>
          <w:trHeight w:val="20"/>
        </w:trPr>
        <w:tc>
          <w:tcPr>
            <w:tcW w:w="10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580" w:type="dxa"/>
            <w:vAlign w:val="bottom"/>
            <w:gridSpan w:val="5"/>
            <w:shd w:val="clear" w:color="auto" w:fill="0000EE"/>
          </w:tcPr>
          <w:p>
            <w:pPr>
              <w:spacing w:after="0" w:line="20" w:lineRule="exact"/>
              <w:rPr>
                <w:sz w:val="1"/>
                <w:szCs w:val="1"/>
                <w:color w:val="auto"/>
              </w:rPr>
            </w:pPr>
          </w:p>
        </w:tc>
        <w:tc>
          <w:tcPr>
            <w:tcW w:w="1160" w:type="dxa"/>
            <w:vAlign w:val="bottom"/>
            <w:gridSpan w:val="7"/>
            <w:shd w:val="clear" w:color="auto" w:fill="0000EE"/>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320" w:type="dxa"/>
            <w:vAlign w:val="bottom"/>
            <w:gridSpan w:val="1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31"/>
        </w:trPr>
        <w:tc>
          <w:tcPr>
            <w:tcW w:w="1000" w:type="dxa"/>
            <w:vAlign w:val="bottom"/>
          </w:tcPr>
          <w:p>
            <w:pPr>
              <w:jc w:val="right"/>
              <w:ind w:right="592"/>
              <w:spacing w:after="0"/>
              <w:rPr>
                <w:sz w:val="20"/>
                <w:szCs w:val="20"/>
                <w:color w:val="auto"/>
              </w:rPr>
            </w:pPr>
            <w:r>
              <w:rPr>
                <w:rFonts w:ascii="Arial" w:cs="Arial" w:eastAsia="Arial" w:hAnsi="Arial"/>
                <w:sz w:val="18"/>
                <w:szCs w:val="18"/>
                <w:color w:val="auto"/>
                <w:w w:val="85"/>
              </w:rPr>
              <w:t>10.3</w:t>
            </w:r>
          </w:p>
        </w:tc>
        <w:tc>
          <w:tcPr>
            <w:tcW w:w="100" w:type="dxa"/>
            <w:vAlign w:val="bottom"/>
          </w:tcPr>
          <w:p>
            <w:pPr>
              <w:spacing w:after="0"/>
              <w:rPr>
                <w:sz w:val="24"/>
                <w:szCs w:val="24"/>
                <w:color w:val="auto"/>
              </w:rPr>
            </w:pPr>
          </w:p>
        </w:tc>
        <w:tc>
          <w:tcPr>
            <w:tcW w:w="6700" w:type="dxa"/>
            <w:vAlign w:val="bottom"/>
            <w:gridSpan w:val="26"/>
          </w:tcPr>
          <w:p>
            <w:pPr>
              <w:ind w:left="20"/>
              <w:spacing w:after="0"/>
              <w:rPr>
                <w:rFonts w:ascii="Arial" w:cs="Arial" w:eastAsia="Arial" w:hAnsi="Arial"/>
                <w:sz w:val="18"/>
                <w:szCs w:val="18"/>
                <w:color w:val="0000EE"/>
                <w:w w:val="89"/>
              </w:rPr>
            </w:pPr>
            <w:hyperlink r:id="rId149">
              <w:r>
                <w:rPr>
                  <w:rFonts w:ascii="Arial" w:cs="Arial" w:eastAsia="Arial" w:hAnsi="Arial"/>
                  <w:sz w:val="18"/>
                  <w:szCs w:val="18"/>
                  <w:color w:val="0000EE"/>
                  <w:w w:val="89"/>
                </w:rPr>
                <w:t>Component Pricing Agreement, dated August 1, 2016, by and between Evolve Manufacturing</w:t>
              </w:r>
            </w:hyperlink>
          </w:p>
        </w:tc>
        <w:tc>
          <w:tcPr>
            <w:tcW w:w="0" w:type="dxa"/>
            <w:vAlign w:val="bottom"/>
          </w:tcPr>
          <w:p>
            <w:pPr>
              <w:spacing w:after="0"/>
              <w:rPr>
                <w:sz w:val="1"/>
                <w:szCs w:val="1"/>
                <w:color w:val="auto"/>
              </w:rPr>
            </w:pPr>
          </w:p>
        </w:tc>
      </w:tr>
      <w:tr>
        <w:trPr>
          <w:trHeight w:val="196"/>
        </w:trPr>
        <w:tc>
          <w:tcPr>
            <w:tcW w:w="10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580" w:type="dxa"/>
            <w:vAlign w:val="bottom"/>
            <w:tcBorders>
              <w:top w:val="single" w:sz="8" w:color="0000EE"/>
              <w:bottom w:val="single" w:sz="8" w:color="0000EE"/>
            </w:tcBorders>
            <w:gridSpan w:val="5"/>
          </w:tcPr>
          <w:p>
            <w:pPr>
              <w:ind w:left="20"/>
              <w:spacing w:after="0" w:line="196" w:lineRule="exact"/>
              <w:rPr>
                <w:rFonts w:ascii="Arial" w:cs="Arial" w:eastAsia="Arial" w:hAnsi="Arial"/>
                <w:sz w:val="18"/>
                <w:szCs w:val="18"/>
                <w:color w:val="0000EE"/>
                <w:w w:val="86"/>
              </w:rPr>
            </w:pPr>
            <w:hyperlink r:id="rId149">
              <w:r>
                <w:rPr>
                  <w:rFonts w:ascii="Arial" w:cs="Arial" w:eastAsia="Arial" w:hAnsi="Arial"/>
                  <w:sz w:val="18"/>
                  <w:szCs w:val="18"/>
                  <w:color w:val="0000EE"/>
                  <w:w w:val="86"/>
                </w:rPr>
                <w:t>Technologies Inc. and the Company.</w:t>
              </w:r>
            </w:hyperlink>
          </w:p>
        </w:tc>
        <w:tc>
          <w:tcPr>
            <w:tcW w:w="4040" w:type="dxa"/>
            <w:vAlign w:val="bottom"/>
            <w:tcBorders>
              <w:top w:val="single" w:sz="8" w:color="0000EE"/>
            </w:tcBorders>
            <w:gridSpan w:val="20"/>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31"/>
        </w:trPr>
        <w:tc>
          <w:tcPr>
            <w:tcW w:w="1000" w:type="dxa"/>
            <w:vAlign w:val="bottom"/>
          </w:tcPr>
          <w:p>
            <w:pPr>
              <w:jc w:val="right"/>
              <w:ind w:right="592"/>
              <w:spacing w:after="0"/>
              <w:rPr>
                <w:sz w:val="20"/>
                <w:szCs w:val="20"/>
                <w:color w:val="auto"/>
              </w:rPr>
            </w:pPr>
            <w:r>
              <w:rPr>
                <w:rFonts w:ascii="Arial" w:cs="Arial" w:eastAsia="Arial" w:hAnsi="Arial"/>
                <w:sz w:val="18"/>
                <w:szCs w:val="18"/>
                <w:color w:val="auto"/>
                <w:w w:val="85"/>
              </w:rPr>
              <w:t>10.4</w:t>
            </w:r>
          </w:p>
        </w:tc>
        <w:tc>
          <w:tcPr>
            <w:tcW w:w="100" w:type="dxa"/>
            <w:vAlign w:val="bottom"/>
          </w:tcPr>
          <w:p>
            <w:pPr>
              <w:spacing w:after="0"/>
              <w:rPr>
                <w:sz w:val="24"/>
                <w:szCs w:val="24"/>
                <w:color w:val="auto"/>
              </w:rPr>
            </w:pPr>
          </w:p>
        </w:tc>
        <w:tc>
          <w:tcPr>
            <w:tcW w:w="6700" w:type="dxa"/>
            <w:vAlign w:val="bottom"/>
            <w:tcBorders>
              <w:bottom w:val="single" w:sz="8" w:color="0000EE"/>
            </w:tcBorders>
            <w:gridSpan w:val="26"/>
          </w:tcPr>
          <w:p>
            <w:pPr>
              <w:ind w:left="20"/>
              <w:spacing w:after="0"/>
              <w:rPr>
                <w:rFonts w:ascii="Arial" w:cs="Arial" w:eastAsia="Arial" w:hAnsi="Arial"/>
                <w:sz w:val="18"/>
                <w:szCs w:val="18"/>
                <w:color w:val="0000EE"/>
                <w:w w:val="90"/>
              </w:rPr>
            </w:pPr>
            <w:hyperlink r:id="rId150">
              <w:r>
                <w:rPr>
                  <w:rFonts w:ascii="Arial" w:cs="Arial" w:eastAsia="Arial" w:hAnsi="Arial"/>
                  <w:sz w:val="18"/>
                  <w:szCs w:val="18"/>
                  <w:color w:val="0000EE"/>
                  <w:w w:val="90"/>
                </w:rPr>
                <w:t>First Amendment to Component Pricing Agreement, dated August 30, 2017, by and between</w:t>
              </w:r>
            </w:hyperlink>
          </w:p>
        </w:tc>
        <w:tc>
          <w:tcPr>
            <w:tcW w:w="0" w:type="dxa"/>
            <w:vAlign w:val="bottom"/>
          </w:tcPr>
          <w:p>
            <w:pPr>
              <w:spacing w:after="0"/>
              <w:rPr>
                <w:sz w:val="1"/>
                <w:szCs w:val="1"/>
                <w:color w:val="auto"/>
              </w:rPr>
            </w:pPr>
          </w:p>
        </w:tc>
      </w:tr>
      <w:tr>
        <w:trPr>
          <w:trHeight w:val="196"/>
        </w:trPr>
        <w:tc>
          <w:tcPr>
            <w:tcW w:w="10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700" w:type="dxa"/>
            <w:vAlign w:val="bottom"/>
            <w:gridSpan w:val="26"/>
          </w:tcPr>
          <w:p>
            <w:pPr>
              <w:ind w:left="20"/>
              <w:spacing w:after="0" w:line="196" w:lineRule="exact"/>
              <w:rPr>
                <w:rFonts w:ascii="Arial" w:cs="Arial" w:eastAsia="Arial" w:hAnsi="Arial"/>
                <w:sz w:val="18"/>
                <w:szCs w:val="18"/>
                <w:color w:val="0000EE"/>
              </w:rPr>
            </w:pPr>
            <w:hyperlink r:id="rId150">
              <w:r>
                <w:rPr>
                  <w:rFonts w:ascii="Arial" w:cs="Arial" w:eastAsia="Arial" w:hAnsi="Arial"/>
                  <w:sz w:val="18"/>
                  <w:szCs w:val="18"/>
                  <w:color w:val="0000EE"/>
                </w:rPr>
                <w:t>Evolve Manufacturing Technologies Inc. and the Company.</w:t>
              </w:r>
            </w:hyperlink>
          </w:p>
        </w:tc>
        <w:tc>
          <w:tcPr>
            <w:tcW w:w="0" w:type="dxa"/>
            <w:vAlign w:val="bottom"/>
          </w:tcPr>
          <w:p>
            <w:pPr>
              <w:spacing w:after="0"/>
              <w:rPr>
                <w:sz w:val="1"/>
                <w:szCs w:val="1"/>
                <w:color w:val="auto"/>
              </w:rPr>
            </w:pPr>
          </w:p>
        </w:tc>
      </w:tr>
      <w:tr>
        <w:trPr>
          <w:trHeight w:val="453"/>
        </w:trPr>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300" w:type="dxa"/>
            <w:vAlign w:val="bottom"/>
            <w:tcBorders>
              <w:top w:val="single" w:sz="8" w:color="0000EE"/>
            </w:tcBorders>
            <w:gridSpan w:val="13"/>
          </w:tcPr>
          <w:p>
            <w:pPr>
              <w:spacing w:after="0"/>
              <w:rPr>
                <w:sz w:val="24"/>
                <w:szCs w:val="24"/>
                <w:color w:val="auto"/>
              </w:rPr>
            </w:pPr>
          </w:p>
        </w:tc>
        <w:tc>
          <w:tcPr>
            <w:tcW w:w="720" w:type="dxa"/>
            <w:vAlign w:val="bottom"/>
            <w:gridSpan w:val="4"/>
          </w:tcPr>
          <w:p>
            <w:pPr>
              <w:jc w:val="right"/>
              <w:ind w:right="280"/>
              <w:spacing w:after="0"/>
              <w:rPr>
                <w:sz w:val="20"/>
                <w:szCs w:val="20"/>
                <w:color w:val="auto"/>
              </w:rPr>
            </w:pPr>
            <w:r>
              <w:rPr>
                <w:rFonts w:ascii="Arial" w:cs="Arial" w:eastAsia="Arial" w:hAnsi="Arial"/>
                <w:sz w:val="18"/>
                <w:szCs w:val="18"/>
                <w:color w:val="auto"/>
              </w:rPr>
              <w:t>103</w:t>
            </w:r>
          </w:p>
        </w:tc>
        <w:tc>
          <w:tcPr>
            <w:tcW w:w="8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55880</wp:posOffset>
            </wp:positionV>
            <wp:extent cx="7289165" cy="4254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51">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22"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1"/>
        </w:trPr>
        <w:tc>
          <w:tcPr>
            <w:tcW w:w="800" w:type="dxa"/>
            <w:vAlign w:val="bottom"/>
            <w:vMerge w:val="restart"/>
          </w:tcPr>
          <w:p>
            <w:pPr>
              <w:ind w:left="220"/>
              <w:spacing w:after="0"/>
              <w:rPr>
                <w:sz w:val="20"/>
                <w:szCs w:val="20"/>
                <w:color w:val="auto"/>
              </w:rPr>
            </w:pPr>
            <w:r>
              <w:rPr>
                <w:rFonts w:ascii="Arial" w:cs="Arial" w:eastAsia="Arial" w:hAnsi="Arial"/>
                <w:sz w:val="14"/>
                <w:szCs w:val="14"/>
                <w:b w:val="1"/>
                <w:bCs w:val="1"/>
                <w:color w:val="auto"/>
              </w:rPr>
              <w:t>Form</w:t>
            </w:r>
          </w:p>
        </w:tc>
        <w:tc>
          <w:tcPr>
            <w:tcW w:w="80" w:type="dxa"/>
            <w:vAlign w:val="bottom"/>
            <w:vMerge w:val="restart"/>
          </w:tcPr>
          <w:p>
            <w:pPr>
              <w:spacing w:after="0"/>
              <w:rPr>
                <w:sz w:val="14"/>
                <w:szCs w:val="14"/>
                <w:color w:val="auto"/>
              </w:rPr>
            </w:pPr>
          </w:p>
        </w:tc>
        <w:tc>
          <w:tcPr>
            <w:tcW w:w="920" w:type="dxa"/>
            <w:vAlign w:val="bottom"/>
            <w:vMerge w:val="restart"/>
          </w:tcPr>
          <w:p>
            <w:pPr>
              <w:jc w:val="right"/>
              <w:ind w:right="251"/>
              <w:spacing w:after="0"/>
              <w:rPr>
                <w:sz w:val="20"/>
                <w:szCs w:val="20"/>
                <w:color w:val="auto"/>
              </w:rPr>
            </w:pPr>
            <w:r>
              <w:rPr>
                <w:rFonts w:ascii="Arial" w:cs="Arial" w:eastAsia="Arial" w:hAnsi="Arial"/>
                <w:sz w:val="14"/>
                <w:szCs w:val="14"/>
                <w:b w:val="1"/>
                <w:bCs w:val="1"/>
                <w:color w:val="auto"/>
              </w:rPr>
              <w:t>Date</w:t>
            </w:r>
          </w:p>
        </w:tc>
        <w:tc>
          <w:tcPr>
            <w:tcW w:w="40" w:type="dxa"/>
            <w:vAlign w:val="bottom"/>
            <w:vMerge w:val="restart"/>
          </w:tcPr>
          <w:p>
            <w:pPr>
              <w:spacing w:after="0"/>
              <w:rPr>
                <w:sz w:val="14"/>
                <w:szCs w:val="14"/>
                <w:color w:val="auto"/>
              </w:rPr>
            </w:pPr>
          </w:p>
        </w:tc>
        <w:tc>
          <w:tcPr>
            <w:tcW w:w="940" w:type="dxa"/>
            <w:vAlign w:val="bottom"/>
            <w:vMerge w:val="restart"/>
          </w:tcPr>
          <w:p>
            <w:pPr>
              <w:jc w:val="right"/>
              <w:ind w:right="151"/>
              <w:spacing w:after="0"/>
              <w:rPr>
                <w:sz w:val="20"/>
                <w:szCs w:val="20"/>
                <w:color w:val="auto"/>
              </w:rPr>
            </w:pPr>
            <w:r>
              <w:rPr>
                <w:rFonts w:ascii="Arial" w:cs="Arial" w:eastAsia="Arial" w:hAnsi="Arial"/>
                <w:sz w:val="14"/>
                <w:szCs w:val="14"/>
                <w:b w:val="1"/>
                <w:bCs w:val="1"/>
                <w:color w:val="auto"/>
              </w:rPr>
              <w:t>Number</w:t>
            </w:r>
          </w:p>
        </w:tc>
        <w:tc>
          <w:tcPr>
            <w:tcW w:w="60" w:type="dxa"/>
            <w:vAlign w:val="bottom"/>
            <w:vMerge w:val="restart"/>
          </w:tcPr>
          <w:p>
            <w:pPr>
              <w:spacing w:after="0"/>
              <w:rPr>
                <w:sz w:val="14"/>
                <w:szCs w:val="14"/>
                <w:color w:val="auto"/>
              </w:rPr>
            </w:pPr>
          </w:p>
        </w:tc>
        <w:tc>
          <w:tcPr>
            <w:tcW w:w="760" w:type="dxa"/>
            <w:vAlign w:val="bottom"/>
          </w:tcPr>
          <w:p>
            <w:pPr>
              <w:jc w:val="center"/>
              <w:spacing w:after="0"/>
              <w:rPr>
                <w:sz w:val="20"/>
                <w:szCs w:val="20"/>
                <w:color w:val="auto"/>
              </w:rPr>
            </w:pPr>
            <w:r>
              <w:rPr>
                <w:rFonts w:ascii="Arial" w:cs="Arial" w:eastAsia="Arial" w:hAnsi="Arial"/>
                <w:sz w:val="14"/>
                <w:szCs w:val="14"/>
                <w:b w:val="1"/>
                <w:bCs w:val="1"/>
                <w:color w:val="auto"/>
                <w:w w:val="97"/>
              </w:rPr>
              <w:t>Filed</w:t>
            </w:r>
          </w:p>
        </w:tc>
        <w:tc>
          <w:tcPr>
            <w:tcW w:w="0" w:type="dxa"/>
            <w:vAlign w:val="bottom"/>
          </w:tcPr>
          <w:p>
            <w:pPr>
              <w:spacing w:after="0"/>
              <w:rPr>
                <w:sz w:val="1"/>
                <w:szCs w:val="1"/>
                <w:color w:val="auto"/>
              </w:rPr>
            </w:pPr>
          </w:p>
        </w:tc>
      </w:tr>
      <w:tr>
        <w:trPr>
          <w:trHeight w:val="171"/>
        </w:trPr>
        <w:tc>
          <w:tcPr>
            <w:tcW w:w="800" w:type="dxa"/>
            <w:vAlign w:val="bottom"/>
            <w:tcBorders>
              <w:bottom w:val="single" w:sz="8" w:color="auto"/>
            </w:tcBorders>
            <w:vMerge w:val="continue"/>
          </w:tcPr>
          <w:p>
            <w:pPr>
              <w:spacing w:after="0"/>
              <w:rPr>
                <w:sz w:val="14"/>
                <w:szCs w:val="14"/>
                <w:color w:val="auto"/>
              </w:rPr>
            </w:pPr>
          </w:p>
        </w:tc>
        <w:tc>
          <w:tcPr>
            <w:tcW w:w="80" w:type="dxa"/>
            <w:vAlign w:val="bottom"/>
            <w:vMerge w:val="continue"/>
          </w:tcPr>
          <w:p>
            <w:pPr>
              <w:spacing w:after="0"/>
              <w:rPr>
                <w:sz w:val="14"/>
                <w:szCs w:val="14"/>
                <w:color w:val="auto"/>
              </w:rPr>
            </w:pPr>
          </w:p>
        </w:tc>
        <w:tc>
          <w:tcPr>
            <w:tcW w:w="920" w:type="dxa"/>
            <w:vAlign w:val="bottom"/>
            <w:tcBorders>
              <w:bottom w:val="single" w:sz="8" w:color="auto"/>
            </w:tcBorders>
            <w:vMerge w:val="continue"/>
          </w:tcPr>
          <w:p>
            <w:pPr>
              <w:spacing w:after="0"/>
              <w:rPr>
                <w:sz w:val="14"/>
                <w:szCs w:val="14"/>
                <w:color w:val="auto"/>
              </w:rPr>
            </w:pPr>
          </w:p>
        </w:tc>
        <w:tc>
          <w:tcPr>
            <w:tcW w:w="40" w:type="dxa"/>
            <w:vAlign w:val="bottom"/>
            <w:vMerge w:val="continue"/>
          </w:tcPr>
          <w:p>
            <w:pPr>
              <w:spacing w:after="0"/>
              <w:rPr>
                <w:sz w:val="14"/>
                <w:szCs w:val="14"/>
                <w:color w:val="auto"/>
              </w:rPr>
            </w:pPr>
          </w:p>
        </w:tc>
        <w:tc>
          <w:tcPr>
            <w:tcW w:w="940" w:type="dxa"/>
            <w:vAlign w:val="bottom"/>
            <w:tcBorders>
              <w:bottom w:val="single" w:sz="8" w:color="auto"/>
            </w:tcBorders>
            <w:vMerge w:val="continue"/>
          </w:tcPr>
          <w:p>
            <w:pPr>
              <w:spacing w:after="0"/>
              <w:rPr>
                <w:sz w:val="14"/>
                <w:szCs w:val="14"/>
                <w:color w:val="auto"/>
              </w:rPr>
            </w:pPr>
          </w:p>
        </w:tc>
        <w:tc>
          <w:tcPr>
            <w:tcW w:w="60" w:type="dxa"/>
            <w:vAlign w:val="bottom"/>
            <w:vMerge w:val="continue"/>
          </w:tcPr>
          <w:p>
            <w:pPr>
              <w:spacing w:after="0"/>
              <w:rPr>
                <w:sz w:val="14"/>
                <w:szCs w:val="14"/>
                <w:color w:val="auto"/>
              </w:rPr>
            </w:pPr>
          </w:p>
        </w:tc>
        <w:tc>
          <w:tcPr>
            <w:tcW w:w="7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8"/>
              </w:rPr>
              <w:t>Herewith</w:t>
            </w:r>
          </w:p>
        </w:tc>
        <w:tc>
          <w:tcPr>
            <w:tcW w:w="0" w:type="dxa"/>
            <w:vAlign w:val="bottom"/>
          </w:tcPr>
          <w:p>
            <w:pPr>
              <w:spacing w:after="0"/>
              <w:rPr>
                <w:sz w:val="1"/>
                <w:szCs w:val="1"/>
                <w:color w:val="auto"/>
              </w:rPr>
            </w:pPr>
          </w:p>
        </w:tc>
      </w:tr>
      <w:tr>
        <w:trPr>
          <w:trHeight w:val="345"/>
        </w:trPr>
        <w:tc>
          <w:tcPr>
            <w:tcW w:w="880" w:type="dxa"/>
            <w:vAlign w:val="bottom"/>
            <w:gridSpan w:val="2"/>
          </w:tcPr>
          <w:p>
            <w:pPr>
              <w:jc w:val="right"/>
              <w:ind w:right="80"/>
              <w:spacing w:after="0"/>
              <w:rPr>
                <w:sz w:val="20"/>
                <w:szCs w:val="20"/>
                <w:color w:val="auto"/>
              </w:rPr>
            </w:pPr>
            <w:r>
              <w:rPr>
                <w:rFonts w:ascii="Arial" w:cs="Arial" w:eastAsia="Arial" w:hAnsi="Arial"/>
                <w:sz w:val="18"/>
                <w:szCs w:val="18"/>
                <w:color w:val="auto"/>
              </w:rPr>
              <w:t>8-K</w:t>
            </w:r>
          </w:p>
        </w:tc>
        <w:tc>
          <w:tcPr>
            <w:tcW w:w="920" w:type="dxa"/>
            <w:vAlign w:val="bottom"/>
          </w:tcPr>
          <w:p>
            <w:pPr>
              <w:jc w:val="right"/>
              <w:spacing w:after="0"/>
              <w:rPr>
                <w:sz w:val="20"/>
                <w:szCs w:val="20"/>
                <w:color w:val="auto"/>
              </w:rPr>
            </w:pPr>
            <w:r>
              <w:rPr>
                <w:rFonts w:ascii="Arial" w:cs="Arial" w:eastAsia="Arial" w:hAnsi="Arial"/>
                <w:sz w:val="18"/>
                <w:szCs w:val="18"/>
                <w:color w:val="auto"/>
              </w:rPr>
              <w:t>10-17-17</w:t>
            </w:r>
          </w:p>
        </w:tc>
        <w:tc>
          <w:tcPr>
            <w:tcW w:w="40" w:type="dxa"/>
            <w:vAlign w:val="bottom"/>
          </w:tcPr>
          <w:p>
            <w:pPr>
              <w:spacing w:after="0"/>
              <w:rPr>
                <w:sz w:val="24"/>
                <w:szCs w:val="24"/>
                <w:color w:val="auto"/>
              </w:rPr>
            </w:pPr>
          </w:p>
        </w:tc>
        <w:tc>
          <w:tcPr>
            <w:tcW w:w="1000" w:type="dxa"/>
            <w:vAlign w:val="bottom"/>
            <w:gridSpan w:val="2"/>
          </w:tcPr>
          <w:p>
            <w:pPr>
              <w:jc w:val="right"/>
              <w:ind w:right="60"/>
              <w:spacing w:after="0"/>
              <w:rPr>
                <w:sz w:val="20"/>
                <w:szCs w:val="20"/>
                <w:color w:val="auto"/>
              </w:rPr>
            </w:pPr>
            <w:r>
              <w:rPr>
                <w:rFonts w:ascii="Arial" w:cs="Arial" w:eastAsia="Arial" w:hAnsi="Arial"/>
                <w:sz w:val="18"/>
                <w:szCs w:val="18"/>
                <w:color w:val="auto"/>
              </w:rPr>
              <w:t>3.1</w:t>
            </w:r>
          </w:p>
        </w:tc>
        <w:tc>
          <w:tcPr>
            <w:tcW w:w="7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5"/>
        </w:trPr>
        <w:tc>
          <w:tcPr>
            <w:tcW w:w="880" w:type="dxa"/>
            <w:vAlign w:val="bottom"/>
            <w:gridSpan w:val="2"/>
          </w:tcPr>
          <w:p>
            <w:pPr>
              <w:jc w:val="right"/>
              <w:ind w:right="80"/>
              <w:spacing w:after="0"/>
              <w:rPr>
                <w:sz w:val="20"/>
                <w:szCs w:val="20"/>
                <w:color w:val="auto"/>
              </w:rPr>
            </w:pPr>
            <w:r>
              <w:rPr>
                <w:rFonts w:ascii="Arial" w:cs="Arial" w:eastAsia="Arial" w:hAnsi="Arial"/>
                <w:sz w:val="18"/>
                <w:szCs w:val="18"/>
                <w:color w:val="auto"/>
              </w:rPr>
              <w:t>8-K</w:t>
            </w:r>
          </w:p>
        </w:tc>
        <w:tc>
          <w:tcPr>
            <w:tcW w:w="920" w:type="dxa"/>
            <w:vAlign w:val="bottom"/>
          </w:tcPr>
          <w:p>
            <w:pPr>
              <w:jc w:val="right"/>
              <w:spacing w:after="0"/>
              <w:rPr>
                <w:sz w:val="20"/>
                <w:szCs w:val="20"/>
                <w:color w:val="auto"/>
              </w:rPr>
            </w:pPr>
            <w:r>
              <w:rPr>
                <w:rFonts w:ascii="Arial" w:cs="Arial" w:eastAsia="Arial" w:hAnsi="Arial"/>
                <w:sz w:val="18"/>
                <w:szCs w:val="18"/>
                <w:color w:val="auto"/>
              </w:rPr>
              <w:t>10-17-17</w:t>
            </w:r>
          </w:p>
        </w:tc>
        <w:tc>
          <w:tcPr>
            <w:tcW w:w="40" w:type="dxa"/>
            <w:vAlign w:val="bottom"/>
          </w:tcPr>
          <w:p>
            <w:pPr>
              <w:spacing w:after="0"/>
              <w:rPr>
                <w:sz w:val="24"/>
                <w:szCs w:val="24"/>
                <w:color w:val="auto"/>
              </w:rPr>
            </w:pPr>
          </w:p>
        </w:tc>
        <w:tc>
          <w:tcPr>
            <w:tcW w:w="1000" w:type="dxa"/>
            <w:vAlign w:val="bottom"/>
            <w:gridSpan w:val="2"/>
          </w:tcPr>
          <w:p>
            <w:pPr>
              <w:jc w:val="right"/>
              <w:ind w:right="60"/>
              <w:spacing w:after="0"/>
              <w:rPr>
                <w:sz w:val="20"/>
                <w:szCs w:val="20"/>
                <w:color w:val="auto"/>
              </w:rPr>
            </w:pPr>
            <w:r>
              <w:rPr>
                <w:rFonts w:ascii="Arial" w:cs="Arial" w:eastAsia="Arial" w:hAnsi="Arial"/>
                <w:sz w:val="18"/>
                <w:szCs w:val="18"/>
                <w:color w:val="auto"/>
              </w:rPr>
              <w:t>3.2</w:t>
            </w:r>
          </w:p>
        </w:tc>
        <w:tc>
          <w:tcPr>
            <w:tcW w:w="7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02"/>
        </w:trPr>
        <w:tc>
          <w:tcPr>
            <w:tcW w:w="880" w:type="dxa"/>
            <w:vAlign w:val="bottom"/>
            <w:gridSpan w:val="2"/>
          </w:tcPr>
          <w:p>
            <w:pPr>
              <w:jc w:val="right"/>
              <w:ind w:right="80"/>
              <w:spacing w:after="0"/>
              <w:rPr>
                <w:sz w:val="20"/>
                <w:szCs w:val="20"/>
                <w:color w:val="auto"/>
              </w:rPr>
            </w:pPr>
            <w:r>
              <w:rPr>
                <w:rFonts w:ascii="Arial" w:cs="Arial" w:eastAsia="Arial" w:hAnsi="Arial"/>
                <w:sz w:val="18"/>
                <w:szCs w:val="18"/>
                <w:color w:val="auto"/>
              </w:rPr>
              <w:t>S-1/A</w:t>
            </w:r>
          </w:p>
        </w:tc>
        <w:tc>
          <w:tcPr>
            <w:tcW w:w="960" w:type="dxa"/>
            <w:vAlign w:val="bottom"/>
            <w:gridSpan w:val="2"/>
          </w:tcPr>
          <w:p>
            <w:pPr>
              <w:jc w:val="right"/>
              <w:ind w:right="40"/>
              <w:spacing w:after="0"/>
              <w:rPr>
                <w:sz w:val="20"/>
                <w:szCs w:val="20"/>
                <w:color w:val="auto"/>
              </w:rPr>
            </w:pPr>
            <w:r>
              <w:rPr>
                <w:rFonts w:ascii="Arial" w:cs="Arial" w:eastAsia="Arial" w:hAnsi="Arial"/>
                <w:sz w:val="18"/>
                <w:szCs w:val="18"/>
                <w:color w:val="auto"/>
              </w:rPr>
              <w:t>9-18-17</w:t>
            </w:r>
          </w:p>
        </w:tc>
        <w:tc>
          <w:tcPr>
            <w:tcW w:w="1000" w:type="dxa"/>
            <w:vAlign w:val="bottom"/>
            <w:gridSpan w:val="2"/>
          </w:tcPr>
          <w:p>
            <w:pPr>
              <w:jc w:val="right"/>
              <w:ind w:right="60"/>
              <w:spacing w:after="0"/>
              <w:rPr>
                <w:sz w:val="20"/>
                <w:szCs w:val="20"/>
                <w:color w:val="auto"/>
              </w:rPr>
            </w:pPr>
            <w:r>
              <w:rPr>
                <w:rFonts w:ascii="Arial" w:cs="Arial" w:eastAsia="Arial" w:hAnsi="Arial"/>
                <w:sz w:val="18"/>
                <w:szCs w:val="18"/>
                <w:color w:val="auto"/>
              </w:rPr>
              <w:t>4.2</w:t>
            </w:r>
          </w:p>
        </w:tc>
        <w:tc>
          <w:tcPr>
            <w:tcW w:w="7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5"/>
        </w:trPr>
        <w:tc>
          <w:tcPr>
            <w:tcW w:w="880" w:type="dxa"/>
            <w:vAlign w:val="bottom"/>
            <w:gridSpan w:val="2"/>
          </w:tcPr>
          <w:p>
            <w:pPr>
              <w:jc w:val="right"/>
              <w:ind w:right="80"/>
              <w:spacing w:after="0"/>
              <w:rPr>
                <w:sz w:val="20"/>
                <w:szCs w:val="20"/>
                <w:color w:val="auto"/>
              </w:rPr>
            </w:pPr>
            <w:r>
              <w:rPr>
                <w:rFonts w:ascii="Arial" w:cs="Arial" w:eastAsia="Arial" w:hAnsi="Arial"/>
                <w:sz w:val="18"/>
                <w:szCs w:val="18"/>
                <w:color w:val="auto"/>
              </w:rPr>
              <w:t>S-1</w:t>
            </w:r>
          </w:p>
        </w:tc>
        <w:tc>
          <w:tcPr>
            <w:tcW w:w="920" w:type="dxa"/>
            <w:vAlign w:val="bottom"/>
          </w:tcPr>
          <w:p>
            <w:pPr>
              <w:jc w:val="right"/>
              <w:spacing w:after="0"/>
              <w:rPr>
                <w:sz w:val="20"/>
                <w:szCs w:val="20"/>
                <w:color w:val="auto"/>
              </w:rPr>
            </w:pPr>
            <w:r>
              <w:rPr>
                <w:rFonts w:ascii="Arial" w:cs="Arial" w:eastAsia="Arial" w:hAnsi="Arial"/>
                <w:sz w:val="18"/>
                <w:szCs w:val="18"/>
                <w:color w:val="auto"/>
              </w:rPr>
              <w:t>9-1-17</w:t>
            </w:r>
          </w:p>
        </w:tc>
        <w:tc>
          <w:tcPr>
            <w:tcW w:w="40" w:type="dxa"/>
            <w:vAlign w:val="bottom"/>
          </w:tcPr>
          <w:p>
            <w:pPr>
              <w:spacing w:after="0"/>
              <w:rPr>
                <w:sz w:val="24"/>
                <w:szCs w:val="24"/>
                <w:color w:val="auto"/>
              </w:rPr>
            </w:pPr>
          </w:p>
        </w:tc>
        <w:tc>
          <w:tcPr>
            <w:tcW w:w="1000" w:type="dxa"/>
            <w:vAlign w:val="bottom"/>
            <w:gridSpan w:val="2"/>
          </w:tcPr>
          <w:p>
            <w:pPr>
              <w:jc w:val="right"/>
              <w:ind w:right="60"/>
              <w:spacing w:after="0"/>
              <w:rPr>
                <w:sz w:val="20"/>
                <w:szCs w:val="20"/>
                <w:color w:val="auto"/>
              </w:rPr>
            </w:pPr>
            <w:r>
              <w:rPr>
                <w:rFonts w:ascii="Arial" w:cs="Arial" w:eastAsia="Arial" w:hAnsi="Arial"/>
                <w:sz w:val="18"/>
                <w:szCs w:val="18"/>
                <w:color w:val="auto"/>
              </w:rPr>
              <w:t>10.10</w:t>
            </w:r>
          </w:p>
        </w:tc>
        <w:tc>
          <w:tcPr>
            <w:tcW w:w="7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67"/>
        </w:trPr>
        <w:tc>
          <w:tcPr>
            <w:tcW w:w="880" w:type="dxa"/>
            <w:vAlign w:val="bottom"/>
            <w:gridSpan w:val="2"/>
          </w:tcPr>
          <w:p>
            <w:pPr>
              <w:jc w:val="right"/>
              <w:ind w:right="80"/>
              <w:spacing w:after="0"/>
              <w:rPr>
                <w:sz w:val="20"/>
                <w:szCs w:val="20"/>
                <w:color w:val="auto"/>
              </w:rPr>
            </w:pPr>
            <w:r>
              <w:rPr>
                <w:rFonts w:ascii="Arial" w:cs="Arial" w:eastAsia="Arial" w:hAnsi="Arial"/>
                <w:sz w:val="18"/>
                <w:szCs w:val="18"/>
                <w:color w:val="auto"/>
              </w:rPr>
              <w:t>S-1</w:t>
            </w:r>
          </w:p>
        </w:tc>
        <w:tc>
          <w:tcPr>
            <w:tcW w:w="920" w:type="dxa"/>
            <w:vAlign w:val="bottom"/>
          </w:tcPr>
          <w:p>
            <w:pPr>
              <w:jc w:val="right"/>
              <w:spacing w:after="0"/>
              <w:rPr>
                <w:sz w:val="20"/>
                <w:szCs w:val="20"/>
                <w:color w:val="auto"/>
              </w:rPr>
            </w:pPr>
            <w:r>
              <w:rPr>
                <w:rFonts w:ascii="Arial" w:cs="Arial" w:eastAsia="Arial" w:hAnsi="Arial"/>
                <w:sz w:val="18"/>
                <w:szCs w:val="18"/>
                <w:color w:val="auto"/>
              </w:rPr>
              <w:t>9-1-17</w:t>
            </w:r>
          </w:p>
        </w:tc>
        <w:tc>
          <w:tcPr>
            <w:tcW w:w="40" w:type="dxa"/>
            <w:vAlign w:val="bottom"/>
          </w:tcPr>
          <w:p>
            <w:pPr>
              <w:spacing w:after="0"/>
              <w:rPr>
                <w:sz w:val="24"/>
                <w:szCs w:val="24"/>
                <w:color w:val="auto"/>
              </w:rPr>
            </w:pPr>
          </w:p>
        </w:tc>
        <w:tc>
          <w:tcPr>
            <w:tcW w:w="1000" w:type="dxa"/>
            <w:vAlign w:val="bottom"/>
            <w:gridSpan w:val="2"/>
          </w:tcPr>
          <w:p>
            <w:pPr>
              <w:jc w:val="right"/>
              <w:ind w:right="60"/>
              <w:spacing w:after="0"/>
              <w:rPr>
                <w:sz w:val="20"/>
                <w:szCs w:val="20"/>
                <w:color w:val="auto"/>
              </w:rPr>
            </w:pPr>
            <w:r>
              <w:rPr>
                <w:rFonts w:ascii="Arial" w:cs="Arial" w:eastAsia="Arial" w:hAnsi="Arial"/>
                <w:sz w:val="18"/>
                <w:szCs w:val="18"/>
                <w:color w:val="auto"/>
              </w:rPr>
              <w:t>10.11</w:t>
            </w:r>
          </w:p>
        </w:tc>
        <w:tc>
          <w:tcPr>
            <w:tcW w:w="7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67"/>
        </w:trPr>
        <w:tc>
          <w:tcPr>
            <w:tcW w:w="880" w:type="dxa"/>
            <w:vAlign w:val="bottom"/>
            <w:gridSpan w:val="2"/>
          </w:tcPr>
          <w:p>
            <w:pPr>
              <w:jc w:val="right"/>
              <w:ind w:right="80"/>
              <w:spacing w:after="0"/>
              <w:rPr>
                <w:sz w:val="20"/>
                <w:szCs w:val="20"/>
                <w:color w:val="auto"/>
              </w:rPr>
            </w:pPr>
            <w:r>
              <w:rPr>
                <w:rFonts w:ascii="Arial" w:cs="Arial" w:eastAsia="Arial" w:hAnsi="Arial"/>
                <w:sz w:val="18"/>
                <w:szCs w:val="18"/>
                <w:color w:val="auto"/>
              </w:rPr>
              <w:t>S-1</w:t>
            </w:r>
          </w:p>
        </w:tc>
        <w:tc>
          <w:tcPr>
            <w:tcW w:w="920" w:type="dxa"/>
            <w:vAlign w:val="bottom"/>
          </w:tcPr>
          <w:p>
            <w:pPr>
              <w:jc w:val="right"/>
              <w:spacing w:after="0"/>
              <w:rPr>
                <w:sz w:val="20"/>
                <w:szCs w:val="20"/>
                <w:color w:val="auto"/>
              </w:rPr>
            </w:pPr>
            <w:r>
              <w:rPr>
                <w:rFonts w:ascii="Arial" w:cs="Arial" w:eastAsia="Arial" w:hAnsi="Arial"/>
                <w:sz w:val="18"/>
                <w:szCs w:val="18"/>
                <w:color w:val="auto"/>
              </w:rPr>
              <w:t>9-1-17</w:t>
            </w:r>
          </w:p>
        </w:tc>
        <w:tc>
          <w:tcPr>
            <w:tcW w:w="40" w:type="dxa"/>
            <w:vAlign w:val="bottom"/>
          </w:tcPr>
          <w:p>
            <w:pPr>
              <w:spacing w:after="0"/>
              <w:rPr>
                <w:sz w:val="24"/>
                <w:szCs w:val="24"/>
                <w:color w:val="auto"/>
              </w:rPr>
            </w:pPr>
          </w:p>
        </w:tc>
        <w:tc>
          <w:tcPr>
            <w:tcW w:w="1000" w:type="dxa"/>
            <w:vAlign w:val="bottom"/>
            <w:gridSpan w:val="2"/>
          </w:tcPr>
          <w:p>
            <w:pPr>
              <w:jc w:val="right"/>
              <w:ind w:right="60"/>
              <w:spacing w:after="0"/>
              <w:rPr>
                <w:sz w:val="20"/>
                <w:szCs w:val="20"/>
                <w:color w:val="auto"/>
              </w:rPr>
            </w:pPr>
            <w:r>
              <w:rPr>
                <w:rFonts w:ascii="Arial" w:cs="Arial" w:eastAsia="Arial" w:hAnsi="Arial"/>
                <w:sz w:val="18"/>
                <w:szCs w:val="18"/>
                <w:color w:val="auto"/>
              </w:rPr>
              <w:t>10.12</w:t>
            </w:r>
          </w:p>
        </w:tc>
        <w:tc>
          <w:tcPr>
            <w:tcW w:w="7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67"/>
        </w:trPr>
        <w:tc>
          <w:tcPr>
            <w:tcW w:w="880" w:type="dxa"/>
            <w:vAlign w:val="bottom"/>
            <w:gridSpan w:val="2"/>
          </w:tcPr>
          <w:p>
            <w:pPr>
              <w:jc w:val="right"/>
              <w:ind w:right="80"/>
              <w:spacing w:after="0"/>
              <w:rPr>
                <w:sz w:val="20"/>
                <w:szCs w:val="20"/>
                <w:color w:val="auto"/>
              </w:rPr>
            </w:pPr>
            <w:r>
              <w:rPr>
                <w:rFonts w:ascii="Arial" w:cs="Arial" w:eastAsia="Arial" w:hAnsi="Arial"/>
                <w:sz w:val="18"/>
                <w:szCs w:val="18"/>
                <w:color w:val="auto"/>
              </w:rPr>
              <w:t>S-1</w:t>
            </w:r>
          </w:p>
        </w:tc>
        <w:tc>
          <w:tcPr>
            <w:tcW w:w="920" w:type="dxa"/>
            <w:vAlign w:val="bottom"/>
          </w:tcPr>
          <w:p>
            <w:pPr>
              <w:jc w:val="right"/>
              <w:spacing w:after="0"/>
              <w:rPr>
                <w:sz w:val="20"/>
                <w:szCs w:val="20"/>
                <w:color w:val="auto"/>
              </w:rPr>
            </w:pPr>
            <w:r>
              <w:rPr>
                <w:rFonts w:ascii="Arial" w:cs="Arial" w:eastAsia="Arial" w:hAnsi="Arial"/>
                <w:sz w:val="18"/>
                <w:szCs w:val="18"/>
                <w:color w:val="auto"/>
              </w:rPr>
              <w:t>9-1-17</w:t>
            </w:r>
          </w:p>
        </w:tc>
        <w:tc>
          <w:tcPr>
            <w:tcW w:w="40" w:type="dxa"/>
            <w:vAlign w:val="bottom"/>
          </w:tcPr>
          <w:p>
            <w:pPr>
              <w:spacing w:after="0"/>
              <w:rPr>
                <w:sz w:val="24"/>
                <w:szCs w:val="24"/>
                <w:color w:val="auto"/>
              </w:rPr>
            </w:pPr>
          </w:p>
        </w:tc>
        <w:tc>
          <w:tcPr>
            <w:tcW w:w="1000" w:type="dxa"/>
            <w:vAlign w:val="bottom"/>
            <w:gridSpan w:val="2"/>
          </w:tcPr>
          <w:p>
            <w:pPr>
              <w:jc w:val="right"/>
              <w:ind w:right="60"/>
              <w:spacing w:after="0"/>
              <w:rPr>
                <w:sz w:val="20"/>
                <w:szCs w:val="20"/>
                <w:color w:val="auto"/>
              </w:rPr>
            </w:pPr>
            <w:r>
              <w:rPr>
                <w:rFonts w:ascii="Arial" w:cs="Arial" w:eastAsia="Arial" w:hAnsi="Arial"/>
                <w:sz w:val="18"/>
                <w:szCs w:val="18"/>
                <w:color w:val="auto"/>
              </w:rPr>
              <w:t>10.13</w:t>
            </w:r>
          </w:p>
        </w:tc>
        <w:tc>
          <w:tcPr>
            <w:tcW w:w="7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67"/>
        </w:trPr>
        <w:tc>
          <w:tcPr>
            <w:tcW w:w="880" w:type="dxa"/>
            <w:vAlign w:val="bottom"/>
            <w:gridSpan w:val="2"/>
          </w:tcPr>
          <w:p>
            <w:pPr>
              <w:jc w:val="right"/>
              <w:ind w:right="80"/>
              <w:spacing w:after="0"/>
              <w:rPr>
                <w:sz w:val="20"/>
                <w:szCs w:val="20"/>
                <w:color w:val="auto"/>
              </w:rPr>
            </w:pPr>
            <w:r>
              <w:rPr>
                <w:rFonts w:ascii="Arial" w:cs="Arial" w:eastAsia="Arial" w:hAnsi="Arial"/>
                <w:sz w:val="18"/>
                <w:szCs w:val="18"/>
                <w:color w:val="auto"/>
              </w:rPr>
              <w:t>S-1</w:t>
            </w:r>
          </w:p>
        </w:tc>
        <w:tc>
          <w:tcPr>
            <w:tcW w:w="920" w:type="dxa"/>
            <w:vAlign w:val="bottom"/>
          </w:tcPr>
          <w:p>
            <w:pPr>
              <w:jc w:val="right"/>
              <w:spacing w:after="0"/>
              <w:rPr>
                <w:sz w:val="20"/>
                <w:szCs w:val="20"/>
                <w:color w:val="auto"/>
              </w:rPr>
            </w:pPr>
            <w:r>
              <w:rPr>
                <w:rFonts w:ascii="Arial" w:cs="Arial" w:eastAsia="Arial" w:hAnsi="Arial"/>
                <w:sz w:val="18"/>
                <w:szCs w:val="18"/>
                <w:color w:val="auto"/>
              </w:rPr>
              <w:t>9-1-17</w:t>
            </w:r>
          </w:p>
        </w:tc>
        <w:tc>
          <w:tcPr>
            <w:tcW w:w="40" w:type="dxa"/>
            <w:vAlign w:val="bottom"/>
          </w:tcPr>
          <w:p>
            <w:pPr>
              <w:spacing w:after="0"/>
              <w:rPr>
                <w:sz w:val="24"/>
                <w:szCs w:val="24"/>
                <w:color w:val="auto"/>
              </w:rPr>
            </w:pPr>
          </w:p>
        </w:tc>
        <w:tc>
          <w:tcPr>
            <w:tcW w:w="1000" w:type="dxa"/>
            <w:vAlign w:val="bottom"/>
            <w:gridSpan w:val="2"/>
          </w:tcPr>
          <w:p>
            <w:pPr>
              <w:jc w:val="right"/>
              <w:ind w:right="60"/>
              <w:spacing w:after="0"/>
              <w:rPr>
                <w:sz w:val="20"/>
                <w:szCs w:val="20"/>
                <w:color w:val="auto"/>
              </w:rPr>
            </w:pPr>
            <w:r>
              <w:rPr>
                <w:rFonts w:ascii="Arial" w:cs="Arial" w:eastAsia="Arial" w:hAnsi="Arial"/>
                <w:sz w:val="18"/>
                <w:szCs w:val="18"/>
                <w:color w:val="auto"/>
              </w:rPr>
              <w:t>10.14</w:t>
            </w:r>
          </w:p>
        </w:tc>
        <w:tc>
          <w:tcPr>
            <w:tcW w:w="7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67"/>
        </w:trPr>
        <w:tc>
          <w:tcPr>
            <w:tcW w:w="880" w:type="dxa"/>
            <w:vAlign w:val="bottom"/>
            <w:gridSpan w:val="2"/>
          </w:tcPr>
          <w:p>
            <w:pPr>
              <w:jc w:val="right"/>
              <w:ind w:right="80"/>
              <w:spacing w:after="0"/>
              <w:rPr>
                <w:sz w:val="20"/>
                <w:szCs w:val="20"/>
                <w:color w:val="auto"/>
              </w:rPr>
            </w:pPr>
            <w:r>
              <w:rPr>
                <w:rFonts w:ascii="Arial" w:cs="Arial" w:eastAsia="Arial" w:hAnsi="Arial"/>
                <w:sz w:val="18"/>
                <w:szCs w:val="18"/>
                <w:color w:val="auto"/>
              </w:rPr>
              <w:t>S-1</w:t>
            </w:r>
          </w:p>
        </w:tc>
        <w:tc>
          <w:tcPr>
            <w:tcW w:w="920" w:type="dxa"/>
            <w:vAlign w:val="bottom"/>
          </w:tcPr>
          <w:p>
            <w:pPr>
              <w:jc w:val="right"/>
              <w:spacing w:after="0"/>
              <w:rPr>
                <w:sz w:val="20"/>
                <w:szCs w:val="20"/>
                <w:color w:val="auto"/>
              </w:rPr>
            </w:pPr>
            <w:r>
              <w:rPr>
                <w:rFonts w:ascii="Arial" w:cs="Arial" w:eastAsia="Arial" w:hAnsi="Arial"/>
                <w:sz w:val="18"/>
                <w:szCs w:val="18"/>
                <w:color w:val="auto"/>
              </w:rPr>
              <w:t>9-1-17</w:t>
            </w:r>
          </w:p>
        </w:tc>
        <w:tc>
          <w:tcPr>
            <w:tcW w:w="40" w:type="dxa"/>
            <w:vAlign w:val="bottom"/>
          </w:tcPr>
          <w:p>
            <w:pPr>
              <w:spacing w:after="0"/>
              <w:rPr>
                <w:sz w:val="24"/>
                <w:szCs w:val="24"/>
                <w:color w:val="auto"/>
              </w:rPr>
            </w:pPr>
          </w:p>
        </w:tc>
        <w:tc>
          <w:tcPr>
            <w:tcW w:w="1000" w:type="dxa"/>
            <w:vAlign w:val="bottom"/>
            <w:gridSpan w:val="2"/>
          </w:tcPr>
          <w:p>
            <w:pPr>
              <w:jc w:val="right"/>
              <w:ind w:right="60"/>
              <w:spacing w:after="0"/>
              <w:rPr>
                <w:sz w:val="20"/>
                <w:szCs w:val="20"/>
                <w:color w:val="auto"/>
              </w:rPr>
            </w:pPr>
            <w:r>
              <w:rPr>
                <w:rFonts w:ascii="Arial" w:cs="Arial" w:eastAsia="Arial" w:hAnsi="Arial"/>
                <w:sz w:val="18"/>
                <w:szCs w:val="18"/>
                <w:color w:val="auto"/>
              </w:rPr>
              <w:t>10.15</w:t>
            </w:r>
          </w:p>
        </w:tc>
        <w:tc>
          <w:tcPr>
            <w:tcW w:w="7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67"/>
        </w:trPr>
        <w:tc>
          <w:tcPr>
            <w:tcW w:w="880" w:type="dxa"/>
            <w:vAlign w:val="bottom"/>
            <w:gridSpan w:val="2"/>
          </w:tcPr>
          <w:p>
            <w:pPr>
              <w:jc w:val="right"/>
              <w:ind w:right="80"/>
              <w:spacing w:after="0"/>
              <w:rPr>
                <w:sz w:val="20"/>
                <w:szCs w:val="20"/>
                <w:color w:val="auto"/>
              </w:rPr>
            </w:pPr>
            <w:r>
              <w:rPr>
                <w:rFonts w:ascii="Arial" w:cs="Arial" w:eastAsia="Arial" w:hAnsi="Arial"/>
                <w:sz w:val="18"/>
                <w:szCs w:val="18"/>
                <w:color w:val="auto"/>
              </w:rPr>
              <w:t>S-1</w:t>
            </w:r>
          </w:p>
        </w:tc>
        <w:tc>
          <w:tcPr>
            <w:tcW w:w="920" w:type="dxa"/>
            <w:vAlign w:val="bottom"/>
          </w:tcPr>
          <w:p>
            <w:pPr>
              <w:jc w:val="right"/>
              <w:spacing w:after="0"/>
              <w:rPr>
                <w:sz w:val="20"/>
                <w:szCs w:val="20"/>
                <w:color w:val="auto"/>
              </w:rPr>
            </w:pPr>
            <w:r>
              <w:rPr>
                <w:rFonts w:ascii="Arial" w:cs="Arial" w:eastAsia="Arial" w:hAnsi="Arial"/>
                <w:sz w:val="18"/>
                <w:szCs w:val="18"/>
                <w:color w:val="auto"/>
              </w:rPr>
              <w:t>9-1-17</w:t>
            </w:r>
          </w:p>
        </w:tc>
        <w:tc>
          <w:tcPr>
            <w:tcW w:w="40" w:type="dxa"/>
            <w:vAlign w:val="bottom"/>
          </w:tcPr>
          <w:p>
            <w:pPr>
              <w:spacing w:after="0"/>
              <w:rPr>
                <w:sz w:val="24"/>
                <w:szCs w:val="24"/>
                <w:color w:val="auto"/>
              </w:rPr>
            </w:pPr>
          </w:p>
        </w:tc>
        <w:tc>
          <w:tcPr>
            <w:tcW w:w="1000" w:type="dxa"/>
            <w:vAlign w:val="bottom"/>
            <w:gridSpan w:val="2"/>
          </w:tcPr>
          <w:p>
            <w:pPr>
              <w:jc w:val="right"/>
              <w:ind w:right="60"/>
              <w:spacing w:after="0"/>
              <w:rPr>
                <w:sz w:val="20"/>
                <w:szCs w:val="20"/>
                <w:color w:val="auto"/>
              </w:rPr>
            </w:pPr>
            <w:r>
              <w:rPr>
                <w:rFonts w:ascii="Arial" w:cs="Arial" w:eastAsia="Arial" w:hAnsi="Arial"/>
                <w:sz w:val="18"/>
                <w:szCs w:val="18"/>
                <w:color w:val="auto"/>
              </w:rPr>
              <w:t>10.16</w:t>
            </w:r>
          </w:p>
        </w:tc>
        <w:tc>
          <w:tcPr>
            <w:tcW w:w="7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67"/>
        </w:trPr>
        <w:tc>
          <w:tcPr>
            <w:tcW w:w="880" w:type="dxa"/>
            <w:vAlign w:val="bottom"/>
            <w:gridSpan w:val="2"/>
          </w:tcPr>
          <w:p>
            <w:pPr>
              <w:jc w:val="right"/>
              <w:ind w:right="80"/>
              <w:spacing w:after="0"/>
              <w:rPr>
                <w:sz w:val="20"/>
                <w:szCs w:val="20"/>
                <w:color w:val="auto"/>
              </w:rPr>
            </w:pPr>
            <w:r>
              <w:rPr>
                <w:rFonts w:ascii="Arial" w:cs="Arial" w:eastAsia="Arial" w:hAnsi="Arial"/>
                <w:sz w:val="18"/>
                <w:szCs w:val="18"/>
                <w:color w:val="auto"/>
              </w:rPr>
              <w:t>S-1</w:t>
            </w:r>
          </w:p>
        </w:tc>
        <w:tc>
          <w:tcPr>
            <w:tcW w:w="920" w:type="dxa"/>
            <w:vAlign w:val="bottom"/>
          </w:tcPr>
          <w:p>
            <w:pPr>
              <w:jc w:val="right"/>
              <w:spacing w:after="0"/>
              <w:rPr>
                <w:sz w:val="20"/>
                <w:szCs w:val="20"/>
                <w:color w:val="auto"/>
              </w:rPr>
            </w:pPr>
            <w:r>
              <w:rPr>
                <w:rFonts w:ascii="Arial" w:cs="Arial" w:eastAsia="Arial" w:hAnsi="Arial"/>
                <w:sz w:val="18"/>
                <w:szCs w:val="18"/>
                <w:color w:val="auto"/>
              </w:rPr>
              <w:t>9-1-17</w:t>
            </w:r>
          </w:p>
        </w:tc>
        <w:tc>
          <w:tcPr>
            <w:tcW w:w="40" w:type="dxa"/>
            <w:vAlign w:val="bottom"/>
          </w:tcPr>
          <w:p>
            <w:pPr>
              <w:spacing w:after="0"/>
              <w:rPr>
                <w:sz w:val="24"/>
                <w:szCs w:val="24"/>
                <w:color w:val="auto"/>
              </w:rPr>
            </w:pPr>
          </w:p>
        </w:tc>
        <w:tc>
          <w:tcPr>
            <w:tcW w:w="1000" w:type="dxa"/>
            <w:vAlign w:val="bottom"/>
            <w:gridSpan w:val="2"/>
          </w:tcPr>
          <w:p>
            <w:pPr>
              <w:jc w:val="right"/>
              <w:ind w:right="60"/>
              <w:spacing w:after="0"/>
              <w:rPr>
                <w:sz w:val="20"/>
                <w:szCs w:val="20"/>
                <w:color w:val="auto"/>
              </w:rPr>
            </w:pPr>
            <w:r>
              <w:rPr>
                <w:rFonts w:ascii="Arial" w:cs="Arial" w:eastAsia="Arial" w:hAnsi="Arial"/>
                <w:sz w:val="18"/>
                <w:szCs w:val="18"/>
                <w:color w:val="auto"/>
              </w:rPr>
              <w:t>10.17</w:t>
            </w:r>
          </w:p>
        </w:tc>
        <w:tc>
          <w:tcPr>
            <w:tcW w:w="7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67"/>
        </w:trPr>
        <w:tc>
          <w:tcPr>
            <w:tcW w:w="880" w:type="dxa"/>
            <w:vAlign w:val="bottom"/>
            <w:gridSpan w:val="2"/>
          </w:tcPr>
          <w:p>
            <w:pPr>
              <w:jc w:val="right"/>
              <w:ind w:right="80"/>
              <w:spacing w:after="0"/>
              <w:rPr>
                <w:sz w:val="20"/>
                <w:szCs w:val="20"/>
                <w:color w:val="auto"/>
              </w:rPr>
            </w:pPr>
            <w:r>
              <w:rPr>
                <w:rFonts w:ascii="Arial" w:cs="Arial" w:eastAsia="Arial" w:hAnsi="Arial"/>
                <w:sz w:val="18"/>
                <w:szCs w:val="18"/>
                <w:color w:val="auto"/>
              </w:rPr>
              <w:t>S-1</w:t>
            </w:r>
          </w:p>
        </w:tc>
        <w:tc>
          <w:tcPr>
            <w:tcW w:w="920" w:type="dxa"/>
            <w:vAlign w:val="bottom"/>
          </w:tcPr>
          <w:p>
            <w:pPr>
              <w:jc w:val="right"/>
              <w:spacing w:after="0"/>
              <w:rPr>
                <w:sz w:val="20"/>
                <w:szCs w:val="20"/>
                <w:color w:val="auto"/>
              </w:rPr>
            </w:pPr>
            <w:r>
              <w:rPr>
                <w:rFonts w:ascii="Arial" w:cs="Arial" w:eastAsia="Arial" w:hAnsi="Arial"/>
                <w:sz w:val="18"/>
                <w:szCs w:val="18"/>
                <w:color w:val="auto"/>
              </w:rPr>
              <w:t>9-1-17</w:t>
            </w:r>
          </w:p>
        </w:tc>
        <w:tc>
          <w:tcPr>
            <w:tcW w:w="40" w:type="dxa"/>
            <w:vAlign w:val="bottom"/>
          </w:tcPr>
          <w:p>
            <w:pPr>
              <w:spacing w:after="0"/>
              <w:rPr>
                <w:sz w:val="24"/>
                <w:szCs w:val="24"/>
                <w:color w:val="auto"/>
              </w:rPr>
            </w:pPr>
          </w:p>
        </w:tc>
        <w:tc>
          <w:tcPr>
            <w:tcW w:w="1000" w:type="dxa"/>
            <w:vAlign w:val="bottom"/>
            <w:gridSpan w:val="2"/>
          </w:tcPr>
          <w:p>
            <w:pPr>
              <w:jc w:val="right"/>
              <w:ind w:right="60"/>
              <w:spacing w:after="0"/>
              <w:rPr>
                <w:sz w:val="20"/>
                <w:szCs w:val="20"/>
                <w:color w:val="auto"/>
              </w:rPr>
            </w:pPr>
            <w:r>
              <w:rPr>
                <w:rFonts w:ascii="Arial" w:cs="Arial" w:eastAsia="Arial" w:hAnsi="Arial"/>
                <w:sz w:val="18"/>
                <w:szCs w:val="18"/>
                <w:color w:val="auto"/>
              </w:rPr>
              <w:t>10.18</w:t>
            </w:r>
          </w:p>
        </w:tc>
        <w:tc>
          <w:tcPr>
            <w:tcW w:w="7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67"/>
        </w:trPr>
        <w:tc>
          <w:tcPr>
            <w:tcW w:w="880" w:type="dxa"/>
            <w:vAlign w:val="bottom"/>
            <w:gridSpan w:val="2"/>
          </w:tcPr>
          <w:p>
            <w:pPr>
              <w:jc w:val="right"/>
              <w:ind w:right="80"/>
              <w:spacing w:after="0"/>
              <w:rPr>
                <w:sz w:val="20"/>
                <w:szCs w:val="20"/>
                <w:color w:val="auto"/>
              </w:rPr>
            </w:pPr>
            <w:r>
              <w:rPr>
                <w:rFonts w:ascii="Arial" w:cs="Arial" w:eastAsia="Arial" w:hAnsi="Arial"/>
                <w:sz w:val="18"/>
                <w:szCs w:val="18"/>
                <w:color w:val="auto"/>
              </w:rPr>
              <w:t>S-1</w:t>
            </w:r>
          </w:p>
        </w:tc>
        <w:tc>
          <w:tcPr>
            <w:tcW w:w="920" w:type="dxa"/>
            <w:vAlign w:val="bottom"/>
          </w:tcPr>
          <w:p>
            <w:pPr>
              <w:jc w:val="right"/>
              <w:spacing w:after="0"/>
              <w:rPr>
                <w:sz w:val="20"/>
                <w:szCs w:val="20"/>
                <w:color w:val="auto"/>
              </w:rPr>
            </w:pPr>
            <w:r>
              <w:rPr>
                <w:rFonts w:ascii="Arial" w:cs="Arial" w:eastAsia="Arial" w:hAnsi="Arial"/>
                <w:sz w:val="18"/>
                <w:szCs w:val="18"/>
                <w:color w:val="auto"/>
              </w:rPr>
              <w:t>9-1-17</w:t>
            </w:r>
          </w:p>
        </w:tc>
        <w:tc>
          <w:tcPr>
            <w:tcW w:w="40" w:type="dxa"/>
            <w:vAlign w:val="bottom"/>
          </w:tcPr>
          <w:p>
            <w:pPr>
              <w:spacing w:after="0"/>
              <w:rPr>
                <w:sz w:val="24"/>
                <w:szCs w:val="24"/>
                <w:color w:val="auto"/>
              </w:rPr>
            </w:pPr>
          </w:p>
        </w:tc>
        <w:tc>
          <w:tcPr>
            <w:tcW w:w="1000" w:type="dxa"/>
            <w:vAlign w:val="bottom"/>
            <w:gridSpan w:val="2"/>
          </w:tcPr>
          <w:p>
            <w:pPr>
              <w:jc w:val="right"/>
              <w:ind w:right="60"/>
              <w:spacing w:after="0"/>
              <w:rPr>
                <w:sz w:val="20"/>
                <w:szCs w:val="20"/>
                <w:color w:val="auto"/>
              </w:rPr>
            </w:pPr>
            <w:r>
              <w:rPr>
                <w:rFonts w:ascii="Arial" w:cs="Arial" w:eastAsia="Arial" w:hAnsi="Arial"/>
                <w:sz w:val="18"/>
                <w:szCs w:val="18"/>
                <w:color w:val="auto"/>
              </w:rPr>
              <w:t>10.1</w:t>
            </w:r>
          </w:p>
        </w:tc>
        <w:tc>
          <w:tcPr>
            <w:tcW w:w="7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67"/>
        </w:trPr>
        <w:tc>
          <w:tcPr>
            <w:tcW w:w="880" w:type="dxa"/>
            <w:vAlign w:val="bottom"/>
            <w:gridSpan w:val="2"/>
          </w:tcPr>
          <w:p>
            <w:pPr>
              <w:jc w:val="right"/>
              <w:ind w:right="80"/>
              <w:spacing w:after="0"/>
              <w:rPr>
                <w:sz w:val="20"/>
                <w:szCs w:val="20"/>
                <w:color w:val="auto"/>
              </w:rPr>
            </w:pPr>
            <w:r>
              <w:rPr>
                <w:rFonts w:ascii="Arial" w:cs="Arial" w:eastAsia="Arial" w:hAnsi="Arial"/>
                <w:sz w:val="18"/>
                <w:szCs w:val="18"/>
                <w:color w:val="auto"/>
              </w:rPr>
              <w:t>S-1</w:t>
            </w:r>
          </w:p>
        </w:tc>
        <w:tc>
          <w:tcPr>
            <w:tcW w:w="920" w:type="dxa"/>
            <w:vAlign w:val="bottom"/>
          </w:tcPr>
          <w:p>
            <w:pPr>
              <w:jc w:val="right"/>
              <w:spacing w:after="0"/>
              <w:rPr>
                <w:sz w:val="20"/>
                <w:szCs w:val="20"/>
                <w:color w:val="auto"/>
              </w:rPr>
            </w:pPr>
            <w:r>
              <w:rPr>
                <w:rFonts w:ascii="Arial" w:cs="Arial" w:eastAsia="Arial" w:hAnsi="Arial"/>
                <w:sz w:val="18"/>
                <w:szCs w:val="18"/>
                <w:color w:val="auto"/>
              </w:rPr>
              <w:t>9-1-17</w:t>
            </w:r>
          </w:p>
        </w:tc>
        <w:tc>
          <w:tcPr>
            <w:tcW w:w="40" w:type="dxa"/>
            <w:vAlign w:val="bottom"/>
          </w:tcPr>
          <w:p>
            <w:pPr>
              <w:spacing w:after="0"/>
              <w:rPr>
                <w:sz w:val="24"/>
                <w:szCs w:val="24"/>
                <w:color w:val="auto"/>
              </w:rPr>
            </w:pPr>
          </w:p>
        </w:tc>
        <w:tc>
          <w:tcPr>
            <w:tcW w:w="1000" w:type="dxa"/>
            <w:vAlign w:val="bottom"/>
            <w:gridSpan w:val="2"/>
          </w:tcPr>
          <w:p>
            <w:pPr>
              <w:jc w:val="right"/>
              <w:ind w:right="60"/>
              <w:spacing w:after="0"/>
              <w:rPr>
                <w:sz w:val="20"/>
                <w:szCs w:val="20"/>
                <w:color w:val="auto"/>
              </w:rPr>
            </w:pPr>
            <w:r>
              <w:rPr>
                <w:rFonts w:ascii="Arial" w:cs="Arial" w:eastAsia="Arial" w:hAnsi="Arial"/>
                <w:sz w:val="18"/>
                <w:szCs w:val="18"/>
                <w:color w:val="auto"/>
              </w:rPr>
              <w:t>10.2</w:t>
            </w:r>
          </w:p>
        </w:tc>
        <w:tc>
          <w:tcPr>
            <w:tcW w:w="7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67"/>
        </w:trPr>
        <w:tc>
          <w:tcPr>
            <w:tcW w:w="880" w:type="dxa"/>
            <w:vAlign w:val="bottom"/>
            <w:gridSpan w:val="2"/>
          </w:tcPr>
          <w:p>
            <w:pPr>
              <w:jc w:val="right"/>
              <w:ind w:right="80"/>
              <w:spacing w:after="0"/>
              <w:rPr>
                <w:sz w:val="20"/>
                <w:szCs w:val="20"/>
                <w:color w:val="auto"/>
              </w:rPr>
            </w:pPr>
            <w:r>
              <w:rPr>
                <w:rFonts w:ascii="Arial" w:cs="Arial" w:eastAsia="Arial" w:hAnsi="Arial"/>
                <w:sz w:val="18"/>
                <w:szCs w:val="18"/>
                <w:color w:val="auto"/>
              </w:rPr>
              <w:t>S-1</w:t>
            </w:r>
          </w:p>
        </w:tc>
        <w:tc>
          <w:tcPr>
            <w:tcW w:w="920" w:type="dxa"/>
            <w:vAlign w:val="bottom"/>
          </w:tcPr>
          <w:p>
            <w:pPr>
              <w:jc w:val="right"/>
              <w:spacing w:after="0"/>
              <w:rPr>
                <w:sz w:val="20"/>
                <w:szCs w:val="20"/>
                <w:color w:val="auto"/>
              </w:rPr>
            </w:pPr>
            <w:r>
              <w:rPr>
                <w:rFonts w:ascii="Arial" w:cs="Arial" w:eastAsia="Arial" w:hAnsi="Arial"/>
                <w:sz w:val="18"/>
                <w:szCs w:val="18"/>
                <w:color w:val="auto"/>
              </w:rPr>
              <w:t>9-1-17</w:t>
            </w:r>
          </w:p>
        </w:tc>
        <w:tc>
          <w:tcPr>
            <w:tcW w:w="40" w:type="dxa"/>
            <w:vAlign w:val="bottom"/>
          </w:tcPr>
          <w:p>
            <w:pPr>
              <w:spacing w:after="0"/>
              <w:rPr>
                <w:sz w:val="24"/>
                <w:szCs w:val="24"/>
                <w:color w:val="auto"/>
              </w:rPr>
            </w:pPr>
          </w:p>
        </w:tc>
        <w:tc>
          <w:tcPr>
            <w:tcW w:w="1000" w:type="dxa"/>
            <w:vAlign w:val="bottom"/>
            <w:gridSpan w:val="2"/>
          </w:tcPr>
          <w:p>
            <w:pPr>
              <w:jc w:val="right"/>
              <w:ind w:right="60"/>
              <w:spacing w:after="0"/>
              <w:rPr>
                <w:sz w:val="20"/>
                <w:szCs w:val="20"/>
                <w:color w:val="auto"/>
              </w:rPr>
            </w:pPr>
            <w:r>
              <w:rPr>
                <w:rFonts w:ascii="Arial" w:cs="Arial" w:eastAsia="Arial" w:hAnsi="Arial"/>
                <w:sz w:val="18"/>
                <w:szCs w:val="18"/>
                <w:color w:val="auto"/>
              </w:rPr>
              <w:t>10.3</w:t>
            </w:r>
          </w:p>
        </w:tc>
        <w:tc>
          <w:tcPr>
            <w:tcW w:w="7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67"/>
        </w:trPr>
        <w:tc>
          <w:tcPr>
            <w:tcW w:w="880" w:type="dxa"/>
            <w:vAlign w:val="bottom"/>
            <w:gridSpan w:val="2"/>
          </w:tcPr>
          <w:p>
            <w:pPr>
              <w:jc w:val="right"/>
              <w:ind w:right="80"/>
              <w:spacing w:after="0"/>
              <w:rPr>
                <w:sz w:val="20"/>
                <w:szCs w:val="20"/>
                <w:color w:val="auto"/>
              </w:rPr>
            </w:pPr>
            <w:r>
              <w:rPr>
                <w:rFonts w:ascii="Arial" w:cs="Arial" w:eastAsia="Arial" w:hAnsi="Arial"/>
                <w:sz w:val="18"/>
                <w:szCs w:val="18"/>
                <w:color w:val="auto"/>
              </w:rPr>
              <w:t>S-1</w:t>
            </w:r>
          </w:p>
        </w:tc>
        <w:tc>
          <w:tcPr>
            <w:tcW w:w="920" w:type="dxa"/>
            <w:vAlign w:val="bottom"/>
          </w:tcPr>
          <w:p>
            <w:pPr>
              <w:jc w:val="right"/>
              <w:spacing w:after="0"/>
              <w:rPr>
                <w:sz w:val="20"/>
                <w:szCs w:val="20"/>
                <w:color w:val="auto"/>
              </w:rPr>
            </w:pPr>
            <w:r>
              <w:rPr>
                <w:rFonts w:ascii="Arial" w:cs="Arial" w:eastAsia="Arial" w:hAnsi="Arial"/>
                <w:sz w:val="18"/>
                <w:szCs w:val="18"/>
                <w:color w:val="auto"/>
              </w:rPr>
              <w:t>9-1-17</w:t>
            </w:r>
          </w:p>
        </w:tc>
        <w:tc>
          <w:tcPr>
            <w:tcW w:w="40" w:type="dxa"/>
            <w:vAlign w:val="bottom"/>
          </w:tcPr>
          <w:p>
            <w:pPr>
              <w:spacing w:after="0"/>
              <w:rPr>
                <w:sz w:val="24"/>
                <w:szCs w:val="24"/>
                <w:color w:val="auto"/>
              </w:rPr>
            </w:pPr>
          </w:p>
        </w:tc>
        <w:tc>
          <w:tcPr>
            <w:tcW w:w="1000" w:type="dxa"/>
            <w:vAlign w:val="bottom"/>
            <w:gridSpan w:val="2"/>
          </w:tcPr>
          <w:p>
            <w:pPr>
              <w:jc w:val="right"/>
              <w:ind w:right="60"/>
              <w:spacing w:after="0"/>
              <w:rPr>
                <w:sz w:val="20"/>
                <w:szCs w:val="20"/>
                <w:color w:val="auto"/>
              </w:rPr>
            </w:pPr>
            <w:r>
              <w:rPr>
                <w:rFonts w:ascii="Arial" w:cs="Arial" w:eastAsia="Arial" w:hAnsi="Arial"/>
                <w:sz w:val="18"/>
                <w:szCs w:val="18"/>
                <w:color w:val="auto"/>
              </w:rPr>
              <w:t>10.4</w:t>
            </w:r>
          </w:p>
        </w:tc>
        <w:tc>
          <w:tcPr>
            <w:tcW w:w="7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2">
            <w:col w:w="7800" w:space="20"/>
            <w:col w:w="3600"/>
          </w:cols>
          <w:pgMar w:left="240" w:top="337" w:right="239" w:bottom="1440" w:gutter="0" w:footer="0" w:header="0"/>
        </w:sectPr>
      </w:pPr>
    </w:p>
    <w:bookmarkStart w:id="104" w:name="page105"/>
    <w:bookmarkEnd w:id="104"/>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000" w:type="dxa"/>
            <w:vAlign w:val="bottom"/>
          </w:tcPr>
          <w:p>
            <w:pPr>
              <w:spacing w:after="0"/>
              <w:rPr>
                <w:sz w:val="20"/>
                <w:szCs w:val="20"/>
                <w:color w:val="auto"/>
              </w:rPr>
            </w:pPr>
            <w:r>
              <w:rPr>
                <w:rFonts w:ascii="Arial" w:cs="Arial" w:eastAsia="Arial" w:hAnsi="Arial"/>
                <w:sz w:val="14"/>
                <w:szCs w:val="14"/>
                <w:b w:val="1"/>
                <w:bCs w:val="1"/>
                <w:color w:val="auto"/>
              </w:rPr>
              <w:t>Exhibit</w:t>
            </w:r>
          </w:p>
        </w:tc>
        <w:tc>
          <w:tcPr>
            <w:tcW w:w="1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640" w:type="dxa"/>
            <w:vAlign w:val="bottom"/>
            <w:gridSpan w:val="2"/>
            <w:vMerge w:val="restart"/>
          </w:tcPr>
          <w:p>
            <w:pPr>
              <w:ind w:left="220"/>
              <w:spacing w:after="0"/>
              <w:rPr>
                <w:sz w:val="20"/>
                <w:szCs w:val="20"/>
                <w:color w:val="auto"/>
              </w:rPr>
            </w:pPr>
            <w:r>
              <w:rPr>
                <w:rFonts w:ascii="Arial" w:cs="Arial" w:eastAsia="Arial" w:hAnsi="Arial"/>
                <w:sz w:val="14"/>
                <w:szCs w:val="14"/>
                <w:b w:val="1"/>
                <w:bCs w:val="1"/>
                <w:color w:val="auto"/>
              </w:rPr>
              <w:t>Exhibit Description</w:t>
            </w:r>
          </w:p>
        </w:tc>
        <w:tc>
          <w:tcPr>
            <w:tcW w:w="2160" w:type="dxa"/>
            <w:vAlign w:val="bottom"/>
            <w:gridSpan w:val="18"/>
            <w:vMerge w:val="restart"/>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100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Number</w:t>
            </w:r>
          </w:p>
        </w:tc>
        <w:tc>
          <w:tcPr>
            <w:tcW w:w="1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640" w:type="dxa"/>
            <w:vAlign w:val="bottom"/>
            <w:tcBorders>
              <w:bottom w:val="single" w:sz="8" w:color="auto"/>
            </w:tcBorders>
            <w:gridSpan w:val="2"/>
            <w:vMerge w:val="continue"/>
          </w:tcPr>
          <w:p>
            <w:pPr>
              <w:spacing w:after="0"/>
              <w:rPr>
                <w:sz w:val="14"/>
                <w:szCs w:val="14"/>
                <w:color w:val="auto"/>
              </w:rPr>
            </w:pPr>
          </w:p>
        </w:tc>
        <w:tc>
          <w:tcPr>
            <w:tcW w:w="2160" w:type="dxa"/>
            <w:vAlign w:val="bottom"/>
            <w:gridSpan w:val="18"/>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304"/>
        </w:trPr>
        <w:tc>
          <w:tcPr>
            <w:tcW w:w="1000" w:type="dxa"/>
            <w:vAlign w:val="bottom"/>
          </w:tcPr>
          <w:p>
            <w:pPr>
              <w:spacing w:after="0"/>
              <w:rPr>
                <w:sz w:val="20"/>
                <w:szCs w:val="20"/>
                <w:color w:val="auto"/>
              </w:rPr>
            </w:pPr>
            <w:r>
              <w:rPr>
                <w:rFonts w:ascii="Arial" w:cs="Arial" w:eastAsia="Arial" w:hAnsi="Arial"/>
                <w:sz w:val="18"/>
                <w:szCs w:val="18"/>
                <w:color w:val="auto"/>
              </w:rPr>
              <w:t>10.5</w:t>
            </w:r>
          </w:p>
        </w:tc>
        <w:tc>
          <w:tcPr>
            <w:tcW w:w="100" w:type="dxa"/>
            <w:vAlign w:val="bottom"/>
          </w:tcPr>
          <w:p>
            <w:pPr>
              <w:spacing w:after="0"/>
              <w:rPr>
                <w:sz w:val="24"/>
                <w:szCs w:val="24"/>
                <w:color w:val="auto"/>
              </w:rPr>
            </w:pPr>
          </w:p>
        </w:tc>
        <w:tc>
          <w:tcPr>
            <w:tcW w:w="6500" w:type="dxa"/>
            <w:vAlign w:val="bottom"/>
            <w:tcBorders>
              <w:bottom w:val="single" w:sz="8" w:color="0000EE"/>
            </w:tcBorders>
            <w:gridSpan w:val="30"/>
          </w:tcPr>
          <w:p>
            <w:pPr>
              <w:ind w:left="20"/>
              <w:spacing w:after="0"/>
              <w:rPr>
                <w:rFonts w:ascii="Arial" w:cs="Arial" w:eastAsia="Arial" w:hAnsi="Arial"/>
                <w:sz w:val="18"/>
                <w:szCs w:val="18"/>
                <w:color w:val="0000EE"/>
                <w:w w:val="89"/>
              </w:rPr>
            </w:pPr>
            <w:hyperlink r:id="rId152">
              <w:r>
                <w:rPr>
                  <w:rFonts w:ascii="Arial" w:cs="Arial" w:eastAsia="Arial" w:hAnsi="Arial"/>
                  <w:sz w:val="18"/>
                  <w:szCs w:val="18"/>
                  <w:color w:val="0000EE"/>
                  <w:w w:val="89"/>
                </w:rPr>
                <w:t>Lease Agreement, dated April 16, 2012, by and between Legacy Partners I San Jose, LLC</w:t>
              </w:r>
            </w:hyperlink>
          </w:p>
        </w:tc>
        <w:tc>
          <w:tcPr>
            <w:tcW w:w="200" w:type="dxa"/>
            <w:vAlign w:val="bottom"/>
            <w:gridSpan w:val="5"/>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10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20" w:type="dxa"/>
            <w:vAlign w:val="bottom"/>
            <w:tcBorders>
              <w:bottom w:val="single" w:sz="8" w:color="0000EE"/>
            </w:tcBorders>
            <w:gridSpan w:val="5"/>
          </w:tcPr>
          <w:p>
            <w:pPr>
              <w:ind w:left="20"/>
              <w:spacing w:after="0" w:line="196" w:lineRule="exact"/>
              <w:rPr>
                <w:rFonts w:ascii="Arial" w:cs="Arial" w:eastAsia="Arial" w:hAnsi="Arial"/>
                <w:sz w:val="18"/>
                <w:szCs w:val="18"/>
                <w:color w:val="0000EE"/>
                <w:w w:val="86"/>
              </w:rPr>
            </w:pPr>
            <w:hyperlink r:id="rId152">
              <w:r>
                <w:rPr>
                  <w:rFonts w:ascii="Arial" w:cs="Arial" w:eastAsia="Arial" w:hAnsi="Arial"/>
                  <w:sz w:val="18"/>
                  <w:szCs w:val="18"/>
                  <w:color w:val="0000EE"/>
                  <w:w w:val="86"/>
                </w:rPr>
                <w:t>and the Company.</w:t>
              </w:r>
            </w:hyperlink>
          </w:p>
        </w:tc>
        <w:tc>
          <w:tcPr>
            <w:tcW w:w="5380" w:type="dxa"/>
            <w:vAlign w:val="bottom"/>
            <w:gridSpan w:val="30"/>
          </w:tcPr>
          <w:p>
            <w:pPr>
              <w:spacing w:after="0"/>
              <w:rPr>
                <w:sz w:val="17"/>
                <w:szCs w:val="17"/>
                <w:color w:val="auto"/>
              </w:rPr>
            </w:pPr>
          </w:p>
        </w:tc>
        <w:tc>
          <w:tcPr>
            <w:tcW w:w="0" w:type="dxa"/>
            <w:vAlign w:val="bottom"/>
          </w:tcPr>
          <w:p>
            <w:pPr>
              <w:spacing w:after="0"/>
              <w:rPr>
                <w:sz w:val="1"/>
                <w:szCs w:val="1"/>
                <w:color w:val="auto"/>
              </w:rPr>
            </w:pPr>
          </w:p>
        </w:tc>
      </w:tr>
      <w:tr>
        <w:trPr>
          <w:trHeight w:val="345"/>
        </w:trPr>
        <w:tc>
          <w:tcPr>
            <w:tcW w:w="1000" w:type="dxa"/>
            <w:vAlign w:val="bottom"/>
          </w:tcPr>
          <w:p>
            <w:pPr>
              <w:spacing w:after="0"/>
              <w:rPr>
                <w:sz w:val="20"/>
                <w:szCs w:val="20"/>
                <w:color w:val="auto"/>
              </w:rPr>
            </w:pPr>
            <w:r>
              <w:rPr>
                <w:rFonts w:ascii="Arial" w:cs="Arial" w:eastAsia="Arial" w:hAnsi="Arial"/>
                <w:sz w:val="18"/>
                <w:szCs w:val="18"/>
                <w:color w:val="auto"/>
              </w:rPr>
              <w:t>10.6</w:t>
            </w:r>
          </w:p>
        </w:tc>
        <w:tc>
          <w:tcPr>
            <w:tcW w:w="100" w:type="dxa"/>
            <w:vAlign w:val="bottom"/>
          </w:tcPr>
          <w:p>
            <w:pPr>
              <w:spacing w:after="0"/>
              <w:rPr>
                <w:sz w:val="24"/>
                <w:szCs w:val="24"/>
                <w:color w:val="auto"/>
              </w:rPr>
            </w:pPr>
          </w:p>
        </w:tc>
        <w:tc>
          <w:tcPr>
            <w:tcW w:w="6700" w:type="dxa"/>
            <w:vAlign w:val="bottom"/>
            <w:tcBorders>
              <w:bottom w:val="single" w:sz="8" w:color="0000EE"/>
            </w:tcBorders>
            <w:gridSpan w:val="35"/>
          </w:tcPr>
          <w:p>
            <w:pPr>
              <w:ind w:left="20"/>
              <w:spacing w:after="0"/>
              <w:rPr>
                <w:rFonts w:ascii="Arial" w:cs="Arial" w:eastAsia="Arial" w:hAnsi="Arial"/>
                <w:sz w:val="18"/>
                <w:szCs w:val="18"/>
                <w:color w:val="0000EE"/>
                <w:w w:val="88"/>
              </w:rPr>
            </w:pPr>
            <w:hyperlink r:id="rId153">
              <w:r>
                <w:rPr>
                  <w:rFonts w:ascii="Arial" w:cs="Arial" w:eastAsia="Arial" w:hAnsi="Arial"/>
                  <w:sz w:val="18"/>
                  <w:szCs w:val="18"/>
                  <w:color w:val="0000EE"/>
                  <w:w w:val="88"/>
                </w:rPr>
                <w:t>First Amendment to Lease Agreement, dated April 27, 2016, by and between G&amp;I VIII Baytech</w:t>
              </w:r>
            </w:hyperlink>
          </w:p>
        </w:tc>
        <w:tc>
          <w:tcPr>
            <w:tcW w:w="0" w:type="dxa"/>
            <w:vAlign w:val="bottom"/>
          </w:tcPr>
          <w:p>
            <w:pPr>
              <w:spacing w:after="0"/>
              <w:rPr>
                <w:sz w:val="1"/>
                <w:szCs w:val="1"/>
                <w:color w:val="auto"/>
              </w:rPr>
            </w:pPr>
          </w:p>
        </w:tc>
      </w:tr>
      <w:tr>
        <w:trPr>
          <w:trHeight w:val="196"/>
        </w:trPr>
        <w:tc>
          <w:tcPr>
            <w:tcW w:w="10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480" w:type="dxa"/>
            <w:vAlign w:val="bottom"/>
            <w:tcBorders>
              <w:bottom w:val="single" w:sz="8" w:color="0000EE"/>
            </w:tcBorders>
            <w:gridSpan w:val="29"/>
          </w:tcPr>
          <w:p>
            <w:pPr>
              <w:ind w:left="20"/>
              <w:spacing w:after="0" w:line="196" w:lineRule="exact"/>
              <w:rPr>
                <w:rFonts w:ascii="Arial" w:cs="Arial" w:eastAsia="Arial" w:hAnsi="Arial"/>
                <w:sz w:val="18"/>
                <w:szCs w:val="18"/>
                <w:color w:val="0000EE"/>
                <w:w w:val="86"/>
              </w:rPr>
            </w:pPr>
            <w:hyperlink r:id="rId153">
              <w:r>
                <w:rPr>
                  <w:rFonts w:ascii="Arial" w:cs="Arial" w:eastAsia="Arial" w:hAnsi="Arial"/>
                  <w:sz w:val="18"/>
                  <w:szCs w:val="18"/>
                  <w:color w:val="0000EE"/>
                  <w:w w:val="86"/>
                </w:rPr>
                <w:t>LP and the Company and Tenant Estoppel Certificate, dated March 30, 2017, acknowledging</w:t>
              </w:r>
            </w:hyperlink>
          </w:p>
        </w:tc>
        <w:tc>
          <w:tcPr>
            <w:tcW w:w="220" w:type="dxa"/>
            <w:vAlign w:val="bottom"/>
            <w:gridSpan w:val="6"/>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0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700" w:type="dxa"/>
            <w:vAlign w:val="bottom"/>
            <w:gridSpan w:val="35"/>
          </w:tcPr>
          <w:p>
            <w:pPr>
              <w:ind w:left="20"/>
              <w:spacing w:after="0" w:line="196" w:lineRule="exact"/>
              <w:rPr>
                <w:rFonts w:ascii="Arial" w:cs="Arial" w:eastAsia="Arial" w:hAnsi="Arial"/>
                <w:sz w:val="18"/>
                <w:szCs w:val="18"/>
                <w:color w:val="0000EE"/>
              </w:rPr>
            </w:pPr>
            <w:hyperlink r:id="rId153">
              <w:r>
                <w:rPr>
                  <w:rFonts w:ascii="Arial" w:cs="Arial" w:eastAsia="Arial" w:hAnsi="Arial"/>
                  <w:sz w:val="18"/>
                  <w:szCs w:val="18"/>
                  <w:color w:val="0000EE"/>
                </w:rPr>
                <w:t>Bridge III CA Alviso Tech Park, LLC as successor-in-interest to Landlord thereto.</w:t>
              </w:r>
            </w:hyperlink>
          </w:p>
        </w:tc>
        <w:tc>
          <w:tcPr>
            <w:tcW w:w="0" w:type="dxa"/>
            <w:vAlign w:val="bottom"/>
          </w:tcPr>
          <w:p>
            <w:pPr>
              <w:spacing w:after="0"/>
              <w:rPr>
                <w:sz w:val="1"/>
                <w:szCs w:val="1"/>
                <w:color w:val="auto"/>
              </w:rPr>
            </w:pPr>
          </w:p>
        </w:tc>
      </w:tr>
      <w:tr>
        <w:trPr>
          <w:trHeight w:val="20"/>
        </w:trPr>
        <w:tc>
          <w:tcPr>
            <w:tcW w:w="10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4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700" w:type="dxa"/>
            <w:vAlign w:val="bottom"/>
            <w:gridSpan w:val="2"/>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800" w:type="dxa"/>
            <w:vAlign w:val="bottom"/>
            <w:gridSpan w:val="2"/>
            <w:shd w:val="clear" w:color="auto" w:fill="0000EE"/>
          </w:tcPr>
          <w:p>
            <w:pPr>
              <w:spacing w:after="0" w:line="20" w:lineRule="exact"/>
              <w:rPr>
                <w:sz w:val="1"/>
                <w:szCs w:val="1"/>
                <w:color w:val="auto"/>
              </w:rPr>
            </w:pPr>
          </w:p>
        </w:tc>
        <w:tc>
          <w:tcPr>
            <w:tcW w:w="1060" w:type="dxa"/>
            <w:vAlign w:val="bottom"/>
            <w:gridSpan w:val="2"/>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120" w:type="dxa"/>
            <w:vAlign w:val="bottom"/>
            <w:shd w:val="clear" w:color="auto" w:fill="0000EE"/>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45"/>
        </w:trPr>
        <w:tc>
          <w:tcPr>
            <w:tcW w:w="1000" w:type="dxa"/>
            <w:vAlign w:val="bottom"/>
          </w:tcPr>
          <w:p>
            <w:pPr>
              <w:spacing w:after="0"/>
              <w:rPr>
                <w:sz w:val="20"/>
                <w:szCs w:val="20"/>
                <w:color w:val="auto"/>
              </w:rPr>
            </w:pPr>
            <w:r>
              <w:rPr>
                <w:rFonts w:ascii="Arial" w:cs="Arial" w:eastAsia="Arial" w:hAnsi="Arial"/>
                <w:sz w:val="18"/>
                <w:szCs w:val="18"/>
                <w:color w:val="auto"/>
              </w:rPr>
              <w:t>10.7†</w:t>
            </w:r>
          </w:p>
        </w:tc>
        <w:tc>
          <w:tcPr>
            <w:tcW w:w="100" w:type="dxa"/>
            <w:vAlign w:val="bottom"/>
          </w:tcPr>
          <w:p>
            <w:pPr>
              <w:spacing w:after="0"/>
              <w:rPr>
                <w:sz w:val="24"/>
                <w:szCs w:val="24"/>
                <w:color w:val="auto"/>
              </w:rPr>
            </w:pPr>
          </w:p>
        </w:tc>
        <w:tc>
          <w:tcPr>
            <w:tcW w:w="6380" w:type="dxa"/>
            <w:vAlign w:val="bottom"/>
            <w:tcBorders>
              <w:bottom w:val="single" w:sz="8" w:color="0000EE"/>
            </w:tcBorders>
            <w:gridSpan w:val="27"/>
          </w:tcPr>
          <w:p>
            <w:pPr>
              <w:ind w:left="20"/>
              <w:spacing w:after="0"/>
              <w:rPr>
                <w:rFonts w:ascii="Arial" w:cs="Arial" w:eastAsia="Arial" w:hAnsi="Arial"/>
                <w:sz w:val="18"/>
                <w:szCs w:val="18"/>
                <w:color w:val="0000EE"/>
                <w:w w:val="89"/>
              </w:rPr>
            </w:pPr>
            <w:hyperlink r:id="rId154">
              <w:r>
                <w:rPr>
                  <w:rFonts w:ascii="Arial" w:cs="Arial" w:eastAsia="Arial" w:hAnsi="Arial"/>
                  <w:sz w:val="18"/>
                  <w:szCs w:val="18"/>
                  <w:color w:val="0000EE"/>
                  <w:w w:val="89"/>
                </w:rPr>
                <w:t>License Agreement, dated July 25, 2006 by and between the Company, James A. Harris,</w:t>
              </w:r>
            </w:hyperlink>
          </w:p>
        </w:tc>
        <w:tc>
          <w:tcPr>
            <w:tcW w:w="320" w:type="dxa"/>
            <w:vAlign w:val="bottom"/>
            <w:gridSpan w:val="8"/>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10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540" w:type="dxa"/>
            <w:vAlign w:val="bottom"/>
            <w:tcBorders>
              <w:bottom w:val="single" w:sz="8" w:color="0000EE"/>
            </w:tcBorders>
            <w:gridSpan w:val="13"/>
          </w:tcPr>
          <w:p>
            <w:pPr>
              <w:ind w:left="20"/>
              <w:spacing w:after="0" w:line="196" w:lineRule="exact"/>
              <w:rPr>
                <w:rFonts w:ascii="Arial" w:cs="Arial" w:eastAsia="Arial" w:hAnsi="Arial"/>
                <w:sz w:val="18"/>
                <w:szCs w:val="18"/>
                <w:color w:val="0000EE"/>
                <w:w w:val="92"/>
              </w:rPr>
            </w:pPr>
            <w:hyperlink r:id="rId154">
              <w:r>
                <w:rPr>
                  <w:rFonts w:ascii="Arial" w:cs="Arial" w:eastAsia="Arial" w:hAnsi="Arial"/>
                  <w:sz w:val="18"/>
                  <w:szCs w:val="18"/>
                  <w:color w:val="0000EE"/>
                  <w:w w:val="92"/>
                </w:rPr>
                <w:t>M.D. and HSC Development LLC.</w:t>
              </w:r>
            </w:hyperlink>
          </w:p>
        </w:tc>
        <w:tc>
          <w:tcPr>
            <w:tcW w:w="4160" w:type="dxa"/>
            <w:vAlign w:val="bottom"/>
            <w:gridSpan w:val="22"/>
          </w:tcPr>
          <w:p>
            <w:pPr>
              <w:spacing w:after="0"/>
              <w:rPr>
                <w:sz w:val="17"/>
                <w:szCs w:val="17"/>
                <w:color w:val="auto"/>
              </w:rPr>
            </w:pPr>
          </w:p>
        </w:tc>
        <w:tc>
          <w:tcPr>
            <w:tcW w:w="0" w:type="dxa"/>
            <w:vAlign w:val="bottom"/>
          </w:tcPr>
          <w:p>
            <w:pPr>
              <w:spacing w:after="0"/>
              <w:rPr>
                <w:sz w:val="1"/>
                <w:szCs w:val="1"/>
                <w:color w:val="auto"/>
              </w:rPr>
            </w:pPr>
          </w:p>
        </w:tc>
      </w:tr>
      <w:tr>
        <w:trPr>
          <w:trHeight w:val="331"/>
        </w:trPr>
        <w:tc>
          <w:tcPr>
            <w:tcW w:w="1000" w:type="dxa"/>
            <w:vAlign w:val="bottom"/>
          </w:tcPr>
          <w:p>
            <w:pPr>
              <w:spacing w:after="0"/>
              <w:rPr>
                <w:sz w:val="20"/>
                <w:szCs w:val="20"/>
                <w:color w:val="auto"/>
              </w:rPr>
            </w:pPr>
            <w:r>
              <w:rPr>
                <w:rFonts w:ascii="Arial" w:cs="Arial" w:eastAsia="Arial" w:hAnsi="Arial"/>
                <w:sz w:val="18"/>
                <w:szCs w:val="18"/>
                <w:color w:val="auto"/>
              </w:rPr>
              <w:t>10.8†</w:t>
            </w:r>
          </w:p>
        </w:tc>
        <w:tc>
          <w:tcPr>
            <w:tcW w:w="100" w:type="dxa"/>
            <w:vAlign w:val="bottom"/>
          </w:tcPr>
          <w:p>
            <w:pPr>
              <w:spacing w:after="0"/>
              <w:rPr>
                <w:sz w:val="24"/>
                <w:szCs w:val="24"/>
                <w:color w:val="auto"/>
              </w:rPr>
            </w:pPr>
          </w:p>
        </w:tc>
        <w:tc>
          <w:tcPr>
            <w:tcW w:w="6700" w:type="dxa"/>
            <w:vAlign w:val="bottom"/>
            <w:gridSpan w:val="35"/>
          </w:tcPr>
          <w:p>
            <w:pPr>
              <w:ind w:left="20"/>
              <w:spacing w:after="0"/>
              <w:rPr>
                <w:rFonts w:ascii="Arial" w:cs="Arial" w:eastAsia="Arial" w:hAnsi="Arial"/>
                <w:sz w:val="18"/>
                <w:szCs w:val="18"/>
                <w:color w:val="0000EE"/>
                <w:w w:val="98"/>
              </w:rPr>
            </w:pPr>
            <w:hyperlink r:id="rId155">
              <w:r>
                <w:rPr>
                  <w:rFonts w:ascii="Arial" w:cs="Arial" w:eastAsia="Arial" w:hAnsi="Arial"/>
                  <w:sz w:val="18"/>
                  <w:szCs w:val="18"/>
                  <w:color w:val="0000EE"/>
                  <w:w w:val="98"/>
                </w:rPr>
                <w:t>First Amendment to License Agreement, dated January 5, 2009, by and between the</w:t>
              </w:r>
            </w:hyperlink>
          </w:p>
        </w:tc>
        <w:tc>
          <w:tcPr>
            <w:tcW w:w="0" w:type="dxa"/>
            <w:vAlign w:val="bottom"/>
          </w:tcPr>
          <w:p>
            <w:pPr>
              <w:spacing w:after="0"/>
              <w:rPr>
                <w:sz w:val="1"/>
                <w:szCs w:val="1"/>
                <w:color w:val="auto"/>
              </w:rPr>
            </w:pPr>
          </w:p>
        </w:tc>
      </w:tr>
      <w:tr>
        <w:trPr>
          <w:trHeight w:val="196"/>
        </w:trPr>
        <w:tc>
          <w:tcPr>
            <w:tcW w:w="10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560" w:type="dxa"/>
            <w:vAlign w:val="bottom"/>
            <w:tcBorders>
              <w:top w:val="single" w:sz="8" w:color="0000EE"/>
              <w:bottom w:val="single" w:sz="8" w:color="0000EE"/>
            </w:tcBorders>
            <w:gridSpan w:val="18"/>
          </w:tcPr>
          <w:p>
            <w:pPr>
              <w:ind w:left="20"/>
              <w:spacing w:after="0" w:line="196" w:lineRule="exact"/>
              <w:rPr>
                <w:rFonts w:ascii="Arial" w:cs="Arial" w:eastAsia="Arial" w:hAnsi="Arial"/>
                <w:sz w:val="18"/>
                <w:szCs w:val="18"/>
                <w:color w:val="0000EE"/>
                <w:w w:val="91"/>
              </w:rPr>
            </w:pPr>
            <w:hyperlink r:id="rId155">
              <w:r>
                <w:rPr>
                  <w:rFonts w:ascii="Arial" w:cs="Arial" w:eastAsia="Arial" w:hAnsi="Arial"/>
                  <w:sz w:val="18"/>
                  <w:szCs w:val="18"/>
                  <w:color w:val="0000EE"/>
                  <w:w w:val="91"/>
                </w:rPr>
                <w:t>Company, James A. Harris, M.D. and HSC Development LLC.</w:t>
              </w:r>
            </w:hyperlink>
          </w:p>
        </w:tc>
        <w:tc>
          <w:tcPr>
            <w:tcW w:w="1500" w:type="dxa"/>
            <w:vAlign w:val="bottom"/>
            <w:tcBorders>
              <w:top w:val="single" w:sz="8" w:color="0000EE"/>
            </w:tcBorders>
            <w:gridSpan w:val="5"/>
          </w:tcPr>
          <w:p>
            <w:pPr>
              <w:spacing w:after="0"/>
              <w:rPr>
                <w:sz w:val="17"/>
                <w:szCs w:val="17"/>
                <w:color w:val="auto"/>
              </w:rPr>
            </w:pPr>
          </w:p>
        </w:tc>
        <w:tc>
          <w:tcPr>
            <w:tcW w:w="640" w:type="dxa"/>
            <w:vAlign w:val="bottom"/>
            <w:gridSpan w:val="12"/>
          </w:tcPr>
          <w:p>
            <w:pPr>
              <w:spacing w:after="0"/>
              <w:rPr>
                <w:sz w:val="17"/>
                <w:szCs w:val="17"/>
                <w:color w:val="auto"/>
              </w:rPr>
            </w:pPr>
          </w:p>
        </w:tc>
        <w:tc>
          <w:tcPr>
            <w:tcW w:w="0" w:type="dxa"/>
            <w:vAlign w:val="bottom"/>
          </w:tcPr>
          <w:p>
            <w:pPr>
              <w:spacing w:after="0"/>
              <w:rPr>
                <w:sz w:val="1"/>
                <w:szCs w:val="1"/>
                <w:color w:val="auto"/>
              </w:rPr>
            </w:pPr>
          </w:p>
        </w:tc>
      </w:tr>
      <w:tr>
        <w:trPr>
          <w:trHeight w:val="331"/>
        </w:trPr>
        <w:tc>
          <w:tcPr>
            <w:tcW w:w="1000" w:type="dxa"/>
            <w:vAlign w:val="bottom"/>
          </w:tcPr>
          <w:p>
            <w:pPr>
              <w:spacing w:after="0"/>
              <w:rPr>
                <w:sz w:val="20"/>
                <w:szCs w:val="20"/>
                <w:color w:val="auto"/>
              </w:rPr>
            </w:pPr>
            <w:r>
              <w:rPr>
                <w:rFonts w:ascii="Arial" w:cs="Arial" w:eastAsia="Arial" w:hAnsi="Arial"/>
                <w:sz w:val="18"/>
                <w:szCs w:val="18"/>
                <w:color w:val="auto"/>
              </w:rPr>
              <w:t>10.9†</w:t>
            </w:r>
          </w:p>
        </w:tc>
        <w:tc>
          <w:tcPr>
            <w:tcW w:w="100" w:type="dxa"/>
            <w:vAlign w:val="bottom"/>
          </w:tcPr>
          <w:p>
            <w:pPr>
              <w:spacing w:after="0"/>
              <w:rPr>
                <w:sz w:val="24"/>
                <w:szCs w:val="24"/>
                <w:color w:val="auto"/>
              </w:rPr>
            </w:pPr>
          </w:p>
        </w:tc>
        <w:tc>
          <w:tcPr>
            <w:tcW w:w="6700" w:type="dxa"/>
            <w:vAlign w:val="bottom"/>
            <w:gridSpan w:val="35"/>
          </w:tcPr>
          <w:p>
            <w:pPr>
              <w:ind w:left="20"/>
              <w:spacing w:after="0"/>
              <w:rPr>
                <w:rFonts w:ascii="Arial" w:cs="Arial" w:eastAsia="Arial" w:hAnsi="Arial"/>
                <w:sz w:val="18"/>
                <w:szCs w:val="18"/>
                <w:color w:val="0000EE"/>
                <w:w w:val="92"/>
              </w:rPr>
            </w:pPr>
            <w:hyperlink r:id="rId156">
              <w:r>
                <w:rPr>
                  <w:rFonts w:ascii="Arial" w:cs="Arial" w:eastAsia="Arial" w:hAnsi="Arial"/>
                  <w:sz w:val="18"/>
                  <w:szCs w:val="18"/>
                  <w:color w:val="0000EE"/>
                  <w:w w:val="92"/>
                </w:rPr>
                <w:t>Second Amendment to License Agreement, dated February 23, 2015, by and between the</w:t>
              </w:r>
            </w:hyperlink>
          </w:p>
        </w:tc>
        <w:tc>
          <w:tcPr>
            <w:tcW w:w="0" w:type="dxa"/>
            <w:vAlign w:val="bottom"/>
          </w:tcPr>
          <w:p>
            <w:pPr>
              <w:spacing w:after="0"/>
              <w:rPr>
                <w:sz w:val="1"/>
                <w:szCs w:val="1"/>
                <w:color w:val="auto"/>
              </w:rPr>
            </w:pPr>
          </w:p>
        </w:tc>
      </w:tr>
      <w:tr>
        <w:trPr>
          <w:trHeight w:val="196"/>
        </w:trPr>
        <w:tc>
          <w:tcPr>
            <w:tcW w:w="10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440" w:type="dxa"/>
            <w:vAlign w:val="bottom"/>
            <w:tcBorders>
              <w:top w:val="single" w:sz="8" w:color="0000EE"/>
            </w:tcBorders>
            <w:gridSpan w:val="28"/>
          </w:tcPr>
          <w:p>
            <w:pPr>
              <w:ind w:left="20"/>
              <w:spacing w:after="0" w:line="196" w:lineRule="exact"/>
              <w:rPr>
                <w:rFonts w:ascii="Arial" w:cs="Arial" w:eastAsia="Arial" w:hAnsi="Arial"/>
                <w:sz w:val="18"/>
                <w:szCs w:val="18"/>
                <w:color w:val="0000EE"/>
              </w:rPr>
            </w:pPr>
            <w:hyperlink r:id="rId156">
              <w:r>
                <w:rPr>
                  <w:rFonts w:ascii="Arial" w:cs="Arial" w:eastAsia="Arial" w:hAnsi="Arial"/>
                  <w:sz w:val="18"/>
                  <w:szCs w:val="18"/>
                  <w:color w:val="0000EE"/>
                </w:rPr>
                <w:t>Company, James A. Harris, M.D. and HSC Development LLC.</w:t>
              </w:r>
            </w:hyperlink>
          </w:p>
        </w:tc>
        <w:tc>
          <w:tcPr>
            <w:tcW w:w="260" w:type="dxa"/>
            <w:vAlign w:val="bottom"/>
            <w:gridSpan w:val="7"/>
          </w:tcPr>
          <w:p>
            <w:pPr>
              <w:spacing w:after="0"/>
              <w:rPr>
                <w:sz w:val="17"/>
                <w:szCs w:val="17"/>
                <w:color w:val="auto"/>
              </w:rPr>
            </w:pPr>
          </w:p>
        </w:tc>
        <w:tc>
          <w:tcPr>
            <w:tcW w:w="0" w:type="dxa"/>
            <w:vAlign w:val="bottom"/>
          </w:tcPr>
          <w:p>
            <w:pPr>
              <w:spacing w:after="0"/>
              <w:rPr>
                <w:sz w:val="1"/>
                <w:szCs w:val="1"/>
                <w:color w:val="auto"/>
              </w:rPr>
            </w:pPr>
          </w:p>
        </w:tc>
      </w:tr>
      <w:tr>
        <w:trPr>
          <w:trHeight w:val="331"/>
        </w:trPr>
        <w:tc>
          <w:tcPr>
            <w:tcW w:w="1000" w:type="dxa"/>
            <w:vAlign w:val="bottom"/>
          </w:tcPr>
          <w:p>
            <w:pPr>
              <w:spacing w:after="0"/>
              <w:rPr>
                <w:sz w:val="20"/>
                <w:szCs w:val="20"/>
                <w:color w:val="auto"/>
              </w:rPr>
            </w:pPr>
            <w:r>
              <w:rPr>
                <w:rFonts w:ascii="Arial" w:cs="Arial" w:eastAsia="Arial" w:hAnsi="Arial"/>
                <w:sz w:val="18"/>
                <w:szCs w:val="18"/>
                <w:color w:val="auto"/>
              </w:rPr>
              <w:t>10.10#</w:t>
            </w:r>
          </w:p>
        </w:tc>
        <w:tc>
          <w:tcPr>
            <w:tcW w:w="100" w:type="dxa"/>
            <w:vAlign w:val="bottom"/>
          </w:tcPr>
          <w:p>
            <w:pPr>
              <w:spacing w:after="0"/>
              <w:rPr>
                <w:sz w:val="24"/>
                <w:szCs w:val="24"/>
                <w:color w:val="auto"/>
              </w:rPr>
            </w:pPr>
          </w:p>
        </w:tc>
        <w:tc>
          <w:tcPr>
            <w:tcW w:w="1240" w:type="dxa"/>
            <w:vAlign w:val="bottom"/>
            <w:tcBorders>
              <w:top w:val="single" w:sz="8" w:color="0000EE"/>
              <w:bottom w:val="single" w:sz="8" w:color="0000EE"/>
            </w:tcBorders>
            <w:gridSpan w:val="4"/>
          </w:tcPr>
          <w:p>
            <w:pPr>
              <w:ind w:left="20"/>
              <w:spacing w:after="0"/>
              <w:rPr>
                <w:rFonts w:ascii="Arial" w:cs="Arial" w:eastAsia="Arial" w:hAnsi="Arial"/>
                <w:sz w:val="18"/>
                <w:szCs w:val="18"/>
                <w:color w:val="0000EE"/>
                <w:w w:val="88"/>
              </w:rPr>
            </w:pPr>
            <w:hyperlink r:id="rId157">
              <w:r>
                <w:rPr>
                  <w:rFonts w:ascii="Arial" w:cs="Arial" w:eastAsia="Arial" w:hAnsi="Arial"/>
                  <w:sz w:val="18"/>
                  <w:szCs w:val="18"/>
                  <w:color w:val="0000EE"/>
                  <w:w w:val="88"/>
                </w:rPr>
                <w:t>2005 Stock Plan.</w:t>
              </w:r>
            </w:hyperlink>
          </w:p>
        </w:tc>
        <w:tc>
          <w:tcPr>
            <w:tcW w:w="3360" w:type="dxa"/>
            <w:vAlign w:val="bottom"/>
            <w:tcBorders>
              <w:top w:val="single" w:sz="8" w:color="0000EE"/>
            </w:tcBorders>
            <w:gridSpan w:val="15"/>
          </w:tcPr>
          <w:p>
            <w:pPr>
              <w:spacing w:after="0"/>
              <w:rPr>
                <w:sz w:val="24"/>
                <w:szCs w:val="24"/>
                <w:color w:val="auto"/>
              </w:rPr>
            </w:pPr>
          </w:p>
        </w:tc>
        <w:tc>
          <w:tcPr>
            <w:tcW w:w="2100" w:type="dxa"/>
            <w:vAlign w:val="bottom"/>
            <w:gridSpan w:val="16"/>
          </w:tcPr>
          <w:p>
            <w:pPr>
              <w:spacing w:after="0"/>
              <w:rPr>
                <w:sz w:val="24"/>
                <w:szCs w:val="24"/>
                <w:color w:val="auto"/>
              </w:rPr>
            </w:pPr>
          </w:p>
        </w:tc>
        <w:tc>
          <w:tcPr>
            <w:tcW w:w="0" w:type="dxa"/>
            <w:vAlign w:val="bottom"/>
          </w:tcPr>
          <w:p>
            <w:pPr>
              <w:spacing w:after="0"/>
              <w:rPr>
                <w:sz w:val="1"/>
                <w:szCs w:val="1"/>
                <w:color w:val="auto"/>
              </w:rPr>
            </w:pPr>
          </w:p>
        </w:tc>
      </w:tr>
      <w:tr>
        <w:trPr>
          <w:trHeight w:val="345"/>
        </w:trPr>
        <w:tc>
          <w:tcPr>
            <w:tcW w:w="1000" w:type="dxa"/>
            <w:vAlign w:val="bottom"/>
          </w:tcPr>
          <w:p>
            <w:pPr>
              <w:spacing w:after="0"/>
              <w:rPr>
                <w:sz w:val="20"/>
                <w:szCs w:val="20"/>
                <w:color w:val="auto"/>
              </w:rPr>
            </w:pPr>
            <w:r>
              <w:rPr>
                <w:rFonts w:ascii="Arial" w:cs="Arial" w:eastAsia="Arial" w:hAnsi="Arial"/>
                <w:sz w:val="18"/>
                <w:szCs w:val="18"/>
                <w:color w:val="auto"/>
              </w:rPr>
              <w:t>10.11#</w:t>
            </w:r>
          </w:p>
        </w:tc>
        <w:tc>
          <w:tcPr>
            <w:tcW w:w="100" w:type="dxa"/>
            <w:vAlign w:val="bottom"/>
          </w:tcPr>
          <w:p>
            <w:pPr>
              <w:spacing w:after="0"/>
              <w:rPr>
                <w:sz w:val="24"/>
                <w:szCs w:val="24"/>
                <w:color w:val="auto"/>
              </w:rPr>
            </w:pPr>
          </w:p>
        </w:tc>
        <w:tc>
          <w:tcPr>
            <w:tcW w:w="6700" w:type="dxa"/>
            <w:vAlign w:val="bottom"/>
            <w:gridSpan w:val="35"/>
          </w:tcPr>
          <w:p>
            <w:pPr>
              <w:ind w:left="20"/>
              <w:spacing w:after="0"/>
              <w:rPr>
                <w:rFonts w:ascii="Arial" w:cs="Arial" w:eastAsia="Arial" w:hAnsi="Arial"/>
                <w:sz w:val="18"/>
                <w:szCs w:val="18"/>
                <w:color w:val="0000EE"/>
                <w:w w:val="91"/>
              </w:rPr>
            </w:pPr>
            <w:hyperlink r:id="rId158">
              <w:r>
                <w:rPr>
                  <w:rFonts w:ascii="Arial" w:cs="Arial" w:eastAsia="Arial" w:hAnsi="Arial"/>
                  <w:sz w:val="18"/>
                  <w:szCs w:val="18"/>
                  <w:color w:val="0000EE"/>
                  <w:w w:val="91"/>
                </w:rPr>
                <w:t>Form of Notice of Stock Option Grant and Stock Option Agreement under 2005 Stock Plan.</w:t>
              </w:r>
            </w:hyperlink>
          </w:p>
        </w:tc>
        <w:tc>
          <w:tcPr>
            <w:tcW w:w="0" w:type="dxa"/>
            <w:vAlign w:val="bottom"/>
          </w:tcPr>
          <w:p>
            <w:pPr>
              <w:spacing w:after="0"/>
              <w:rPr>
                <w:sz w:val="1"/>
                <w:szCs w:val="1"/>
                <w:color w:val="auto"/>
              </w:rPr>
            </w:pPr>
          </w:p>
        </w:tc>
      </w:tr>
      <w:tr>
        <w:trPr>
          <w:trHeight w:val="345"/>
        </w:trPr>
        <w:tc>
          <w:tcPr>
            <w:tcW w:w="1000" w:type="dxa"/>
            <w:vAlign w:val="bottom"/>
          </w:tcPr>
          <w:p>
            <w:pPr>
              <w:spacing w:after="0"/>
              <w:rPr>
                <w:sz w:val="20"/>
                <w:szCs w:val="20"/>
                <w:color w:val="auto"/>
              </w:rPr>
            </w:pPr>
            <w:r>
              <w:rPr>
                <w:rFonts w:ascii="Arial" w:cs="Arial" w:eastAsia="Arial" w:hAnsi="Arial"/>
                <w:sz w:val="18"/>
                <w:szCs w:val="18"/>
                <w:color w:val="auto"/>
              </w:rPr>
              <w:t>10.12#</w:t>
            </w:r>
          </w:p>
        </w:tc>
        <w:tc>
          <w:tcPr>
            <w:tcW w:w="100" w:type="dxa"/>
            <w:vAlign w:val="bottom"/>
          </w:tcPr>
          <w:p>
            <w:pPr>
              <w:spacing w:after="0"/>
              <w:rPr>
                <w:sz w:val="24"/>
                <w:szCs w:val="24"/>
                <w:color w:val="auto"/>
              </w:rPr>
            </w:pPr>
          </w:p>
        </w:tc>
        <w:tc>
          <w:tcPr>
            <w:tcW w:w="6640" w:type="dxa"/>
            <w:vAlign w:val="bottom"/>
            <w:tcBorders>
              <w:top w:val="single" w:sz="8" w:color="0000EE"/>
            </w:tcBorders>
            <w:gridSpan w:val="33"/>
          </w:tcPr>
          <w:p>
            <w:pPr>
              <w:ind w:left="20"/>
              <w:spacing w:after="0"/>
              <w:rPr>
                <w:rFonts w:ascii="Arial" w:cs="Arial" w:eastAsia="Arial" w:hAnsi="Arial"/>
                <w:sz w:val="18"/>
                <w:szCs w:val="18"/>
                <w:color w:val="0000EE"/>
              </w:rPr>
            </w:pPr>
            <w:hyperlink r:id="rId159">
              <w:r>
                <w:rPr>
                  <w:rFonts w:ascii="Arial" w:cs="Arial" w:eastAsia="Arial" w:hAnsi="Arial"/>
                  <w:sz w:val="18"/>
                  <w:szCs w:val="18"/>
                  <w:color w:val="0000EE"/>
                </w:rPr>
                <w:t>Form of Notice of Stock Option Grant and Stock Option Agreement to International</w:t>
              </w:r>
            </w:hyperlink>
          </w:p>
        </w:tc>
        <w:tc>
          <w:tcPr>
            <w:tcW w:w="60" w:type="dxa"/>
            <w:vAlign w:val="bottom"/>
            <w:gridSpan w:val="2"/>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10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60" w:type="dxa"/>
            <w:vAlign w:val="bottom"/>
            <w:tcBorders>
              <w:top w:val="single" w:sz="8" w:color="0000EE"/>
            </w:tcBorders>
            <w:gridSpan w:val="23"/>
          </w:tcPr>
          <w:p>
            <w:pPr>
              <w:ind w:left="20"/>
              <w:spacing w:after="0" w:line="196" w:lineRule="exact"/>
              <w:rPr>
                <w:rFonts w:ascii="Arial" w:cs="Arial" w:eastAsia="Arial" w:hAnsi="Arial"/>
                <w:sz w:val="18"/>
                <w:szCs w:val="18"/>
                <w:color w:val="0000EE"/>
              </w:rPr>
            </w:pPr>
            <w:hyperlink r:id="rId159">
              <w:r>
                <w:rPr>
                  <w:rFonts w:ascii="Arial" w:cs="Arial" w:eastAsia="Arial" w:hAnsi="Arial"/>
                  <w:sz w:val="18"/>
                  <w:szCs w:val="18"/>
                  <w:color w:val="0000EE"/>
                </w:rPr>
                <w:t>Optionees under 2005 Stock Plan.</w:t>
              </w:r>
            </w:hyperlink>
          </w:p>
        </w:tc>
        <w:tc>
          <w:tcPr>
            <w:tcW w:w="640" w:type="dxa"/>
            <w:vAlign w:val="bottom"/>
            <w:gridSpan w:val="12"/>
          </w:tcPr>
          <w:p>
            <w:pPr>
              <w:spacing w:after="0"/>
              <w:rPr>
                <w:sz w:val="17"/>
                <w:szCs w:val="17"/>
                <w:color w:val="auto"/>
              </w:rPr>
            </w:pPr>
          </w:p>
        </w:tc>
        <w:tc>
          <w:tcPr>
            <w:tcW w:w="0" w:type="dxa"/>
            <w:vAlign w:val="bottom"/>
          </w:tcPr>
          <w:p>
            <w:pPr>
              <w:spacing w:after="0"/>
              <w:rPr>
                <w:sz w:val="1"/>
                <w:szCs w:val="1"/>
                <w:color w:val="auto"/>
              </w:rPr>
            </w:pPr>
          </w:p>
        </w:tc>
      </w:tr>
      <w:tr>
        <w:trPr>
          <w:trHeight w:val="331"/>
        </w:trPr>
        <w:tc>
          <w:tcPr>
            <w:tcW w:w="1000" w:type="dxa"/>
            <w:vAlign w:val="bottom"/>
          </w:tcPr>
          <w:p>
            <w:pPr>
              <w:spacing w:after="0"/>
              <w:rPr>
                <w:sz w:val="20"/>
                <w:szCs w:val="20"/>
                <w:color w:val="auto"/>
              </w:rPr>
            </w:pPr>
            <w:r>
              <w:rPr>
                <w:rFonts w:ascii="Arial" w:cs="Arial" w:eastAsia="Arial" w:hAnsi="Arial"/>
                <w:sz w:val="18"/>
                <w:szCs w:val="18"/>
                <w:color w:val="auto"/>
              </w:rPr>
              <w:t>10.13#</w:t>
            </w:r>
          </w:p>
        </w:tc>
        <w:tc>
          <w:tcPr>
            <w:tcW w:w="100" w:type="dxa"/>
            <w:vAlign w:val="bottom"/>
          </w:tcPr>
          <w:p>
            <w:pPr>
              <w:spacing w:after="0"/>
              <w:rPr>
                <w:sz w:val="24"/>
                <w:szCs w:val="24"/>
                <w:color w:val="auto"/>
              </w:rPr>
            </w:pPr>
          </w:p>
        </w:tc>
        <w:tc>
          <w:tcPr>
            <w:tcW w:w="2020" w:type="dxa"/>
            <w:vAlign w:val="bottom"/>
            <w:tcBorders>
              <w:top w:val="single" w:sz="8" w:color="0000EE"/>
              <w:bottom w:val="single" w:sz="8" w:color="0000EE"/>
            </w:tcBorders>
            <w:gridSpan w:val="8"/>
          </w:tcPr>
          <w:p>
            <w:pPr>
              <w:ind w:left="20"/>
              <w:spacing w:after="0"/>
              <w:rPr>
                <w:rFonts w:ascii="Arial" w:cs="Arial" w:eastAsia="Arial" w:hAnsi="Arial"/>
                <w:sz w:val="18"/>
                <w:szCs w:val="18"/>
                <w:color w:val="0000EE"/>
                <w:w w:val="90"/>
              </w:rPr>
            </w:pPr>
            <w:hyperlink r:id="rId160">
              <w:r>
                <w:rPr>
                  <w:rFonts w:ascii="Arial" w:cs="Arial" w:eastAsia="Arial" w:hAnsi="Arial"/>
                  <w:sz w:val="18"/>
                  <w:szCs w:val="18"/>
                  <w:color w:val="0000EE"/>
                  <w:w w:val="90"/>
                </w:rPr>
                <w:t>2015 Equity Incentive Plan.</w:t>
              </w:r>
            </w:hyperlink>
          </w:p>
        </w:tc>
        <w:tc>
          <w:tcPr>
            <w:tcW w:w="440" w:type="dxa"/>
            <w:vAlign w:val="bottom"/>
            <w:tcBorders>
              <w:top w:val="single" w:sz="8" w:color="0000EE"/>
            </w:tcBorders>
            <w:gridSpan w:val="4"/>
          </w:tcPr>
          <w:p>
            <w:pPr>
              <w:spacing w:after="0"/>
              <w:rPr>
                <w:sz w:val="24"/>
                <w:szCs w:val="24"/>
                <w:color w:val="auto"/>
              </w:rPr>
            </w:pPr>
          </w:p>
        </w:tc>
        <w:tc>
          <w:tcPr>
            <w:tcW w:w="4240" w:type="dxa"/>
            <w:vAlign w:val="bottom"/>
            <w:gridSpan w:val="23"/>
          </w:tcPr>
          <w:p>
            <w:pPr>
              <w:spacing w:after="0"/>
              <w:rPr>
                <w:sz w:val="24"/>
                <w:szCs w:val="24"/>
                <w:color w:val="auto"/>
              </w:rPr>
            </w:pPr>
          </w:p>
        </w:tc>
        <w:tc>
          <w:tcPr>
            <w:tcW w:w="0" w:type="dxa"/>
            <w:vAlign w:val="bottom"/>
          </w:tcPr>
          <w:p>
            <w:pPr>
              <w:spacing w:after="0"/>
              <w:rPr>
                <w:sz w:val="1"/>
                <w:szCs w:val="1"/>
                <w:color w:val="auto"/>
              </w:rPr>
            </w:pPr>
          </w:p>
        </w:tc>
      </w:tr>
      <w:tr>
        <w:trPr>
          <w:trHeight w:val="345"/>
        </w:trPr>
        <w:tc>
          <w:tcPr>
            <w:tcW w:w="1000" w:type="dxa"/>
            <w:vAlign w:val="bottom"/>
          </w:tcPr>
          <w:p>
            <w:pPr>
              <w:spacing w:after="0"/>
              <w:rPr>
                <w:sz w:val="20"/>
                <w:szCs w:val="20"/>
                <w:color w:val="auto"/>
              </w:rPr>
            </w:pPr>
            <w:r>
              <w:rPr>
                <w:rFonts w:ascii="Arial" w:cs="Arial" w:eastAsia="Arial" w:hAnsi="Arial"/>
                <w:sz w:val="18"/>
                <w:szCs w:val="18"/>
                <w:color w:val="auto"/>
              </w:rPr>
              <w:t>10.14#</w:t>
            </w:r>
          </w:p>
        </w:tc>
        <w:tc>
          <w:tcPr>
            <w:tcW w:w="100" w:type="dxa"/>
            <w:vAlign w:val="bottom"/>
          </w:tcPr>
          <w:p>
            <w:pPr>
              <w:spacing w:after="0"/>
              <w:rPr>
                <w:sz w:val="24"/>
                <w:szCs w:val="24"/>
                <w:color w:val="auto"/>
              </w:rPr>
            </w:pPr>
          </w:p>
        </w:tc>
        <w:tc>
          <w:tcPr>
            <w:tcW w:w="6700" w:type="dxa"/>
            <w:vAlign w:val="bottom"/>
            <w:gridSpan w:val="35"/>
          </w:tcPr>
          <w:p>
            <w:pPr>
              <w:ind w:left="20"/>
              <w:spacing w:after="0"/>
              <w:rPr>
                <w:rFonts w:ascii="Arial" w:cs="Arial" w:eastAsia="Arial" w:hAnsi="Arial"/>
                <w:sz w:val="18"/>
                <w:szCs w:val="18"/>
                <w:color w:val="0000EE"/>
              </w:rPr>
            </w:pPr>
            <w:hyperlink r:id="rId161">
              <w:r>
                <w:rPr>
                  <w:rFonts w:ascii="Arial" w:cs="Arial" w:eastAsia="Arial" w:hAnsi="Arial"/>
                  <w:sz w:val="18"/>
                  <w:szCs w:val="18"/>
                  <w:color w:val="0000EE"/>
                </w:rPr>
                <w:t>Form of Stock Option Grant Notice and Stock Option Agreement under 2015 Equity</w:t>
              </w:r>
            </w:hyperlink>
          </w:p>
        </w:tc>
        <w:tc>
          <w:tcPr>
            <w:tcW w:w="0" w:type="dxa"/>
            <w:vAlign w:val="bottom"/>
          </w:tcPr>
          <w:p>
            <w:pPr>
              <w:spacing w:after="0"/>
              <w:rPr>
                <w:sz w:val="1"/>
                <w:szCs w:val="1"/>
                <w:color w:val="auto"/>
              </w:rPr>
            </w:pPr>
          </w:p>
        </w:tc>
      </w:tr>
      <w:tr>
        <w:trPr>
          <w:trHeight w:val="196"/>
        </w:trPr>
        <w:tc>
          <w:tcPr>
            <w:tcW w:w="10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100" w:type="dxa"/>
            <w:vAlign w:val="bottom"/>
            <w:tcBorders>
              <w:top w:val="single" w:sz="8" w:color="0000EE"/>
            </w:tcBorders>
            <w:gridSpan w:val="24"/>
          </w:tcPr>
          <w:p>
            <w:pPr>
              <w:ind w:left="20"/>
              <w:spacing w:after="0" w:line="196" w:lineRule="exact"/>
              <w:rPr>
                <w:rFonts w:ascii="Arial" w:cs="Arial" w:eastAsia="Arial" w:hAnsi="Arial"/>
                <w:sz w:val="18"/>
                <w:szCs w:val="18"/>
                <w:color w:val="0000EE"/>
              </w:rPr>
            </w:pPr>
            <w:hyperlink r:id="rId161">
              <w:r>
                <w:rPr>
                  <w:rFonts w:ascii="Arial" w:cs="Arial" w:eastAsia="Arial" w:hAnsi="Arial"/>
                  <w:sz w:val="18"/>
                  <w:szCs w:val="18"/>
                  <w:color w:val="0000EE"/>
                </w:rPr>
                <w:t>Incentive Plan.</w:t>
              </w:r>
            </w:hyperlink>
          </w:p>
        </w:tc>
        <w:tc>
          <w:tcPr>
            <w:tcW w:w="600" w:type="dxa"/>
            <w:vAlign w:val="bottom"/>
            <w:gridSpan w:val="11"/>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0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4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860" w:type="dxa"/>
            <w:vAlign w:val="bottom"/>
            <w:gridSpan w:val="3"/>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20" w:type="dxa"/>
            <w:vAlign w:val="bottom"/>
            <w:gridSpan w:val="3"/>
          </w:tcPr>
          <w:p>
            <w:pPr>
              <w:spacing w:after="0" w:line="20" w:lineRule="exact"/>
              <w:rPr>
                <w:sz w:val="1"/>
                <w:szCs w:val="1"/>
                <w:color w:val="auto"/>
              </w:rPr>
            </w:pPr>
          </w:p>
        </w:tc>
        <w:tc>
          <w:tcPr>
            <w:tcW w:w="800" w:type="dxa"/>
            <w:vAlign w:val="bottom"/>
            <w:gridSpan w:val="2"/>
          </w:tcPr>
          <w:p>
            <w:pPr>
              <w:spacing w:after="0" w:line="20" w:lineRule="exact"/>
              <w:rPr>
                <w:sz w:val="1"/>
                <w:szCs w:val="1"/>
                <w:color w:val="auto"/>
              </w:rPr>
            </w:pPr>
          </w:p>
        </w:tc>
        <w:tc>
          <w:tcPr>
            <w:tcW w:w="2460" w:type="dxa"/>
            <w:vAlign w:val="bottom"/>
            <w:gridSpan w:val="5"/>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80" w:type="dxa"/>
            <w:vAlign w:val="bottom"/>
            <w:gridSpan w:val="5"/>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31"/>
        </w:trPr>
        <w:tc>
          <w:tcPr>
            <w:tcW w:w="1000" w:type="dxa"/>
            <w:vAlign w:val="bottom"/>
          </w:tcPr>
          <w:p>
            <w:pPr>
              <w:spacing w:after="0"/>
              <w:rPr>
                <w:sz w:val="20"/>
                <w:szCs w:val="20"/>
                <w:color w:val="auto"/>
              </w:rPr>
            </w:pPr>
            <w:r>
              <w:rPr>
                <w:rFonts w:ascii="Arial" w:cs="Arial" w:eastAsia="Arial" w:hAnsi="Arial"/>
                <w:sz w:val="18"/>
                <w:szCs w:val="18"/>
                <w:color w:val="auto"/>
              </w:rPr>
              <w:t>10.15#</w:t>
            </w:r>
          </w:p>
        </w:tc>
        <w:tc>
          <w:tcPr>
            <w:tcW w:w="100" w:type="dxa"/>
            <w:vAlign w:val="bottom"/>
          </w:tcPr>
          <w:p>
            <w:pPr>
              <w:spacing w:after="0"/>
              <w:rPr>
                <w:sz w:val="24"/>
                <w:szCs w:val="24"/>
                <w:color w:val="auto"/>
              </w:rPr>
            </w:pPr>
          </w:p>
        </w:tc>
        <w:tc>
          <w:tcPr>
            <w:tcW w:w="6700" w:type="dxa"/>
            <w:vAlign w:val="bottom"/>
            <w:tcBorders>
              <w:bottom w:val="single" w:sz="8" w:color="0000EE"/>
            </w:tcBorders>
            <w:gridSpan w:val="35"/>
          </w:tcPr>
          <w:p>
            <w:pPr>
              <w:ind w:left="20"/>
              <w:spacing w:after="0"/>
              <w:rPr>
                <w:rFonts w:ascii="Arial" w:cs="Arial" w:eastAsia="Arial" w:hAnsi="Arial"/>
                <w:sz w:val="18"/>
                <w:szCs w:val="18"/>
                <w:color w:val="0000EE"/>
                <w:w w:val="89"/>
              </w:rPr>
            </w:pPr>
            <w:hyperlink r:id="rId162">
              <w:r>
                <w:rPr>
                  <w:rFonts w:ascii="Arial" w:cs="Arial" w:eastAsia="Arial" w:hAnsi="Arial"/>
                  <w:sz w:val="18"/>
                  <w:szCs w:val="18"/>
                  <w:color w:val="0000EE"/>
                  <w:w w:val="89"/>
                </w:rPr>
                <w:t>Form of Stock Purchase Right Grant Notice and Restricted Stock Purchase Agreement under</w:t>
              </w:r>
            </w:hyperlink>
          </w:p>
        </w:tc>
        <w:tc>
          <w:tcPr>
            <w:tcW w:w="0" w:type="dxa"/>
            <w:vAlign w:val="bottom"/>
          </w:tcPr>
          <w:p>
            <w:pPr>
              <w:spacing w:after="0"/>
              <w:rPr>
                <w:sz w:val="1"/>
                <w:szCs w:val="1"/>
                <w:color w:val="auto"/>
              </w:rPr>
            </w:pPr>
          </w:p>
        </w:tc>
      </w:tr>
      <w:tr>
        <w:trPr>
          <w:trHeight w:val="196"/>
        </w:trPr>
        <w:tc>
          <w:tcPr>
            <w:tcW w:w="10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20" w:type="dxa"/>
            <w:vAlign w:val="bottom"/>
            <w:tcBorders>
              <w:bottom w:val="single" w:sz="8" w:color="0000EE"/>
            </w:tcBorders>
            <w:gridSpan w:val="8"/>
          </w:tcPr>
          <w:p>
            <w:pPr>
              <w:ind w:left="20"/>
              <w:spacing w:after="0" w:line="196" w:lineRule="exact"/>
              <w:rPr>
                <w:rFonts w:ascii="Arial" w:cs="Arial" w:eastAsia="Arial" w:hAnsi="Arial"/>
                <w:sz w:val="18"/>
                <w:szCs w:val="18"/>
                <w:color w:val="0000EE"/>
                <w:w w:val="90"/>
              </w:rPr>
            </w:pPr>
            <w:hyperlink r:id="rId162">
              <w:r>
                <w:rPr>
                  <w:rFonts w:ascii="Arial" w:cs="Arial" w:eastAsia="Arial" w:hAnsi="Arial"/>
                  <w:sz w:val="18"/>
                  <w:szCs w:val="18"/>
                  <w:color w:val="0000EE"/>
                  <w:w w:val="90"/>
                </w:rPr>
                <w:t>2015 Equity Incentive Plan.</w:t>
              </w:r>
            </w:hyperlink>
          </w:p>
        </w:tc>
        <w:tc>
          <w:tcPr>
            <w:tcW w:w="4680" w:type="dxa"/>
            <w:vAlign w:val="bottom"/>
            <w:gridSpan w:val="27"/>
          </w:tcPr>
          <w:p>
            <w:pPr>
              <w:spacing w:after="0"/>
              <w:rPr>
                <w:sz w:val="17"/>
                <w:szCs w:val="17"/>
                <w:color w:val="auto"/>
              </w:rPr>
            </w:pPr>
          </w:p>
        </w:tc>
        <w:tc>
          <w:tcPr>
            <w:tcW w:w="0" w:type="dxa"/>
            <w:vAlign w:val="bottom"/>
          </w:tcPr>
          <w:p>
            <w:pPr>
              <w:spacing w:after="0"/>
              <w:rPr>
                <w:sz w:val="1"/>
                <w:szCs w:val="1"/>
                <w:color w:val="auto"/>
              </w:rPr>
            </w:pPr>
          </w:p>
        </w:tc>
      </w:tr>
      <w:tr>
        <w:trPr>
          <w:trHeight w:val="331"/>
        </w:trPr>
        <w:tc>
          <w:tcPr>
            <w:tcW w:w="1000" w:type="dxa"/>
            <w:vAlign w:val="bottom"/>
          </w:tcPr>
          <w:p>
            <w:pPr>
              <w:spacing w:after="0"/>
              <w:rPr>
                <w:sz w:val="20"/>
                <w:szCs w:val="20"/>
                <w:color w:val="auto"/>
              </w:rPr>
            </w:pPr>
            <w:r>
              <w:rPr>
                <w:rFonts w:ascii="Arial" w:cs="Arial" w:eastAsia="Arial" w:hAnsi="Arial"/>
                <w:sz w:val="18"/>
                <w:szCs w:val="18"/>
                <w:color w:val="auto"/>
              </w:rPr>
              <w:t>10.16#</w:t>
            </w:r>
          </w:p>
        </w:tc>
        <w:tc>
          <w:tcPr>
            <w:tcW w:w="100" w:type="dxa"/>
            <w:vAlign w:val="bottom"/>
          </w:tcPr>
          <w:p>
            <w:pPr>
              <w:spacing w:after="0"/>
              <w:rPr>
                <w:sz w:val="24"/>
                <w:szCs w:val="24"/>
                <w:color w:val="auto"/>
              </w:rPr>
            </w:pPr>
          </w:p>
        </w:tc>
        <w:tc>
          <w:tcPr>
            <w:tcW w:w="2020" w:type="dxa"/>
            <w:vAlign w:val="bottom"/>
            <w:tcBorders>
              <w:bottom w:val="single" w:sz="8" w:color="0000EE"/>
            </w:tcBorders>
            <w:gridSpan w:val="7"/>
          </w:tcPr>
          <w:p>
            <w:pPr>
              <w:ind w:left="20"/>
              <w:spacing w:after="0"/>
              <w:rPr>
                <w:rFonts w:ascii="Arial" w:cs="Arial" w:eastAsia="Arial" w:hAnsi="Arial"/>
                <w:sz w:val="18"/>
                <w:szCs w:val="18"/>
                <w:color w:val="0000EE"/>
                <w:w w:val="90"/>
              </w:rPr>
            </w:pPr>
            <w:hyperlink r:id="rId163">
              <w:r>
                <w:rPr>
                  <w:rFonts w:ascii="Arial" w:cs="Arial" w:eastAsia="Arial" w:hAnsi="Arial"/>
                  <w:sz w:val="18"/>
                  <w:szCs w:val="18"/>
                  <w:color w:val="0000EE"/>
                  <w:w w:val="90"/>
                </w:rPr>
                <w:t>2017 Incentive Award Plan.</w:t>
              </w:r>
            </w:hyperlink>
          </w:p>
        </w:tc>
        <w:tc>
          <w:tcPr>
            <w:tcW w:w="4680" w:type="dxa"/>
            <w:vAlign w:val="bottom"/>
            <w:gridSpan w:val="28"/>
          </w:tcPr>
          <w:p>
            <w:pPr>
              <w:spacing w:after="0"/>
              <w:rPr>
                <w:sz w:val="24"/>
                <w:szCs w:val="24"/>
                <w:color w:val="auto"/>
              </w:rPr>
            </w:pPr>
          </w:p>
        </w:tc>
        <w:tc>
          <w:tcPr>
            <w:tcW w:w="0" w:type="dxa"/>
            <w:vAlign w:val="bottom"/>
          </w:tcPr>
          <w:p>
            <w:pPr>
              <w:spacing w:after="0"/>
              <w:rPr>
                <w:sz w:val="1"/>
                <w:szCs w:val="1"/>
                <w:color w:val="auto"/>
              </w:rPr>
            </w:pPr>
          </w:p>
        </w:tc>
      </w:tr>
      <w:tr>
        <w:trPr>
          <w:trHeight w:val="345"/>
        </w:trPr>
        <w:tc>
          <w:tcPr>
            <w:tcW w:w="1000" w:type="dxa"/>
            <w:vAlign w:val="bottom"/>
          </w:tcPr>
          <w:p>
            <w:pPr>
              <w:spacing w:after="0"/>
              <w:rPr>
                <w:sz w:val="20"/>
                <w:szCs w:val="20"/>
                <w:color w:val="auto"/>
              </w:rPr>
            </w:pPr>
            <w:r>
              <w:rPr>
                <w:rFonts w:ascii="Arial" w:cs="Arial" w:eastAsia="Arial" w:hAnsi="Arial"/>
                <w:sz w:val="18"/>
                <w:szCs w:val="18"/>
                <w:color w:val="auto"/>
              </w:rPr>
              <w:t>10.17#</w:t>
            </w:r>
          </w:p>
        </w:tc>
        <w:tc>
          <w:tcPr>
            <w:tcW w:w="100" w:type="dxa"/>
            <w:vAlign w:val="bottom"/>
          </w:tcPr>
          <w:p>
            <w:pPr>
              <w:spacing w:after="0"/>
              <w:rPr>
                <w:sz w:val="24"/>
                <w:szCs w:val="24"/>
                <w:color w:val="auto"/>
              </w:rPr>
            </w:pPr>
          </w:p>
        </w:tc>
        <w:tc>
          <w:tcPr>
            <w:tcW w:w="6700" w:type="dxa"/>
            <w:vAlign w:val="bottom"/>
            <w:gridSpan w:val="35"/>
          </w:tcPr>
          <w:p>
            <w:pPr>
              <w:ind w:left="20"/>
              <w:spacing w:after="0"/>
              <w:rPr>
                <w:rFonts w:ascii="Arial" w:cs="Arial" w:eastAsia="Arial" w:hAnsi="Arial"/>
                <w:sz w:val="18"/>
                <w:szCs w:val="18"/>
                <w:color w:val="0000EE"/>
                <w:w w:val="93"/>
              </w:rPr>
            </w:pPr>
            <w:hyperlink r:id="rId164">
              <w:r>
                <w:rPr>
                  <w:rFonts w:ascii="Arial" w:cs="Arial" w:eastAsia="Arial" w:hAnsi="Arial"/>
                  <w:sz w:val="18"/>
                  <w:szCs w:val="18"/>
                  <w:color w:val="0000EE"/>
                  <w:w w:val="93"/>
                </w:rPr>
                <w:t>Form of Stock Option Grant Notice and Stock Option Agreement under the 2017 Incentive</w:t>
              </w:r>
            </w:hyperlink>
          </w:p>
        </w:tc>
        <w:tc>
          <w:tcPr>
            <w:tcW w:w="0" w:type="dxa"/>
            <w:vAlign w:val="bottom"/>
          </w:tcPr>
          <w:p>
            <w:pPr>
              <w:spacing w:after="0"/>
              <w:rPr>
                <w:sz w:val="1"/>
                <w:szCs w:val="1"/>
                <w:color w:val="auto"/>
              </w:rPr>
            </w:pPr>
          </w:p>
        </w:tc>
      </w:tr>
      <w:tr>
        <w:trPr>
          <w:trHeight w:val="196"/>
        </w:trPr>
        <w:tc>
          <w:tcPr>
            <w:tcW w:w="10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Borders>
              <w:top w:val="single" w:sz="8" w:color="0000EE"/>
              <w:bottom w:val="single" w:sz="8" w:color="0000EE"/>
            </w:tcBorders>
            <w:gridSpan w:val="2"/>
          </w:tcPr>
          <w:p>
            <w:pPr>
              <w:ind w:left="20"/>
              <w:spacing w:after="0" w:line="196" w:lineRule="exact"/>
              <w:rPr>
                <w:rFonts w:ascii="Arial" w:cs="Arial" w:eastAsia="Arial" w:hAnsi="Arial"/>
                <w:sz w:val="18"/>
                <w:szCs w:val="18"/>
                <w:color w:val="0000EE"/>
                <w:w w:val="88"/>
              </w:rPr>
            </w:pPr>
            <w:hyperlink r:id="rId164">
              <w:r>
                <w:rPr>
                  <w:rFonts w:ascii="Arial" w:cs="Arial" w:eastAsia="Arial" w:hAnsi="Arial"/>
                  <w:sz w:val="18"/>
                  <w:szCs w:val="18"/>
                  <w:color w:val="0000EE"/>
                  <w:w w:val="88"/>
                </w:rPr>
                <w:t>Award Plan.</w:t>
              </w:r>
            </w:hyperlink>
          </w:p>
        </w:tc>
        <w:tc>
          <w:tcPr>
            <w:tcW w:w="5660" w:type="dxa"/>
            <w:vAlign w:val="bottom"/>
            <w:tcBorders>
              <w:top w:val="single" w:sz="8" w:color="0000EE"/>
            </w:tcBorders>
            <w:gridSpan w:val="30"/>
          </w:tcPr>
          <w:p>
            <w:pPr>
              <w:spacing w:after="0"/>
              <w:rPr>
                <w:sz w:val="17"/>
                <w:szCs w:val="17"/>
                <w:color w:val="auto"/>
              </w:rPr>
            </w:pPr>
          </w:p>
        </w:tc>
        <w:tc>
          <w:tcPr>
            <w:tcW w:w="140" w:type="dxa"/>
            <w:vAlign w:val="bottom"/>
            <w:gridSpan w:val="3"/>
          </w:tcPr>
          <w:p>
            <w:pPr>
              <w:spacing w:after="0"/>
              <w:rPr>
                <w:sz w:val="17"/>
                <w:szCs w:val="17"/>
                <w:color w:val="auto"/>
              </w:rPr>
            </w:pPr>
          </w:p>
        </w:tc>
        <w:tc>
          <w:tcPr>
            <w:tcW w:w="0" w:type="dxa"/>
            <w:vAlign w:val="bottom"/>
          </w:tcPr>
          <w:p>
            <w:pPr>
              <w:spacing w:after="0"/>
              <w:rPr>
                <w:sz w:val="1"/>
                <w:szCs w:val="1"/>
                <w:color w:val="auto"/>
              </w:rPr>
            </w:pPr>
          </w:p>
        </w:tc>
      </w:tr>
      <w:tr>
        <w:trPr>
          <w:trHeight w:val="331"/>
        </w:trPr>
        <w:tc>
          <w:tcPr>
            <w:tcW w:w="1000" w:type="dxa"/>
            <w:vAlign w:val="bottom"/>
          </w:tcPr>
          <w:p>
            <w:pPr>
              <w:spacing w:after="0"/>
              <w:rPr>
                <w:sz w:val="20"/>
                <w:szCs w:val="20"/>
                <w:color w:val="auto"/>
              </w:rPr>
            </w:pPr>
            <w:r>
              <w:rPr>
                <w:rFonts w:ascii="Arial" w:cs="Arial" w:eastAsia="Arial" w:hAnsi="Arial"/>
                <w:sz w:val="18"/>
                <w:szCs w:val="18"/>
                <w:color w:val="auto"/>
              </w:rPr>
              <w:t>10.18#</w:t>
            </w:r>
          </w:p>
        </w:tc>
        <w:tc>
          <w:tcPr>
            <w:tcW w:w="100" w:type="dxa"/>
            <w:vAlign w:val="bottom"/>
          </w:tcPr>
          <w:p>
            <w:pPr>
              <w:spacing w:after="0"/>
              <w:rPr>
                <w:sz w:val="24"/>
                <w:szCs w:val="24"/>
                <w:color w:val="auto"/>
              </w:rPr>
            </w:pPr>
          </w:p>
        </w:tc>
        <w:tc>
          <w:tcPr>
            <w:tcW w:w="6680" w:type="dxa"/>
            <w:vAlign w:val="bottom"/>
            <w:tcBorders>
              <w:bottom w:val="single" w:sz="8" w:color="0000EE"/>
            </w:tcBorders>
            <w:gridSpan w:val="34"/>
          </w:tcPr>
          <w:p>
            <w:pPr>
              <w:ind w:left="20"/>
              <w:spacing w:after="0"/>
              <w:rPr>
                <w:rFonts w:ascii="Arial" w:cs="Arial" w:eastAsia="Arial" w:hAnsi="Arial"/>
                <w:sz w:val="18"/>
                <w:szCs w:val="18"/>
                <w:color w:val="0000EE"/>
                <w:w w:val="90"/>
              </w:rPr>
            </w:pPr>
            <w:hyperlink r:id="rId165">
              <w:r>
                <w:rPr>
                  <w:rFonts w:ascii="Arial" w:cs="Arial" w:eastAsia="Arial" w:hAnsi="Arial"/>
                  <w:sz w:val="18"/>
                  <w:szCs w:val="18"/>
                  <w:color w:val="0000EE"/>
                  <w:w w:val="90"/>
                </w:rPr>
                <w:t>Form of Restricted Stock Award Grant Notice and Restricted Stock Award Agreement under</w:t>
              </w:r>
            </w:hyperlink>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10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80" w:type="dxa"/>
            <w:vAlign w:val="bottom"/>
            <w:tcBorders>
              <w:bottom w:val="single" w:sz="8" w:color="0000EE"/>
            </w:tcBorders>
            <w:gridSpan w:val="11"/>
          </w:tcPr>
          <w:p>
            <w:pPr>
              <w:ind w:left="20"/>
              <w:spacing w:after="0" w:line="196" w:lineRule="exact"/>
              <w:rPr>
                <w:rFonts w:ascii="Arial" w:cs="Arial" w:eastAsia="Arial" w:hAnsi="Arial"/>
                <w:sz w:val="18"/>
                <w:szCs w:val="18"/>
                <w:color w:val="0000EE"/>
                <w:w w:val="89"/>
              </w:rPr>
            </w:pPr>
            <w:hyperlink r:id="rId165">
              <w:r>
                <w:rPr>
                  <w:rFonts w:ascii="Arial" w:cs="Arial" w:eastAsia="Arial" w:hAnsi="Arial"/>
                  <w:sz w:val="18"/>
                  <w:szCs w:val="18"/>
                  <w:color w:val="0000EE"/>
                  <w:w w:val="89"/>
                </w:rPr>
                <w:t>the 2017 Incentive Award Plan.</w:t>
              </w:r>
            </w:hyperlink>
          </w:p>
        </w:tc>
        <w:tc>
          <w:tcPr>
            <w:tcW w:w="4420" w:type="dxa"/>
            <w:vAlign w:val="bottom"/>
            <w:gridSpan w:val="24"/>
          </w:tcPr>
          <w:p>
            <w:pPr>
              <w:spacing w:after="0"/>
              <w:rPr>
                <w:sz w:val="17"/>
                <w:szCs w:val="17"/>
                <w:color w:val="auto"/>
              </w:rPr>
            </w:pPr>
          </w:p>
        </w:tc>
        <w:tc>
          <w:tcPr>
            <w:tcW w:w="0" w:type="dxa"/>
            <w:vAlign w:val="bottom"/>
          </w:tcPr>
          <w:p>
            <w:pPr>
              <w:spacing w:after="0"/>
              <w:rPr>
                <w:sz w:val="1"/>
                <w:szCs w:val="1"/>
                <w:color w:val="auto"/>
              </w:rPr>
            </w:pPr>
          </w:p>
        </w:tc>
      </w:tr>
      <w:tr>
        <w:trPr>
          <w:trHeight w:val="345"/>
        </w:trPr>
        <w:tc>
          <w:tcPr>
            <w:tcW w:w="1000" w:type="dxa"/>
            <w:vAlign w:val="bottom"/>
          </w:tcPr>
          <w:p>
            <w:pPr>
              <w:spacing w:after="0"/>
              <w:rPr>
                <w:sz w:val="20"/>
                <w:szCs w:val="20"/>
                <w:color w:val="auto"/>
              </w:rPr>
            </w:pPr>
            <w:r>
              <w:rPr>
                <w:rFonts w:ascii="Arial" w:cs="Arial" w:eastAsia="Arial" w:hAnsi="Arial"/>
                <w:sz w:val="18"/>
                <w:szCs w:val="18"/>
                <w:color w:val="auto"/>
              </w:rPr>
              <w:t>10.19#</w:t>
            </w:r>
          </w:p>
        </w:tc>
        <w:tc>
          <w:tcPr>
            <w:tcW w:w="100" w:type="dxa"/>
            <w:vAlign w:val="bottom"/>
          </w:tcPr>
          <w:p>
            <w:pPr>
              <w:spacing w:after="0"/>
              <w:rPr>
                <w:sz w:val="24"/>
                <w:szCs w:val="24"/>
                <w:color w:val="auto"/>
              </w:rPr>
            </w:pPr>
          </w:p>
        </w:tc>
        <w:tc>
          <w:tcPr>
            <w:tcW w:w="6700" w:type="dxa"/>
            <w:vAlign w:val="bottom"/>
            <w:gridSpan w:val="35"/>
          </w:tcPr>
          <w:p>
            <w:pPr>
              <w:ind w:left="20"/>
              <w:spacing w:after="0"/>
              <w:rPr>
                <w:rFonts w:ascii="Arial" w:cs="Arial" w:eastAsia="Arial" w:hAnsi="Arial"/>
                <w:sz w:val="18"/>
                <w:szCs w:val="18"/>
                <w:color w:val="0000EE"/>
              </w:rPr>
            </w:pPr>
            <w:hyperlink r:id="rId166">
              <w:r>
                <w:rPr>
                  <w:rFonts w:ascii="Arial" w:cs="Arial" w:eastAsia="Arial" w:hAnsi="Arial"/>
                  <w:sz w:val="18"/>
                  <w:szCs w:val="18"/>
                  <w:color w:val="0000EE"/>
                </w:rPr>
                <w:t>Form of Restricted Stock Unit Award Grant Notice and Restricted Stock Unit Award</w:t>
              </w:r>
            </w:hyperlink>
          </w:p>
        </w:tc>
        <w:tc>
          <w:tcPr>
            <w:tcW w:w="0" w:type="dxa"/>
            <w:vAlign w:val="bottom"/>
          </w:tcPr>
          <w:p>
            <w:pPr>
              <w:spacing w:after="0"/>
              <w:rPr>
                <w:sz w:val="1"/>
                <w:szCs w:val="1"/>
                <w:color w:val="auto"/>
              </w:rPr>
            </w:pPr>
          </w:p>
        </w:tc>
      </w:tr>
      <w:tr>
        <w:trPr>
          <w:trHeight w:val="196"/>
        </w:trPr>
        <w:tc>
          <w:tcPr>
            <w:tcW w:w="10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500" w:type="dxa"/>
            <w:vAlign w:val="bottom"/>
            <w:tcBorders>
              <w:top w:val="single" w:sz="8" w:color="0000EE"/>
              <w:bottom w:val="single" w:sz="8" w:color="0000EE"/>
            </w:tcBorders>
            <w:gridSpan w:val="16"/>
          </w:tcPr>
          <w:p>
            <w:pPr>
              <w:ind w:left="20"/>
              <w:spacing w:after="0" w:line="196" w:lineRule="exact"/>
              <w:rPr>
                <w:rFonts w:ascii="Arial" w:cs="Arial" w:eastAsia="Arial" w:hAnsi="Arial"/>
                <w:sz w:val="18"/>
                <w:szCs w:val="18"/>
                <w:color w:val="0000EE"/>
                <w:w w:val="87"/>
              </w:rPr>
            </w:pPr>
            <w:hyperlink r:id="rId166">
              <w:r>
                <w:rPr>
                  <w:rFonts w:ascii="Arial" w:cs="Arial" w:eastAsia="Arial" w:hAnsi="Arial"/>
                  <w:sz w:val="18"/>
                  <w:szCs w:val="18"/>
                  <w:color w:val="0000EE"/>
                  <w:w w:val="87"/>
                </w:rPr>
                <w:t>Agreement under the 2017 Incentive Award Plan.</w:t>
              </w:r>
            </w:hyperlink>
          </w:p>
        </w:tc>
        <w:tc>
          <w:tcPr>
            <w:tcW w:w="2460" w:type="dxa"/>
            <w:vAlign w:val="bottom"/>
            <w:tcBorders>
              <w:top w:val="single" w:sz="8" w:color="0000EE"/>
            </w:tcBorders>
            <w:gridSpan w:val="5"/>
          </w:tcPr>
          <w:p>
            <w:pPr>
              <w:spacing w:after="0"/>
              <w:rPr>
                <w:sz w:val="17"/>
                <w:szCs w:val="17"/>
                <w:color w:val="auto"/>
              </w:rPr>
            </w:pPr>
          </w:p>
        </w:tc>
        <w:tc>
          <w:tcPr>
            <w:tcW w:w="740" w:type="dxa"/>
            <w:vAlign w:val="bottom"/>
            <w:gridSpan w:val="14"/>
          </w:tcPr>
          <w:p>
            <w:pPr>
              <w:spacing w:after="0"/>
              <w:rPr>
                <w:sz w:val="17"/>
                <w:szCs w:val="17"/>
                <w:color w:val="auto"/>
              </w:rPr>
            </w:pPr>
          </w:p>
        </w:tc>
        <w:tc>
          <w:tcPr>
            <w:tcW w:w="0" w:type="dxa"/>
            <w:vAlign w:val="bottom"/>
          </w:tcPr>
          <w:p>
            <w:pPr>
              <w:spacing w:after="0"/>
              <w:rPr>
                <w:sz w:val="1"/>
                <w:szCs w:val="1"/>
                <w:color w:val="auto"/>
              </w:rPr>
            </w:pPr>
          </w:p>
        </w:tc>
      </w:tr>
      <w:tr>
        <w:trPr>
          <w:trHeight w:val="331"/>
        </w:trPr>
        <w:tc>
          <w:tcPr>
            <w:tcW w:w="1000" w:type="dxa"/>
            <w:vAlign w:val="bottom"/>
          </w:tcPr>
          <w:p>
            <w:pPr>
              <w:spacing w:after="0"/>
              <w:rPr>
                <w:sz w:val="20"/>
                <w:szCs w:val="20"/>
                <w:color w:val="auto"/>
              </w:rPr>
            </w:pPr>
            <w:r>
              <w:rPr>
                <w:rFonts w:ascii="Arial" w:cs="Arial" w:eastAsia="Arial" w:hAnsi="Arial"/>
                <w:sz w:val="18"/>
                <w:szCs w:val="18"/>
                <w:color w:val="auto"/>
              </w:rPr>
              <w:t>10.20#</w:t>
            </w:r>
          </w:p>
        </w:tc>
        <w:tc>
          <w:tcPr>
            <w:tcW w:w="100" w:type="dxa"/>
            <w:vAlign w:val="bottom"/>
          </w:tcPr>
          <w:p>
            <w:pPr>
              <w:spacing w:after="0"/>
              <w:rPr>
                <w:sz w:val="24"/>
                <w:szCs w:val="24"/>
                <w:color w:val="auto"/>
              </w:rPr>
            </w:pPr>
          </w:p>
        </w:tc>
        <w:tc>
          <w:tcPr>
            <w:tcW w:w="6700" w:type="dxa"/>
            <w:vAlign w:val="bottom"/>
            <w:gridSpan w:val="35"/>
          </w:tcPr>
          <w:p>
            <w:pPr>
              <w:ind w:left="20"/>
              <w:spacing w:after="0"/>
              <w:rPr>
                <w:rFonts w:ascii="Arial" w:cs="Arial" w:eastAsia="Arial" w:hAnsi="Arial"/>
                <w:sz w:val="18"/>
                <w:szCs w:val="18"/>
                <w:color w:val="0000EE"/>
              </w:rPr>
            </w:pPr>
            <w:hyperlink r:id="rId167">
              <w:r>
                <w:rPr>
                  <w:rFonts w:ascii="Arial" w:cs="Arial" w:eastAsia="Arial" w:hAnsi="Arial"/>
                  <w:sz w:val="18"/>
                  <w:szCs w:val="18"/>
                  <w:color w:val="0000EE"/>
                </w:rPr>
                <w:t>2017 Employee Stock Purchase Plan.</w:t>
              </w:r>
            </w:hyperlink>
          </w:p>
        </w:tc>
        <w:tc>
          <w:tcPr>
            <w:tcW w:w="0" w:type="dxa"/>
            <w:vAlign w:val="bottom"/>
          </w:tcPr>
          <w:p>
            <w:pPr>
              <w:spacing w:after="0"/>
              <w:rPr>
                <w:sz w:val="1"/>
                <w:szCs w:val="1"/>
                <w:color w:val="auto"/>
              </w:rPr>
            </w:pPr>
          </w:p>
        </w:tc>
      </w:tr>
      <w:tr>
        <w:trPr>
          <w:trHeight w:val="20"/>
        </w:trPr>
        <w:tc>
          <w:tcPr>
            <w:tcW w:w="10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40" w:type="dxa"/>
            <w:vAlign w:val="bottom"/>
            <w:shd w:val="clear" w:color="auto" w:fill="0000EE"/>
          </w:tcPr>
          <w:p>
            <w:pPr>
              <w:spacing w:after="0" w:line="20" w:lineRule="exact"/>
              <w:rPr>
                <w:sz w:val="1"/>
                <w:szCs w:val="1"/>
                <w:color w:val="auto"/>
              </w:rPr>
            </w:pPr>
          </w:p>
        </w:tc>
        <w:tc>
          <w:tcPr>
            <w:tcW w:w="1200" w:type="dxa"/>
            <w:vAlign w:val="bottom"/>
            <w:gridSpan w:val="5"/>
            <w:shd w:val="clear" w:color="auto" w:fill="0000EE"/>
          </w:tcPr>
          <w:p>
            <w:pPr>
              <w:spacing w:after="0" w:line="20" w:lineRule="exact"/>
              <w:rPr>
                <w:sz w:val="1"/>
                <w:szCs w:val="1"/>
                <w:color w:val="auto"/>
              </w:rPr>
            </w:pPr>
          </w:p>
        </w:tc>
        <w:tc>
          <w:tcPr>
            <w:tcW w:w="120" w:type="dxa"/>
            <w:vAlign w:val="bottom"/>
            <w:gridSpan w:val="3"/>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560" w:type="dxa"/>
            <w:vAlign w:val="bottom"/>
            <w:gridSpan w:val="4"/>
            <w:shd w:val="clear" w:color="auto" w:fill="0000EE"/>
          </w:tcPr>
          <w:p>
            <w:pPr>
              <w:spacing w:after="0" w:line="20" w:lineRule="exact"/>
              <w:rPr>
                <w:sz w:val="1"/>
                <w:szCs w:val="1"/>
                <w:color w:val="auto"/>
              </w:rPr>
            </w:pPr>
          </w:p>
        </w:tc>
        <w:tc>
          <w:tcPr>
            <w:tcW w:w="3320" w:type="dxa"/>
            <w:vAlign w:val="bottom"/>
            <w:gridSpan w:val="8"/>
          </w:tcPr>
          <w:p>
            <w:pPr>
              <w:spacing w:after="0" w:line="20" w:lineRule="exact"/>
              <w:rPr>
                <w:sz w:val="1"/>
                <w:szCs w:val="1"/>
                <w:color w:val="auto"/>
              </w:rPr>
            </w:pPr>
          </w:p>
        </w:tc>
        <w:tc>
          <w:tcPr>
            <w:tcW w:w="12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80" w:type="dxa"/>
            <w:vAlign w:val="bottom"/>
            <w:gridSpan w:val="5"/>
          </w:tcPr>
          <w:p>
            <w:pPr>
              <w:spacing w:after="0" w:line="20" w:lineRule="exact"/>
              <w:rPr>
                <w:sz w:val="1"/>
                <w:szCs w:val="1"/>
                <w:color w:val="auto"/>
              </w:rPr>
            </w:pPr>
          </w:p>
        </w:tc>
        <w:tc>
          <w:tcPr>
            <w:tcW w:w="160" w:type="dxa"/>
            <w:vAlign w:val="bottom"/>
            <w:gridSpan w:val="4"/>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45"/>
        </w:trPr>
        <w:tc>
          <w:tcPr>
            <w:tcW w:w="1000" w:type="dxa"/>
            <w:vAlign w:val="bottom"/>
          </w:tcPr>
          <w:p>
            <w:pPr>
              <w:spacing w:after="0"/>
              <w:rPr>
                <w:sz w:val="20"/>
                <w:szCs w:val="20"/>
                <w:color w:val="auto"/>
              </w:rPr>
            </w:pPr>
            <w:r>
              <w:rPr>
                <w:rFonts w:ascii="Arial" w:cs="Arial" w:eastAsia="Arial" w:hAnsi="Arial"/>
                <w:sz w:val="18"/>
                <w:szCs w:val="18"/>
                <w:color w:val="auto"/>
              </w:rPr>
              <w:t>10.21#</w:t>
            </w:r>
          </w:p>
        </w:tc>
        <w:tc>
          <w:tcPr>
            <w:tcW w:w="100" w:type="dxa"/>
            <w:vAlign w:val="bottom"/>
          </w:tcPr>
          <w:p>
            <w:pPr>
              <w:spacing w:after="0"/>
              <w:rPr>
                <w:sz w:val="24"/>
                <w:szCs w:val="24"/>
                <w:color w:val="auto"/>
              </w:rPr>
            </w:pPr>
          </w:p>
        </w:tc>
        <w:tc>
          <w:tcPr>
            <w:tcW w:w="6700" w:type="dxa"/>
            <w:vAlign w:val="bottom"/>
            <w:gridSpan w:val="35"/>
          </w:tcPr>
          <w:p>
            <w:pPr>
              <w:ind w:left="20"/>
              <w:spacing w:after="0"/>
              <w:rPr>
                <w:rFonts w:ascii="Arial" w:cs="Arial" w:eastAsia="Arial" w:hAnsi="Arial"/>
                <w:sz w:val="18"/>
                <w:szCs w:val="18"/>
                <w:color w:val="0000EE"/>
                <w:w w:val="90"/>
              </w:rPr>
            </w:pPr>
            <w:hyperlink r:id="rId168">
              <w:r>
                <w:rPr>
                  <w:rFonts w:ascii="Arial" w:cs="Arial" w:eastAsia="Arial" w:hAnsi="Arial"/>
                  <w:sz w:val="18"/>
                  <w:szCs w:val="18"/>
                  <w:color w:val="0000EE"/>
                  <w:w w:val="90"/>
                </w:rPr>
                <w:t>Employment Agreement, dated September 21, 2016, by and between Ryan Rhodes and the</w:t>
              </w:r>
            </w:hyperlink>
          </w:p>
        </w:tc>
        <w:tc>
          <w:tcPr>
            <w:tcW w:w="0" w:type="dxa"/>
            <w:vAlign w:val="bottom"/>
          </w:tcPr>
          <w:p>
            <w:pPr>
              <w:spacing w:after="0"/>
              <w:rPr>
                <w:sz w:val="1"/>
                <w:szCs w:val="1"/>
                <w:color w:val="auto"/>
              </w:rPr>
            </w:pPr>
          </w:p>
        </w:tc>
      </w:tr>
      <w:tr>
        <w:trPr>
          <w:trHeight w:val="196"/>
        </w:trPr>
        <w:tc>
          <w:tcPr>
            <w:tcW w:w="10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540" w:type="dxa"/>
            <w:vAlign w:val="bottom"/>
            <w:tcBorders>
              <w:top w:val="single" w:sz="8" w:color="0000EE"/>
            </w:tcBorders>
            <w:gridSpan w:val="31"/>
          </w:tcPr>
          <w:p>
            <w:pPr>
              <w:ind w:left="20"/>
              <w:spacing w:after="0" w:line="196" w:lineRule="exact"/>
              <w:rPr>
                <w:rFonts w:ascii="Arial" w:cs="Arial" w:eastAsia="Arial" w:hAnsi="Arial"/>
                <w:sz w:val="18"/>
                <w:szCs w:val="18"/>
                <w:color w:val="0000EE"/>
              </w:rPr>
            </w:pPr>
            <w:hyperlink r:id="rId168">
              <w:r>
                <w:rPr>
                  <w:rFonts w:ascii="Arial" w:cs="Arial" w:eastAsia="Arial" w:hAnsi="Arial"/>
                  <w:sz w:val="18"/>
                  <w:szCs w:val="18"/>
                  <w:color w:val="0000EE"/>
                </w:rPr>
                <w:t>Company.</w:t>
              </w:r>
            </w:hyperlink>
          </w:p>
        </w:tc>
        <w:tc>
          <w:tcPr>
            <w:tcW w:w="160" w:type="dxa"/>
            <w:vAlign w:val="bottom"/>
            <w:gridSpan w:val="4"/>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0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40" w:type="dxa"/>
            <w:vAlign w:val="bottom"/>
            <w:shd w:val="clear" w:color="auto" w:fill="0000EE"/>
          </w:tcPr>
          <w:p>
            <w:pPr>
              <w:spacing w:after="0" w:line="20" w:lineRule="exact"/>
              <w:rPr>
                <w:sz w:val="1"/>
                <w:szCs w:val="1"/>
                <w:color w:val="auto"/>
              </w:rPr>
            </w:pPr>
          </w:p>
        </w:tc>
        <w:tc>
          <w:tcPr>
            <w:tcW w:w="1200" w:type="dxa"/>
            <w:vAlign w:val="bottom"/>
            <w:gridSpan w:val="5"/>
          </w:tcPr>
          <w:p>
            <w:pPr>
              <w:spacing w:after="0" w:line="20" w:lineRule="exact"/>
              <w:rPr>
                <w:sz w:val="1"/>
                <w:szCs w:val="1"/>
                <w:color w:val="auto"/>
              </w:rPr>
            </w:pPr>
          </w:p>
        </w:tc>
        <w:tc>
          <w:tcPr>
            <w:tcW w:w="120" w:type="dxa"/>
            <w:vAlign w:val="bottom"/>
            <w:gridSpan w:val="3"/>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880" w:type="dxa"/>
            <w:vAlign w:val="bottom"/>
            <w:gridSpan w:val="12"/>
          </w:tcPr>
          <w:p>
            <w:pPr>
              <w:spacing w:after="0" w:line="20" w:lineRule="exact"/>
              <w:rPr>
                <w:sz w:val="1"/>
                <w:szCs w:val="1"/>
                <w:color w:val="auto"/>
              </w:rPr>
            </w:pPr>
          </w:p>
        </w:tc>
        <w:tc>
          <w:tcPr>
            <w:tcW w:w="12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40" w:type="dxa"/>
            <w:vAlign w:val="bottom"/>
            <w:gridSpan w:val="9"/>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31"/>
        </w:trPr>
        <w:tc>
          <w:tcPr>
            <w:tcW w:w="1000" w:type="dxa"/>
            <w:vAlign w:val="bottom"/>
          </w:tcPr>
          <w:p>
            <w:pPr>
              <w:spacing w:after="0"/>
              <w:rPr>
                <w:sz w:val="20"/>
                <w:szCs w:val="20"/>
                <w:color w:val="auto"/>
              </w:rPr>
            </w:pPr>
            <w:r>
              <w:rPr>
                <w:rFonts w:ascii="Arial" w:cs="Arial" w:eastAsia="Arial" w:hAnsi="Arial"/>
                <w:sz w:val="18"/>
                <w:szCs w:val="18"/>
                <w:color w:val="auto"/>
              </w:rPr>
              <w:t>10.22#</w:t>
            </w:r>
          </w:p>
        </w:tc>
        <w:tc>
          <w:tcPr>
            <w:tcW w:w="100" w:type="dxa"/>
            <w:vAlign w:val="bottom"/>
          </w:tcPr>
          <w:p>
            <w:pPr>
              <w:spacing w:after="0"/>
              <w:rPr>
                <w:sz w:val="24"/>
                <w:szCs w:val="24"/>
                <w:color w:val="auto"/>
              </w:rPr>
            </w:pPr>
          </w:p>
        </w:tc>
        <w:tc>
          <w:tcPr>
            <w:tcW w:w="6160" w:type="dxa"/>
            <w:vAlign w:val="bottom"/>
            <w:tcBorders>
              <w:bottom w:val="single" w:sz="8" w:color="0000EE"/>
            </w:tcBorders>
            <w:gridSpan w:val="26"/>
          </w:tcPr>
          <w:p>
            <w:pPr>
              <w:ind w:left="20"/>
              <w:spacing w:after="0"/>
              <w:rPr>
                <w:rFonts w:ascii="Arial" w:cs="Arial" w:eastAsia="Arial" w:hAnsi="Arial"/>
                <w:sz w:val="18"/>
                <w:szCs w:val="18"/>
                <w:color w:val="0000EE"/>
                <w:w w:val="90"/>
              </w:rPr>
            </w:pPr>
            <w:hyperlink r:id="rId169">
              <w:r>
                <w:rPr>
                  <w:rFonts w:ascii="Arial" w:cs="Arial" w:eastAsia="Arial" w:hAnsi="Arial"/>
                  <w:sz w:val="18"/>
                  <w:szCs w:val="18"/>
                  <w:color w:val="0000EE"/>
                  <w:w w:val="90"/>
                </w:rPr>
                <w:t>Employment Letter Agreement, dated November 29, 2011, by and between Charlotte</w:t>
              </w:r>
            </w:hyperlink>
          </w:p>
        </w:tc>
        <w:tc>
          <w:tcPr>
            <w:tcW w:w="540" w:type="dxa"/>
            <w:vAlign w:val="bottom"/>
            <w:gridSpan w:val="9"/>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10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940" w:type="dxa"/>
            <w:vAlign w:val="bottom"/>
            <w:tcBorders>
              <w:bottom w:val="single" w:sz="8" w:color="0000EE"/>
            </w:tcBorders>
            <w:gridSpan w:val="6"/>
          </w:tcPr>
          <w:p>
            <w:pPr>
              <w:ind w:left="20"/>
              <w:spacing w:after="0" w:line="196" w:lineRule="exact"/>
              <w:rPr>
                <w:rFonts w:ascii="Arial" w:cs="Arial" w:eastAsia="Arial" w:hAnsi="Arial"/>
                <w:sz w:val="18"/>
                <w:szCs w:val="18"/>
                <w:color w:val="0000EE"/>
                <w:w w:val="89"/>
              </w:rPr>
            </w:pPr>
            <w:hyperlink r:id="rId169">
              <w:r>
                <w:rPr>
                  <w:rFonts w:ascii="Arial" w:cs="Arial" w:eastAsia="Arial" w:hAnsi="Arial"/>
                  <w:sz w:val="18"/>
                  <w:szCs w:val="18"/>
                  <w:color w:val="0000EE"/>
                  <w:w w:val="89"/>
                </w:rPr>
                <w:t>Holland and the Company.</w:t>
              </w:r>
            </w:hyperlink>
          </w:p>
        </w:tc>
        <w:tc>
          <w:tcPr>
            <w:tcW w:w="4760" w:type="dxa"/>
            <w:vAlign w:val="bottom"/>
            <w:gridSpan w:val="29"/>
          </w:tcPr>
          <w:p>
            <w:pPr>
              <w:spacing w:after="0"/>
              <w:rPr>
                <w:sz w:val="17"/>
                <w:szCs w:val="17"/>
                <w:color w:val="auto"/>
              </w:rPr>
            </w:pPr>
          </w:p>
        </w:tc>
        <w:tc>
          <w:tcPr>
            <w:tcW w:w="0" w:type="dxa"/>
            <w:vAlign w:val="bottom"/>
          </w:tcPr>
          <w:p>
            <w:pPr>
              <w:spacing w:after="0"/>
              <w:rPr>
                <w:sz w:val="1"/>
                <w:szCs w:val="1"/>
                <w:color w:val="auto"/>
              </w:rPr>
            </w:pPr>
          </w:p>
        </w:tc>
      </w:tr>
      <w:tr>
        <w:trPr>
          <w:trHeight w:val="331"/>
        </w:trPr>
        <w:tc>
          <w:tcPr>
            <w:tcW w:w="1000" w:type="dxa"/>
            <w:vAlign w:val="bottom"/>
          </w:tcPr>
          <w:p>
            <w:pPr>
              <w:spacing w:after="0"/>
              <w:rPr>
                <w:sz w:val="20"/>
                <w:szCs w:val="20"/>
                <w:color w:val="auto"/>
              </w:rPr>
            </w:pPr>
            <w:r>
              <w:rPr>
                <w:rFonts w:ascii="Arial" w:cs="Arial" w:eastAsia="Arial" w:hAnsi="Arial"/>
                <w:sz w:val="18"/>
                <w:szCs w:val="18"/>
                <w:color w:val="auto"/>
              </w:rPr>
              <w:t>10.23#</w:t>
            </w:r>
          </w:p>
        </w:tc>
        <w:tc>
          <w:tcPr>
            <w:tcW w:w="100" w:type="dxa"/>
            <w:vAlign w:val="bottom"/>
          </w:tcPr>
          <w:p>
            <w:pPr>
              <w:spacing w:after="0"/>
              <w:rPr>
                <w:sz w:val="24"/>
                <w:szCs w:val="24"/>
                <w:color w:val="auto"/>
              </w:rPr>
            </w:pPr>
          </w:p>
        </w:tc>
        <w:tc>
          <w:tcPr>
            <w:tcW w:w="6700" w:type="dxa"/>
            <w:vAlign w:val="bottom"/>
            <w:gridSpan w:val="35"/>
          </w:tcPr>
          <w:p>
            <w:pPr>
              <w:ind w:left="20"/>
              <w:spacing w:after="0"/>
              <w:rPr>
                <w:rFonts w:ascii="Arial" w:cs="Arial" w:eastAsia="Arial" w:hAnsi="Arial"/>
                <w:sz w:val="18"/>
                <w:szCs w:val="18"/>
                <w:color w:val="0000EE"/>
                <w:w w:val="99"/>
              </w:rPr>
            </w:pPr>
            <w:hyperlink r:id="rId170">
              <w:r>
                <w:rPr>
                  <w:rFonts w:ascii="Arial" w:cs="Arial" w:eastAsia="Arial" w:hAnsi="Arial"/>
                  <w:sz w:val="18"/>
                  <w:szCs w:val="18"/>
                  <w:color w:val="0000EE"/>
                  <w:w w:val="99"/>
                </w:rPr>
                <w:t>Employment Letter Agreement, dated September 4, 2008, by and between Gabriele</w:t>
              </w:r>
            </w:hyperlink>
          </w:p>
        </w:tc>
        <w:tc>
          <w:tcPr>
            <w:tcW w:w="0" w:type="dxa"/>
            <w:vAlign w:val="bottom"/>
          </w:tcPr>
          <w:p>
            <w:pPr>
              <w:spacing w:after="0"/>
              <w:rPr>
                <w:sz w:val="1"/>
                <w:szCs w:val="1"/>
                <w:color w:val="auto"/>
              </w:rPr>
            </w:pPr>
          </w:p>
        </w:tc>
      </w:tr>
      <w:tr>
        <w:trPr>
          <w:trHeight w:val="196"/>
        </w:trPr>
        <w:tc>
          <w:tcPr>
            <w:tcW w:w="10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20" w:type="dxa"/>
            <w:vAlign w:val="bottom"/>
            <w:tcBorders>
              <w:top w:val="single" w:sz="8" w:color="0000EE"/>
            </w:tcBorders>
            <w:gridSpan w:val="22"/>
          </w:tcPr>
          <w:p>
            <w:pPr>
              <w:ind w:left="20"/>
              <w:spacing w:after="0" w:line="196" w:lineRule="exact"/>
              <w:rPr>
                <w:rFonts w:ascii="Arial" w:cs="Arial" w:eastAsia="Arial" w:hAnsi="Arial"/>
                <w:sz w:val="18"/>
                <w:szCs w:val="18"/>
                <w:color w:val="0000EE"/>
              </w:rPr>
            </w:pPr>
            <w:hyperlink r:id="rId170">
              <w:r>
                <w:rPr>
                  <w:rFonts w:ascii="Arial" w:cs="Arial" w:eastAsia="Arial" w:hAnsi="Arial"/>
                  <w:sz w:val="18"/>
                  <w:szCs w:val="18"/>
                  <w:color w:val="0000EE"/>
                </w:rPr>
                <w:t>Zingaretti and the Company.</w:t>
              </w:r>
            </w:hyperlink>
          </w:p>
        </w:tc>
        <w:tc>
          <w:tcPr>
            <w:tcW w:w="680" w:type="dxa"/>
            <w:vAlign w:val="bottom"/>
            <w:gridSpan w:val="13"/>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0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60" w:type="dxa"/>
            <w:vAlign w:val="bottom"/>
            <w:gridSpan w:val="9"/>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00" w:type="dxa"/>
            <w:vAlign w:val="bottom"/>
            <w:gridSpan w:val="15"/>
          </w:tcPr>
          <w:p>
            <w:pPr>
              <w:spacing w:after="0" w:line="20" w:lineRule="exact"/>
              <w:rPr>
                <w:sz w:val="1"/>
                <w:szCs w:val="1"/>
                <w:color w:val="auto"/>
              </w:rPr>
            </w:pPr>
          </w:p>
        </w:tc>
        <w:tc>
          <w:tcPr>
            <w:tcW w:w="560" w:type="dxa"/>
            <w:vAlign w:val="bottom"/>
            <w:gridSpan w:val="1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31"/>
        </w:trPr>
        <w:tc>
          <w:tcPr>
            <w:tcW w:w="1000" w:type="dxa"/>
            <w:vAlign w:val="bottom"/>
          </w:tcPr>
          <w:p>
            <w:pPr>
              <w:spacing w:after="0"/>
              <w:rPr>
                <w:sz w:val="20"/>
                <w:szCs w:val="20"/>
                <w:color w:val="auto"/>
              </w:rPr>
            </w:pPr>
            <w:r>
              <w:rPr>
                <w:rFonts w:ascii="Arial" w:cs="Arial" w:eastAsia="Arial" w:hAnsi="Arial"/>
                <w:sz w:val="18"/>
                <w:szCs w:val="18"/>
                <w:color w:val="auto"/>
              </w:rPr>
              <w:t>10.24#</w:t>
            </w:r>
          </w:p>
        </w:tc>
        <w:tc>
          <w:tcPr>
            <w:tcW w:w="100" w:type="dxa"/>
            <w:vAlign w:val="bottom"/>
          </w:tcPr>
          <w:p>
            <w:pPr>
              <w:spacing w:after="0"/>
              <w:rPr>
                <w:sz w:val="24"/>
                <w:szCs w:val="24"/>
                <w:color w:val="auto"/>
              </w:rPr>
            </w:pPr>
          </w:p>
        </w:tc>
        <w:tc>
          <w:tcPr>
            <w:tcW w:w="6700" w:type="dxa"/>
            <w:vAlign w:val="bottom"/>
            <w:gridSpan w:val="35"/>
          </w:tcPr>
          <w:p>
            <w:pPr>
              <w:ind w:left="20"/>
              <w:spacing w:after="0"/>
              <w:rPr>
                <w:rFonts w:ascii="Arial" w:cs="Arial" w:eastAsia="Arial" w:hAnsi="Arial"/>
                <w:sz w:val="18"/>
                <w:szCs w:val="18"/>
                <w:color w:val="0000EE"/>
                <w:w w:val="97"/>
              </w:rPr>
            </w:pPr>
            <w:hyperlink r:id="rId171">
              <w:r>
                <w:rPr>
                  <w:rFonts w:ascii="Arial" w:cs="Arial" w:eastAsia="Arial" w:hAnsi="Arial"/>
                  <w:sz w:val="18"/>
                  <w:szCs w:val="18"/>
                  <w:color w:val="0000EE"/>
                  <w:w w:val="97"/>
                </w:rPr>
                <w:t>Transition and Separation Agreement, dated April 1, 2016, by and between James W.</w:t>
              </w:r>
            </w:hyperlink>
          </w:p>
        </w:tc>
        <w:tc>
          <w:tcPr>
            <w:tcW w:w="0" w:type="dxa"/>
            <w:vAlign w:val="bottom"/>
          </w:tcPr>
          <w:p>
            <w:pPr>
              <w:spacing w:after="0"/>
              <w:rPr>
                <w:sz w:val="1"/>
                <w:szCs w:val="1"/>
                <w:color w:val="auto"/>
              </w:rPr>
            </w:pPr>
          </w:p>
        </w:tc>
      </w:tr>
      <w:tr>
        <w:trPr>
          <w:trHeight w:val="196"/>
        </w:trPr>
        <w:tc>
          <w:tcPr>
            <w:tcW w:w="10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140" w:type="dxa"/>
            <w:vAlign w:val="bottom"/>
            <w:tcBorders>
              <w:top w:val="single" w:sz="8" w:color="0000EE"/>
              <w:bottom w:val="single" w:sz="8" w:color="0000EE"/>
            </w:tcBorders>
            <w:gridSpan w:val="10"/>
          </w:tcPr>
          <w:p>
            <w:pPr>
              <w:ind w:left="20"/>
              <w:spacing w:after="0" w:line="196" w:lineRule="exact"/>
              <w:rPr>
                <w:rFonts w:ascii="Arial" w:cs="Arial" w:eastAsia="Arial" w:hAnsi="Arial"/>
                <w:sz w:val="18"/>
                <w:szCs w:val="18"/>
                <w:color w:val="0000EE"/>
                <w:w w:val="90"/>
              </w:rPr>
            </w:pPr>
            <w:hyperlink r:id="rId171">
              <w:r>
                <w:rPr>
                  <w:rFonts w:ascii="Arial" w:cs="Arial" w:eastAsia="Arial" w:hAnsi="Arial"/>
                  <w:sz w:val="18"/>
                  <w:szCs w:val="18"/>
                  <w:color w:val="0000EE"/>
                  <w:w w:val="90"/>
                </w:rPr>
                <w:t>McCollum and the Company.</w:t>
              </w:r>
            </w:hyperlink>
          </w:p>
        </w:tc>
        <w:tc>
          <w:tcPr>
            <w:tcW w:w="4000" w:type="dxa"/>
            <w:vAlign w:val="bottom"/>
            <w:tcBorders>
              <w:top w:val="single" w:sz="8" w:color="0000EE"/>
            </w:tcBorders>
            <w:gridSpan w:val="15"/>
          </w:tcPr>
          <w:p>
            <w:pPr>
              <w:spacing w:after="0"/>
              <w:rPr>
                <w:sz w:val="17"/>
                <w:szCs w:val="17"/>
                <w:color w:val="auto"/>
              </w:rPr>
            </w:pPr>
          </w:p>
        </w:tc>
        <w:tc>
          <w:tcPr>
            <w:tcW w:w="560" w:type="dxa"/>
            <w:vAlign w:val="bottom"/>
            <w:gridSpan w:val="10"/>
          </w:tcPr>
          <w:p>
            <w:pPr>
              <w:spacing w:after="0"/>
              <w:rPr>
                <w:sz w:val="17"/>
                <w:szCs w:val="17"/>
                <w:color w:val="auto"/>
              </w:rPr>
            </w:pPr>
          </w:p>
        </w:tc>
        <w:tc>
          <w:tcPr>
            <w:tcW w:w="0" w:type="dxa"/>
            <w:vAlign w:val="bottom"/>
          </w:tcPr>
          <w:p>
            <w:pPr>
              <w:spacing w:after="0"/>
              <w:rPr>
                <w:sz w:val="1"/>
                <w:szCs w:val="1"/>
                <w:color w:val="auto"/>
              </w:rPr>
            </w:pPr>
          </w:p>
        </w:tc>
      </w:tr>
      <w:tr>
        <w:trPr>
          <w:trHeight w:val="453"/>
        </w:trPr>
        <w:tc>
          <w:tcPr>
            <w:tcW w:w="1000" w:type="dxa"/>
            <w:vAlign w:val="bottom"/>
          </w:tcPr>
          <w:p>
            <w:pPr>
              <w:spacing w:after="0"/>
              <w:rPr>
                <w:sz w:val="24"/>
                <w:szCs w:val="24"/>
                <w:color w:val="auto"/>
              </w:rPr>
            </w:pPr>
          </w:p>
        </w:tc>
        <w:tc>
          <w:tcPr>
            <w:tcW w:w="5820" w:type="dxa"/>
            <w:vAlign w:val="bottom"/>
            <w:gridSpan w:val="21"/>
          </w:tcPr>
          <w:p>
            <w:pPr>
              <w:jc w:val="right"/>
              <w:ind w:right="980"/>
              <w:spacing w:after="0"/>
              <w:rPr>
                <w:sz w:val="20"/>
                <w:szCs w:val="20"/>
                <w:color w:val="auto"/>
              </w:rPr>
            </w:pPr>
            <w:r>
              <w:rPr>
                <w:rFonts w:ascii="Arial" w:cs="Arial" w:eastAsia="Arial" w:hAnsi="Arial"/>
                <w:sz w:val="18"/>
                <w:szCs w:val="18"/>
                <w:color w:val="auto"/>
              </w:rPr>
              <w:t>104</w:t>
            </w:r>
          </w:p>
        </w:tc>
        <w:tc>
          <w:tcPr>
            <w:tcW w:w="2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55880</wp:posOffset>
            </wp:positionV>
            <wp:extent cx="7289165" cy="4254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72">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1"/>
        </w:trPr>
        <w:tc>
          <w:tcPr>
            <w:tcW w:w="800" w:type="dxa"/>
            <w:vAlign w:val="bottom"/>
            <w:vMerge w:val="restart"/>
          </w:tcPr>
          <w:p>
            <w:pPr>
              <w:ind w:left="220"/>
              <w:spacing w:after="0"/>
              <w:rPr>
                <w:sz w:val="20"/>
                <w:szCs w:val="20"/>
                <w:color w:val="auto"/>
              </w:rPr>
            </w:pPr>
            <w:r>
              <w:rPr>
                <w:rFonts w:ascii="Arial" w:cs="Arial" w:eastAsia="Arial" w:hAnsi="Arial"/>
                <w:sz w:val="14"/>
                <w:szCs w:val="14"/>
                <w:b w:val="1"/>
                <w:bCs w:val="1"/>
                <w:color w:val="auto"/>
              </w:rPr>
              <w:t>Form</w:t>
            </w:r>
          </w:p>
        </w:tc>
        <w:tc>
          <w:tcPr>
            <w:tcW w:w="80" w:type="dxa"/>
            <w:vAlign w:val="bottom"/>
            <w:vMerge w:val="restart"/>
          </w:tcPr>
          <w:p>
            <w:pPr>
              <w:spacing w:after="0"/>
              <w:rPr>
                <w:sz w:val="14"/>
                <w:szCs w:val="14"/>
                <w:color w:val="auto"/>
              </w:rPr>
            </w:pPr>
          </w:p>
        </w:tc>
        <w:tc>
          <w:tcPr>
            <w:tcW w:w="920" w:type="dxa"/>
            <w:vAlign w:val="bottom"/>
            <w:vMerge w:val="restart"/>
          </w:tcPr>
          <w:p>
            <w:pPr>
              <w:jc w:val="right"/>
              <w:ind w:right="251"/>
              <w:spacing w:after="0"/>
              <w:rPr>
                <w:sz w:val="20"/>
                <w:szCs w:val="20"/>
                <w:color w:val="auto"/>
              </w:rPr>
            </w:pPr>
            <w:r>
              <w:rPr>
                <w:rFonts w:ascii="Arial" w:cs="Arial" w:eastAsia="Arial" w:hAnsi="Arial"/>
                <w:sz w:val="14"/>
                <w:szCs w:val="14"/>
                <w:b w:val="1"/>
                <w:bCs w:val="1"/>
                <w:color w:val="auto"/>
              </w:rPr>
              <w:t>Date</w:t>
            </w:r>
          </w:p>
        </w:tc>
        <w:tc>
          <w:tcPr>
            <w:tcW w:w="40" w:type="dxa"/>
            <w:vAlign w:val="bottom"/>
            <w:vMerge w:val="restart"/>
          </w:tcPr>
          <w:p>
            <w:pPr>
              <w:spacing w:after="0"/>
              <w:rPr>
                <w:sz w:val="14"/>
                <w:szCs w:val="14"/>
                <w:color w:val="auto"/>
              </w:rPr>
            </w:pPr>
          </w:p>
        </w:tc>
        <w:tc>
          <w:tcPr>
            <w:tcW w:w="940" w:type="dxa"/>
            <w:vAlign w:val="bottom"/>
            <w:vMerge w:val="restart"/>
          </w:tcPr>
          <w:p>
            <w:pPr>
              <w:jc w:val="right"/>
              <w:ind w:right="151"/>
              <w:spacing w:after="0"/>
              <w:rPr>
                <w:sz w:val="20"/>
                <w:szCs w:val="20"/>
                <w:color w:val="auto"/>
              </w:rPr>
            </w:pPr>
            <w:r>
              <w:rPr>
                <w:rFonts w:ascii="Arial" w:cs="Arial" w:eastAsia="Arial" w:hAnsi="Arial"/>
                <w:sz w:val="14"/>
                <w:szCs w:val="14"/>
                <w:b w:val="1"/>
                <w:bCs w:val="1"/>
                <w:color w:val="auto"/>
              </w:rPr>
              <w:t>Number</w:t>
            </w:r>
          </w:p>
        </w:tc>
        <w:tc>
          <w:tcPr>
            <w:tcW w:w="60" w:type="dxa"/>
            <w:vAlign w:val="bottom"/>
            <w:vMerge w:val="restart"/>
          </w:tcPr>
          <w:p>
            <w:pPr>
              <w:spacing w:after="0"/>
              <w:rPr>
                <w:sz w:val="14"/>
                <w:szCs w:val="14"/>
                <w:color w:val="auto"/>
              </w:rPr>
            </w:pPr>
          </w:p>
        </w:tc>
        <w:tc>
          <w:tcPr>
            <w:tcW w:w="760" w:type="dxa"/>
            <w:vAlign w:val="bottom"/>
          </w:tcPr>
          <w:p>
            <w:pPr>
              <w:jc w:val="center"/>
              <w:spacing w:after="0"/>
              <w:rPr>
                <w:sz w:val="20"/>
                <w:szCs w:val="20"/>
                <w:color w:val="auto"/>
              </w:rPr>
            </w:pPr>
            <w:r>
              <w:rPr>
                <w:rFonts w:ascii="Arial" w:cs="Arial" w:eastAsia="Arial" w:hAnsi="Arial"/>
                <w:sz w:val="14"/>
                <w:szCs w:val="14"/>
                <w:b w:val="1"/>
                <w:bCs w:val="1"/>
                <w:color w:val="auto"/>
                <w:w w:val="97"/>
              </w:rPr>
              <w:t>Filed</w:t>
            </w:r>
          </w:p>
        </w:tc>
        <w:tc>
          <w:tcPr>
            <w:tcW w:w="0" w:type="dxa"/>
            <w:vAlign w:val="bottom"/>
          </w:tcPr>
          <w:p>
            <w:pPr>
              <w:spacing w:after="0"/>
              <w:rPr>
                <w:sz w:val="1"/>
                <w:szCs w:val="1"/>
                <w:color w:val="auto"/>
              </w:rPr>
            </w:pPr>
          </w:p>
        </w:tc>
      </w:tr>
      <w:tr>
        <w:trPr>
          <w:trHeight w:val="171"/>
        </w:trPr>
        <w:tc>
          <w:tcPr>
            <w:tcW w:w="800" w:type="dxa"/>
            <w:vAlign w:val="bottom"/>
            <w:tcBorders>
              <w:bottom w:val="single" w:sz="8" w:color="auto"/>
            </w:tcBorders>
            <w:vMerge w:val="continue"/>
          </w:tcPr>
          <w:p>
            <w:pPr>
              <w:spacing w:after="0"/>
              <w:rPr>
                <w:sz w:val="14"/>
                <w:szCs w:val="14"/>
                <w:color w:val="auto"/>
              </w:rPr>
            </w:pPr>
          </w:p>
        </w:tc>
        <w:tc>
          <w:tcPr>
            <w:tcW w:w="80" w:type="dxa"/>
            <w:vAlign w:val="bottom"/>
            <w:vMerge w:val="continue"/>
          </w:tcPr>
          <w:p>
            <w:pPr>
              <w:spacing w:after="0"/>
              <w:rPr>
                <w:sz w:val="14"/>
                <w:szCs w:val="14"/>
                <w:color w:val="auto"/>
              </w:rPr>
            </w:pPr>
          </w:p>
        </w:tc>
        <w:tc>
          <w:tcPr>
            <w:tcW w:w="920" w:type="dxa"/>
            <w:vAlign w:val="bottom"/>
            <w:tcBorders>
              <w:bottom w:val="single" w:sz="8" w:color="auto"/>
            </w:tcBorders>
            <w:vMerge w:val="continue"/>
          </w:tcPr>
          <w:p>
            <w:pPr>
              <w:spacing w:after="0"/>
              <w:rPr>
                <w:sz w:val="14"/>
                <w:szCs w:val="14"/>
                <w:color w:val="auto"/>
              </w:rPr>
            </w:pPr>
          </w:p>
        </w:tc>
        <w:tc>
          <w:tcPr>
            <w:tcW w:w="40" w:type="dxa"/>
            <w:vAlign w:val="bottom"/>
            <w:vMerge w:val="continue"/>
          </w:tcPr>
          <w:p>
            <w:pPr>
              <w:spacing w:after="0"/>
              <w:rPr>
                <w:sz w:val="14"/>
                <w:szCs w:val="14"/>
                <w:color w:val="auto"/>
              </w:rPr>
            </w:pPr>
          </w:p>
        </w:tc>
        <w:tc>
          <w:tcPr>
            <w:tcW w:w="940" w:type="dxa"/>
            <w:vAlign w:val="bottom"/>
            <w:tcBorders>
              <w:bottom w:val="single" w:sz="8" w:color="auto"/>
            </w:tcBorders>
            <w:vMerge w:val="continue"/>
          </w:tcPr>
          <w:p>
            <w:pPr>
              <w:spacing w:after="0"/>
              <w:rPr>
                <w:sz w:val="14"/>
                <w:szCs w:val="14"/>
                <w:color w:val="auto"/>
              </w:rPr>
            </w:pPr>
          </w:p>
        </w:tc>
        <w:tc>
          <w:tcPr>
            <w:tcW w:w="60" w:type="dxa"/>
            <w:vAlign w:val="bottom"/>
            <w:vMerge w:val="continue"/>
          </w:tcPr>
          <w:p>
            <w:pPr>
              <w:spacing w:after="0"/>
              <w:rPr>
                <w:sz w:val="14"/>
                <w:szCs w:val="14"/>
                <w:color w:val="auto"/>
              </w:rPr>
            </w:pPr>
          </w:p>
        </w:tc>
        <w:tc>
          <w:tcPr>
            <w:tcW w:w="7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8"/>
              </w:rPr>
              <w:t>Herewith</w:t>
            </w:r>
          </w:p>
        </w:tc>
        <w:tc>
          <w:tcPr>
            <w:tcW w:w="0" w:type="dxa"/>
            <w:vAlign w:val="bottom"/>
          </w:tcPr>
          <w:p>
            <w:pPr>
              <w:spacing w:after="0"/>
              <w:rPr>
                <w:sz w:val="1"/>
                <w:szCs w:val="1"/>
                <w:color w:val="auto"/>
              </w:rPr>
            </w:pPr>
          </w:p>
        </w:tc>
      </w:tr>
      <w:tr>
        <w:trPr>
          <w:trHeight w:val="345"/>
        </w:trPr>
        <w:tc>
          <w:tcPr>
            <w:tcW w:w="880" w:type="dxa"/>
            <w:vAlign w:val="bottom"/>
            <w:gridSpan w:val="2"/>
          </w:tcPr>
          <w:p>
            <w:pPr>
              <w:jc w:val="right"/>
              <w:ind w:right="80"/>
              <w:spacing w:after="0"/>
              <w:rPr>
                <w:sz w:val="20"/>
                <w:szCs w:val="20"/>
                <w:color w:val="auto"/>
              </w:rPr>
            </w:pPr>
            <w:r>
              <w:rPr>
                <w:rFonts w:ascii="Arial" w:cs="Arial" w:eastAsia="Arial" w:hAnsi="Arial"/>
                <w:sz w:val="18"/>
                <w:szCs w:val="18"/>
                <w:color w:val="auto"/>
              </w:rPr>
              <w:t>S-1</w:t>
            </w:r>
          </w:p>
        </w:tc>
        <w:tc>
          <w:tcPr>
            <w:tcW w:w="920" w:type="dxa"/>
            <w:vAlign w:val="bottom"/>
          </w:tcPr>
          <w:p>
            <w:pPr>
              <w:jc w:val="right"/>
              <w:spacing w:after="0"/>
              <w:rPr>
                <w:sz w:val="20"/>
                <w:szCs w:val="20"/>
                <w:color w:val="auto"/>
              </w:rPr>
            </w:pPr>
            <w:r>
              <w:rPr>
                <w:rFonts w:ascii="Arial" w:cs="Arial" w:eastAsia="Arial" w:hAnsi="Arial"/>
                <w:sz w:val="18"/>
                <w:szCs w:val="18"/>
                <w:color w:val="auto"/>
              </w:rPr>
              <w:t>9-1-17</w:t>
            </w:r>
          </w:p>
        </w:tc>
        <w:tc>
          <w:tcPr>
            <w:tcW w:w="40" w:type="dxa"/>
            <w:vAlign w:val="bottom"/>
          </w:tcPr>
          <w:p>
            <w:pPr>
              <w:spacing w:after="0"/>
              <w:rPr>
                <w:sz w:val="24"/>
                <w:szCs w:val="24"/>
                <w:color w:val="auto"/>
              </w:rPr>
            </w:pPr>
          </w:p>
        </w:tc>
        <w:tc>
          <w:tcPr>
            <w:tcW w:w="1000" w:type="dxa"/>
            <w:vAlign w:val="bottom"/>
            <w:gridSpan w:val="2"/>
          </w:tcPr>
          <w:p>
            <w:pPr>
              <w:jc w:val="right"/>
              <w:ind w:right="60"/>
              <w:spacing w:after="0"/>
              <w:rPr>
                <w:sz w:val="20"/>
                <w:szCs w:val="20"/>
                <w:color w:val="auto"/>
              </w:rPr>
            </w:pPr>
            <w:r>
              <w:rPr>
                <w:rFonts w:ascii="Arial" w:cs="Arial" w:eastAsia="Arial" w:hAnsi="Arial"/>
                <w:sz w:val="18"/>
                <w:szCs w:val="18"/>
                <w:color w:val="auto"/>
              </w:rPr>
              <w:t>10.5</w:t>
            </w:r>
          </w:p>
        </w:tc>
        <w:tc>
          <w:tcPr>
            <w:tcW w:w="7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81"/>
        </w:trPr>
        <w:tc>
          <w:tcPr>
            <w:tcW w:w="880" w:type="dxa"/>
            <w:vAlign w:val="bottom"/>
            <w:gridSpan w:val="2"/>
          </w:tcPr>
          <w:p>
            <w:pPr>
              <w:jc w:val="right"/>
              <w:ind w:right="80"/>
              <w:spacing w:after="0"/>
              <w:rPr>
                <w:sz w:val="20"/>
                <w:szCs w:val="20"/>
                <w:color w:val="auto"/>
              </w:rPr>
            </w:pPr>
            <w:r>
              <w:rPr>
                <w:rFonts w:ascii="Arial" w:cs="Arial" w:eastAsia="Arial" w:hAnsi="Arial"/>
                <w:sz w:val="18"/>
                <w:szCs w:val="18"/>
                <w:color w:val="auto"/>
              </w:rPr>
              <w:t>S-1</w:t>
            </w:r>
          </w:p>
        </w:tc>
        <w:tc>
          <w:tcPr>
            <w:tcW w:w="920" w:type="dxa"/>
            <w:vAlign w:val="bottom"/>
          </w:tcPr>
          <w:p>
            <w:pPr>
              <w:jc w:val="right"/>
              <w:spacing w:after="0"/>
              <w:rPr>
                <w:sz w:val="20"/>
                <w:szCs w:val="20"/>
                <w:color w:val="auto"/>
              </w:rPr>
            </w:pPr>
            <w:r>
              <w:rPr>
                <w:rFonts w:ascii="Arial" w:cs="Arial" w:eastAsia="Arial" w:hAnsi="Arial"/>
                <w:sz w:val="18"/>
                <w:szCs w:val="18"/>
                <w:color w:val="auto"/>
              </w:rPr>
              <w:t>9-1-17</w:t>
            </w:r>
          </w:p>
        </w:tc>
        <w:tc>
          <w:tcPr>
            <w:tcW w:w="40" w:type="dxa"/>
            <w:vAlign w:val="bottom"/>
          </w:tcPr>
          <w:p>
            <w:pPr>
              <w:spacing w:after="0"/>
              <w:rPr>
                <w:sz w:val="24"/>
                <w:szCs w:val="24"/>
                <w:color w:val="auto"/>
              </w:rPr>
            </w:pPr>
          </w:p>
        </w:tc>
        <w:tc>
          <w:tcPr>
            <w:tcW w:w="1000" w:type="dxa"/>
            <w:vAlign w:val="bottom"/>
            <w:gridSpan w:val="2"/>
          </w:tcPr>
          <w:p>
            <w:pPr>
              <w:jc w:val="right"/>
              <w:ind w:right="60"/>
              <w:spacing w:after="0"/>
              <w:rPr>
                <w:sz w:val="20"/>
                <w:szCs w:val="20"/>
                <w:color w:val="auto"/>
              </w:rPr>
            </w:pPr>
            <w:r>
              <w:rPr>
                <w:rFonts w:ascii="Arial" w:cs="Arial" w:eastAsia="Arial" w:hAnsi="Arial"/>
                <w:sz w:val="18"/>
                <w:szCs w:val="18"/>
                <w:color w:val="auto"/>
              </w:rPr>
              <w:t>10.6</w:t>
            </w:r>
          </w:p>
        </w:tc>
        <w:tc>
          <w:tcPr>
            <w:tcW w:w="7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97"/>
        </w:trPr>
        <w:tc>
          <w:tcPr>
            <w:tcW w:w="880" w:type="dxa"/>
            <w:vAlign w:val="bottom"/>
            <w:gridSpan w:val="2"/>
          </w:tcPr>
          <w:p>
            <w:pPr>
              <w:jc w:val="right"/>
              <w:ind w:right="80"/>
              <w:spacing w:after="0"/>
              <w:rPr>
                <w:sz w:val="20"/>
                <w:szCs w:val="20"/>
                <w:color w:val="auto"/>
              </w:rPr>
            </w:pPr>
            <w:r>
              <w:rPr>
                <w:rFonts w:ascii="Arial" w:cs="Arial" w:eastAsia="Arial" w:hAnsi="Arial"/>
                <w:sz w:val="18"/>
                <w:szCs w:val="18"/>
                <w:color w:val="auto"/>
              </w:rPr>
              <w:t>S-1/A</w:t>
            </w:r>
          </w:p>
        </w:tc>
        <w:tc>
          <w:tcPr>
            <w:tcW w:w="960" w:type="dxa"/>
            <w:vAlign w:val="bottom"/>
            <w:gridSpan w:val="2"/>
          </w:tcPr>
          <w:p>
            <w:pPr>
              <w:jc w:val="right"/>
              <w:ind w:right="40"/>
              <w:spacing w:after="0"/>
              <w:rPr>
                <w:sz w:val="20"/>
                <w:szCs w:val="20"/>
                <w:color w:val="auto"/>
              </w:rPr>
            </w:pPr>
            <w:r>
              <w:rPr>
                <w:rFonts w:ascii="Arial" w:cs="Arial" w:eastAsia="Arial" w:hAnsi="Arial"/>
                <w:sz w:val="18"/>
                <w:szCs w:val="18"/>
                <w:color w:val="auto"/>
              </w:rPr>
              <w:t>9-22-17</w:t>
            </w:r>
          </w:p>
        </w:tc>
        <w:tc>
          <w:tcPr>
            <w:tcW w:w="1000" w:type="dxa"/>
            <w:vAlign w:val="bottom"/>
            <w:gridSpan w:val="2"/>
          </w:tcPr>
          <w:p>
            <w:pPr>
              <w:jc w:val="right"/>
              <w:ind w:right="60"/>
              <w:spacing w:after="0"/>
              <w:rPr>
                <w:sz w:val="20"/>
                <w:szCs w:val="20"/>
                <w:color w:val="auto"/>
              </w:rPr>
            </w:pPr>
            <w:r>
              <w:rPr>
                <w:rFonts w:ascii="Arial" w:cs="Arial" w:eastAsia="Arial" w:hAnsi="Arial"/>
                <w:sz w:val="18"/>
                <w:szCs w:val="18"/>
                <w:color w:val="auto"/>
              </w:rPr>
              <w:t>10.7</w:t>
            </w:r>
          </w:p>
        </w:tc>
        <w:tc>
          <w:tcPr>
            <w:tcW w:w="7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67"/>
        </w:trPr>
        <w:tc>
          <w:tcPr>
            <w:tcW w:w="880" w:type="dxa"/>
            <w:vAlign w:val="bottom"/>
            <w:gridSpan w:val="2"/>
          </w:tcPr>
          <w:p>
            <w:pPr>
              <w:jc w:val="right"/>
              <w:ind w:right="80"/>
              <w:spacing w:after="0"/>
              <w:rPr>
                <w:sz w:val="20"/>
                <w:szCs w:val="20"/>
                <w:color w:val="auto"/>
              </w:rPr>
            </w:pPr>
            <w:r>
              <w:rPr>
                <w:rFonts w:ascii="Arial" w:cs="Arial" w:eastAsia="Arial" w:hAnsi="Arial"/>
                <w:sz w:val="18"/>
                <w:szCs w:val="18"/>
                <w:color w:val="auto"/>
              </w:rPr>
              <w:t>S-1/A</w:t>
            </w:r>
          </w:p>
        </w:tc>
        <w:tc>
          <w:tcPr>
            <w:tcW w:w="960" w:type="dxa"/>
            <w:vAlign w:val="bottom"/>
            <w:gridSpan w:val="2"/>
          </w:tcPr>
          <w:p>
            <w:pPr>
              <w:jc w:val="right"/>
              <w:ind w:right="40"/>
              <w:spacing w:after="0"/>
              <w:rPr>
                <w:sz w:val="20"/>
                <w:szCs w:val="20"/>
                <w:color w:val="auto"/>
              </w:rPr>
            </w:pPr>
            <w:r>
              <w:rPr>
                <w:rFonts w:ascii="Arial" w:cs="Arial" w:eastAsia="Arial" w:hAnsi="Arial"/>
                <w:sz w:val="18"/>
                <w:szCs w:val="18"/>
                <w:color w:val="auto"/>
              </w:rPr>
              <w:t>9-22-17</w:t>
            </w:r>
          </w:p>
        </w:tc>
        <w:tc>
          <w:tcPr>
            <w:tcW w:w="1000" w:type="dxa"/>
            <w:vAlign w:val="bottom"/>
            <w:gridSpan w:val="2"/>
          </w:tcPr>
          <w:p>
            <w:pPr>
              <w:jc w:val="right"/>
              <w:ind w:right="60"/>
              <w:spacing w:after="0"/>
              <w:rPr>
                <w:sz w:val="20"/>
                <w:szCs w:val="20"/>
                <w:color w:val="auto"/>
              </w:rPr>
            </w:pPr>
            <w:r>
              <w:rPr>
                <w:rFonts w:ascii="Arial" w:cs="Arial" w:eastAsia="Arial" w:hAnsi="Arial"/>
                <w:sz w:val="18"/>
                <w:szCs w:val="18"/>
                <w:color w:val="auto"/>
              </w:rPr>
              <w:t>10.8</w:t>
            </w:r>
          </w:p>
        </w:tc>
        <w:tc>
          <w:tcPr>
            <w:tcW w:w="7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67"/>
        </w:trPr>
        <w:tc>
          <w:tcPr>
            <w:tcW w:w="880" w:type="dxa"/>
            <w:vAlign w:val="bottom"/>
            <w:gridSpan w:val="2"/>
          </w:tcPr>
          <w:p>
            <w:pPr>
              <w:jc w:val="right"/>
              <w:ind w:right="80"/>
              <w:spacing w:after="0"/>
              <w:rPr>
                <w:sz w:val="20"/>
                <w:szCs w:val="20"/>
                <w:color w:val="auto"/>
              </w:rPr>
            </w:pPr>
            <w:r>
              <w:rPr>
                <w:rFonts w:ascii="Arial" w:cs="Arial" w:eastAsia="Arial" w:hAnsi="Arial"/>
                <w:sz w:val="18"/>
                <w:szCs w:val="18"/>
                <w:color w:val="auto"/>
              </w:rPr>
              <w:t>S-1/A</w:t>
            </w:r>
          </w:p>
        </w:tc>
        <w:tc>
          <w:tcPr>
            <w:tcW w:w="960" w:type="dxa"/>
            <w:vAlign w:val="bottom"/>
            <w:gridSpan w:val="2"/>
          </w:tcPr>
          <w:p>
            <w:pPr>
              <w:jc w:val="right"/>
              <w:ind w:right="40"/>
              <w:spacing w:after="0"/>
              <w:rPr>
                <w:sz w:val="20"/>
                <w:szCs w:val="20"/>
                <w:color w:val="auto"/>
              </w:rPr>
            </w:pPr>
            <w:r>
              <w:rPr>
                <w:rFonts w:ascii="Arial" w:cs="Arial" w:eastAsia="Arial" w:hAnsi="Arial"/>
                <w:sz w:val="18"/>
                <w:szCs w:val="18"/>
                <w:color w:val="auto"/>
              </w:rPr>
              <w:t>9-22-17</w:t>
            </w:r>
          </w:p>
        </w:tc>
        <w:tc>
          <w:tcPr>
            <w:tcW w:w="1000" w:type="dxa"/>
            <w:vAlign w:val="bottom"/>
            <w:gridSpan w:val="2"/>
          </w:tcPr>
          <w:p>
            <w:pPr>
              <w:jc w:val="right"/>
              <w:ind w:right="60"/>
              <w:spacing w:after="0"/>
              <w:rPr>
                <w:sz w:val="20"/>
                <w:szCs w:val="20"/>
                <w:color w:val="auto"/>
              </w:rPr>
            </w:pPr>
            <w:r>
              <w:rPr>
                <w:rFonts w:ascii="Arial" w:cs="Arial" w:eastAsia="Arial" w:hAnsi="Arial"/>
                <w:sz w:val="18"/>
                <w:szCs w:val="18"/>
                <w:color w:val="auto"/>
              </w:rPr>
              <w:t>10.9</w:t>
            </w:r>
          </w:p>
        </w:tc>
        <w:tc>
          <w:tcPr>
            <w:tcW w:w="7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67"/>
        </w:trPr>
        <w:tc>
          <w:tcPr>
            <w:tcW w:w="880" w:type="dxa"/>
            <w:vAlign w:val="bottom"/>
            <w:gridSpan w:val="2"/>
          </w:tcPr>
          <w:p>
            <w:pPr>
              <w:jc w:val="right"/>
              <w:ind w:right="80"/>
              <w:spacing w:after="0"/>
              <w:rPr>
                <w:sz w:val="20"/>
                <w:szCs w:val="20"/>
                <w:color w:val="auto"/>
              </w:rPr>
            </w:pPr>
            <w:r>
              <w:rPr>
                <w:rFonts w:ascii="Arial" w:cs="Arial" w:eastAsia="Arial" w:hAnsi="Arial"/>
                <w:sz w:val="18"/>
                <w:szCs w:val="18"/>
                <w:color w:val="auto"/>
              </w:rPr>
              <w:t>S-8</w:t>
            </w:r>
          </w:p>
        </w:tc>
        <w:tc>
          <w:tcPr>
            <w:tcW w:w="920" w:type="dxa"/>
            <w:vAlign w:val="bottom"/>
          </w:tcPr>
          <w:p>
            <w:pPr>
              <w:jc w:val="right"/>
              <w:spacing w:after="0"/>
              <w:rPr>
                <w:sz w:val="20"/>
                <w:szCs w:val="20"/>
                <w:color w:val="auto"/>
              </w:rPr>
            </w:pPr>
            <w:r>
              <w:rPr>
                <w:rFonts w:ascii="Arial" w:cs="Arial" w:eastAsia="Arial" w:hAnsi="Arial"/>
                <w:sz w:val="18"/>
                <w:szCs w:val="18"/>
                <w:color w:val="auto"/>
              </w:rPr>
              <w:t>10-17-17</w:t>
            </w:r>
          </w:p>
        </w:tc>
        <w:tc>
          <w:tcPr>
            <w:tcW w:w="40" w:type="dxa"/>
            <w:vAlign w:val="bottom"/>
          </w:tcPr>
          <w:p>
            <w:pPr>
              <w:spacing w:after="0"/>
              <w:rPr>
                <w:sz w:val="24"/>
                <w:szCs w:val="24"/>
                <w:color w:val="auto"/>
              </w:rPr>
            </w:pPr>
          </w:p>
        </w:tc>
        <w:tc>
          <w:tcPr>
            <w:tcW w:w="1000" w:type="dxa"/>
            <w:vAlign w:val="bottom"/>
            <w:gridSpan w:val="2"/>
          </w:tcPr>
          <w:p>
            <w:pPr>
              <w:jc w:val="right"/>
              <w:ind w:right="60"/>
              <w:spacing w:after="0"/>
              <w:rPr>
                <w:sz w:val="20"/>
                <w:szCs w:val="20"/>
                <w:color w:val="auto"/>
              </w:rPr>
            </w:pPr>
            <w:r>
              <w:rPr>
                <w:rFonts w:ascii="Arial" w:cs="Arial" w:eastAsia="Arial" w:hAnsi="Arial"/>
                <w:sz w:val="18"/>
                <w:szCs w:val="18"/>
                <w:color w:val="auto"/>
              </w:rPr>
              <w:t>99.1</w:t>
            </w:r>
          </w:p>
        </w:tc>
        <w:tc>
          <w:tcPr>
            <w:tcW w:w="7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5"/>
        </w:trPr>
        <w:tc>
          <w:tcPr>
            <w:tcW w:w="880" w:type="dxa"/>
            <w:vAlign w:val="bottom"/>
            <w:gridSpan w:val="2"/>
          </w:tcPr>
          <w:p>
            <w:pPr>
              <w:jc w:val="right"/>
              <w:ind w:right="80"/>
              <w:spacing w:after="0"/>
              <w:rPr>
                <w:sz w:val="20"/>
                <w:szCs w:val="20"/>
                <w:color w:val="auto"/>
              </w:rPr>
            </w:pPr>
            <w:r>
              <w:rPr>
                <w:rFonts w:ascii="Arial" w:cs="Arial" w:eastAsia="Arial" w:hAnsi="Arial"/>
                <w:sz w:val="18"/>
                <w:szCs w:val="18"/>
                <w:color w:val="auto"/>
              </w:rPr>
              <w:t>S-1</w:t>
            </w:r>
          </w:p>
        </w:tc>
        <w:tc>
          <w:tcPr>
            <w:tcW w:w="920" w:type="dxa"/>
            <w:vAlign w:val="bottom"/>
          </w:tcPr>
          <w:p>
            <w:pPr>
              <w:jc w:val="right"/>
              <w:spacing w:after="0"/>
              <w:rPr>
                <w:sz w:val="20"/>
                <w:szCs w:val="20"/>
                <w:color w:val="auto"/>
              </w:rPr>
            </w:pPr>
            <w:r>
              <w:rPr>
                <w:rFonts w:ascii="Arial" w:cs="Arial" w:eastAsia="Arial" w:hAnsi="Arial"/>
                <w:sz w:val="18"/>
                <w:szCs w:val="18"/>
                <w:color w:val="auto"/>
              </w:rPr>
              <w:t>9-1-17</w:t>
            </w:r>
          </w:p>
        </w:tc>
        <w:tc>
          <w:tcPr>
            <w:tcW w:w="40" w:type="dxa"/>
            <w:vAlign w:val="bottom"/>
          </w:tcPr>
          <w:p>
            <w:pPr>
              <w:spacing w:after="0"/>
              <w:rPr>
                <w:sz w:val="24"/>
                <w:szCs w:val="24"/>
                <w:color w:val="auto"/>
              </w:rPr>
            </w:pPr>
          </w:p>
        </w:tc>
        <w:tc>
          <w:tcPr>
            <w:tcW w:w="1000" w:type="dxa"/>
            <w:vAlign w:val="bottom"/>
            <w:gridSpan w:val="2"/>
          </w:tcPr>
          <w:p>
            <w:pPr>
              <w:jc w:val="right"/>
              <w:ind w:right="60"/>
              <w:spacing w:after="0"/>
              <w:rPr>
                <w:sz w:val="20"/>
                <w:szCs w:val="20"/>
                <w:color w:val="auto"/>
              </w:rPr>
            </w:pPr>
            <w:r>
              <w:rPr>
                <w:rFonts w:ascii="Arial" w:cs="Arial" w:eastAsia="Arial" w:hAnsi="Arial"/>
                <w:sz w:val="18"/>
                <w:szCs w:val="18"/>
                <w:color w:val="auto"/>
              </w:rPr>
              <w:t>10.20</w:t>
            </w:r>
          </w:p>
        </w:tc>
        <w:tc>
          <w:tcPr>
            <w:tcW w:w="7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5"/>
        </w:trPr>
        <w:tc>
          <w:tcPr>
            <w:tcW w:w="880" w:type="dxa"/>
            <w:vAlign w:val="bottom"/>
            <w:gridSpan w:val="2"/>
          </w:tcPr>
          <w:p>
            <w:pPr>
              <w:jc w:val="right"/>
              <w:ind w:right="80"/>
              <w:spacing w:after="0"/>
              <w:rPr>
                <w:sz w:val="20"/>
                <w:szCs w:val="20"/>
                <w:color w:val="auto"/>
              </w:rPr>
            </w:pPr>
            <w:r>
              <w:rPr>
                <w:rFonts w:ascii="Arial" w:cs="Arial" w:eastAsia="Arial" w:hAnsi="Arial"/>
                <w:sz w:val="18"/>
                <w:szCs w:val="18"/>
                <w:color w:val="auto"/>
              </w:rPr>
              <w:t>S-1</w:t>
            </w:r>
          </w:p>
        </w:tc>
        <w:tc>
          <w:tcPr>
            <w:tcW w:w="920" w:type="dxa"/>
            <w:vAlign w:val="bottom"/>
          </w:tcPr>
          <w:p>
            <w:pPr>
              <w:jc w:val="right"/>
              <w:spacing w:after="0"/>
              <w:rPr>
                <w:sz w:val="20"/>
                <w:szCs w:val="20"/>
                <w:color w:val="auto"/>
              </w:rPr>
            </w:pPr>
            <w:r>
              <w:rPr>
                <w:rFonts w:ascii="Arial" w:cs="Arial" w:eastAsia="Arial" w:hAnsi="Arial"/>
                <w:sz w:val="18"/>
                <w:szCs w:val="18"/>
                <w:color w:val="auto"/>
              </w:rPr>
              <w:t>9-1-17</w:t>
            </w:r>
          </w:p>
        </w:tc>
        <w:tc>
          <w:tcPr>
            <w:tcW w:w="40" w:type="dxa"/>
            <w:vAlign w:val="bottom"/>
          </w:tcPr>
          <w:p>
            <w:pPr>
              <w:spacing w:after="0"/>
              <w:rPr>
                <w:sz w:val="24"/>
                <w:szCs w:val="24"/>
                <w:color w:val="auto"/>
              </w:rPr>
            </w:pPr>
          </w:p>
        </w:tc>
        <w:tc>
          <w:tcPr>
            <w:tcW w:w="1000" w:type="dxa"/>
            <w:vAlign w:val="bottom"/>
            <w:gridSpan w:val="2"/>
          </w:tcPr>
          <w:p>
            <w:pPr>
              <w:jc w:val="right"/>
              <w:ind w:right="60"/>
              <w:spacing w:after="0"/>
              <w:rPr>
                <w:sz w:val="20"/>
                <w:szCs w:val="20"/>
                <w:color w:val="auto"/>
              </w:rPr>
            </w:pPr>
            <w:r>
              <w:rPr>
                <w:rFonts w:ascii="Arial" w:cs="Arial" w:eastAsia="Arial" w:hAnsi="Arial"/>
                <w:sz w:val="18"/>
                <w:szCs w:val="18"/>
                <w:color w:val="auto"/>
              </w:rPr>
              <w:t>10.21</w:t>
            </w:r>
          </w:p>
        </w:tc>
        <w:tc>
          <w:tcPr>
            <w:tcW w:w="7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67"/>
        </w:trPr>
        <w:tc>
          <w:tcPr>
            <w:tcW w:w="880" w:type="dxa"/>
            <w:vAlign w:val="bottom"/>
            <w:gridSpan w:val="2"/>
          </w:tcPr>
          <w:p>
            <w:pPr>
              <w:jc w:val="right"/>
              <w:ind w:right="80"/>
              <w:spacing w:after="0"/>
              <w:rPr>
                <w:sz w:val="20"/>
                <w:szCs w:val="20"/>
                <w:color w:val="auto"/>
              </w:rPr>
            </w:pPr>
            <w:r>
              <w:rPr>
                <w:rFonts w:ascii="Arial" w:cs="Arial" w:eastAsia="Arial" w:hAnsi="Arial"/>
                <w:sz w:val="18"/>
                <w:szCs w:val="18"/>
                <w:color w:val="auto"/>
              </w:rPr>
              <w:t>S-8</w:t>
            </w:r>
          </w:p>
        </w:tc>
        <w:tc>
          <w:tcPr>
            <w:tcW w:w="920" w:type="dxa"/>
            <w:vAlign w:val="bottom"/>
          </w:tcPr>
          <w:p>
            <w:pPr>
              <w:jc w:val="right"/>
              <w:spacing w:after="0"/>
              <w:rPr>
                <w:sz w:val="20"/>
                <w:szCs w:val="20"/>
                <w:color w:val="auto"/>
              </w:rPr>
            </w:pPr>
            <w:r>
              <w:rPr>
                <w:rFonts w:ascii="Arial" w:cs="Arial" w:eastAsia="Arial" w:hAnsi="Arial"/>
                <w:sz w:val="18"/>
                <w:szCs w:val="18"/>
                <w:color w:val="auto"/>
              </w:rPr>
              <w:t>10-17-17</w:t>
            </w:r>
          </w:p>
        </w:tc>
        <w:tc>
          <w:tcPr>
            <w:tcW w:w="40" w:type="dxa"/>
            <w:vAlign w:val="bottom"/>
          </w:tcPr>
          <w:p>
            <w:pPr>
              <w:spacing w:after="0"/>
              <w:rPr>
                <w:sz w:val="24"/>
                <w:szCs w:val="24"/>
                <w:color w:val="auto"/>
              </w:rPr>
            </w:pPr>
          </w:p>
        </w:tc>
        <w:tc>
          <w:tcPr>
            <w:tcW w:w="1000" w:type="dxa"/>
            <w:vAlign w:val="bottom"/>
            <w:gridSpan w:val="2"/>
          </w:tcPr>
          <w:p>
            <w:pPr>
              <w:jc w:val="right"/>
              <w:ind w:right="60"/>
              <w:spacing w:after="0"/>
              <w:rPr>
                <w:sz w:val="20"/>
                <w:szCs w:val="20"/>
                <w:color w:val="auto"/>
              </w:rPr>
            </w:pPr>
            <w:r>
              <w:rPr>
                <w:rFonts w:ascii="Arial" w:cs="Arial" w:eastAsia="Arial" w:hAnsi="Arial"/>
                <w:sz w:val="18"/>
                <w:szCs w:val="18"/>
                <w:color w:val="auto"/>
              </w:rPr>
              <w:t>99.4</w:t>
            </w:r>
          </w:p>
        </w:tc>
        <w:tc>
          <w:tcPr>
            <w:tcW w:w="7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5"/>
        </w:trPr>
        <w:tc>
          <w:tcPr>
            <w:tcW w:w="880" w:type="dxa"/>
            <w:vAlign w:val="bottom"/>
            <w:gridSpan w:val="2"/>
          </w:tcPr>
          <w:p>
            <w:pPr>
              <w:jc w:val="right"/>
              <w:ind w:right="80"/>
              <w:spacing w:after="0"/>
              <w:rPr>
                <w:sz w:val="20"/>
                <w:szCs w:val="20"/>
                <w:color w:val="auto"/>
              </w:rPr>
            </w:pPr>
            <w:r>
              <w:rPr>
                <w:rFonts w:ascii="Arial" w:cs="Arial" w:eastAsia="Arial" w:hAnsi="Arial"/>
                <w:sz w:val="18"/>
                <w:szCs w:val="18"/>
                <w:color w:val="auto"/>
              </w:rPr>
              <w:t>S-1</w:t>
            </w:r>
          </w:p>
        </w:tc>
        <w:tc>
          <w:tcPr>
            <w:tcW w:w="920" w:type="dxa"/>
            <w:vAlign w:val="bottom"/>
          </w:tcPr>
          <w:p>
            <w:pPr>
              <w:jc w:val="right"/>
              <w:spacing w:after="0"/>
              <w:rPr>
                <w:sz w:val="20"/>
                <w:szCs w:val="20"/>
                <w:color w:val="auto"/>
              </w:rPr>
            </w:pPr>
            <w:r>
              <w:rPr>
                <w:rFonts w:ascii="Arial" w:cs="Arial" w:eastAsia="Arial" w:hAnsi="Arial"/>
                <w:sz w:val="18"/>
                <w:szCs w:val="18"/>
                <w:color w:val="auto"/>
              </w:rPr>
              <w:t>9-1-17</w:t>
            </w:r>
          </w:p>
        </w:tc>
        <w:tc>
          <w:tcPr>
            <w:tcW w:w="40" w:type="dxa"/>
            <w:vAlign w:val="bottom"/>
          </w:tcPr>
          <w:p>
            <w:pPr>
              <w:spacing w:after="0"/>
              <w:rPr>
                <w:sz w:val="24"/>
                <w:szCs w:val="24"/>
                <w:color w:val="auto"/>
              </w:rPr>
            </w:pPr>
          </w:p>
        </w:tc>
        <w:tc>
          <w:tcPr>
            <w:tcW w:w="1000" w:type="dxa"/>
            <w:vAlign w:val="bottom"/>
            <w:gridSpan w:val="2"/>
          </w:tcPr>
          <w:p>
            <w:pPr>
              <w:jc w:val="right"/>
              <w:ind w:right="60"/>
              <w:spacing w:after="0"/>
              <w:rPr>
                <w:sz w:val="20"/>
                <w:szCs w:val="20"/>
                <w:color w:val="auto"/>
              </w:rPr>
            </w:pPr>
            <w:r>
              <w:rPr>
                <w:rFonts w:ascii="Arial" w:cs="Arial" w:eastAsia="Arial" w:hAnsi="Arial"/>
                <w:sz w:val="18"/>
                <w:szCs w:val="18"/>
                <w:color w:val="auto"/>
              </w:rPr>
              <w:t>10.23</w:t>
            </w:r>
          </w:p>
        </w:tc>
        <w:tc>
          <w:tcPr>
            <w:tcW w:w="7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67"/>
        </w:trPr>
        <w:tc>
          <w:tcPr>
            <w:tcW w:w="880" w:type="dxa"/>
            <w:vAlign w:val="bottom"/>
            <w:gridSpan w:val="2"/>
          </w:tcPr>
          <w:p>
            <w:pPr>
              <w:jc w:val="right"/>
              <w:ind w:right="80"/>
              <w:spacing w:after="0"/>
              <w:rPr>
                <w:sz w:val="20"/>
                <w:szCs w:val="20"/>
                <w:color w:val="auto"/>
              </w:rPr>
            </w:pPr>
            <w:r>
              <w:rPr>
                <w:rFonts w:ascii="Arial" w:cs="Arial" w:eastAsia="Arial" w:hAnsi="Arial"/>
                <w:sz w:val="18"/>
                <w:szCs w:val="18"/>
                <w:color w:val="auto"/>
              </w:rPr>
              <w:t>S-1</w:t>
            </w:r>
          </w:p>
        </w:tc>
        <w:tc>
          <w:tcPr>
            <w:tcW w:w="920" w:type="dxa"/>
            <w:vAlign w:val="bottom"/>
          </w:tcPr>
          <w:p>
            <w:pPr>
              <w:jc w:val="right"/>
              <w:spacing w:after="0"/>
              <w:rPr>
                <w:sz w:val="20"/>
                <w:szCs w:val="20"/>
                <w:color w:val="auto"/>
              </w:rPr>
            </w:pPr>
            <w:r>
              <w:rPr>
                <w:rFonts w:ascii="Arial" w:cs="Arial" w:eastAsia="Arial" w:hAnsi="Arial"/>
                <w:sz w:val="18"/>
                <w:szCs w:val="18"/>
                <w:color w:val="auto"/>
              </w:rPr>
              <w:t>9-1-17</w:t>
            </w:r>
          </w:p>
        </w:tc>
        <w:tc>
          <w:tcPr>
            <w:tcW w:w="40" w:type="dxa"/>
            <w:vAlign w:val="bottom"/>
          </w:tcPr>
          <w:p>
            <w:pPr>
              <w:spacing w:after="0"/>
              <w:rPr>
                <w:sz w:val="24"/>
                <w:szCs w:val="24"/>
                <w:color w:val="auto"/>
              </w:rPr>
            </w:pPr>
          </w:p>
        </w:tc>
        <w:tc>
          <w:tcPr>
            <w:tcW w:w="1000" w:type="dxa"/>
            <w:vAlign w:val="bottom"/>
            <w:gridSpan w:val="2"/>
          </w:tcPr>
          <w:p>
            <w:pPr>
              <w:jc w:val="right"/>
              <w:ind w:right="60"/>
              <w:spacing w:after="0"/>
              <w:rPr>
                <w:sz w:val="20"/>
                <w:szCs w:val="20"/>
                <w:color w:val="auto"/>
              </w:rPr>
            </w:pPr>
            <w:r>
              <w:rPr>
                <w:rFonts w:ascii="Arial" w:cs="Arial" w:eastAsia="Arial" w:hAnsi="Arial"/>
                <w:sz w:val="18"/>
                <w:szCs w:val="18"/>
                <w:color w:val="auto"/>
              </w:rPr>
              <w:t>10.24</w:t>
            </w:r>
          </w:p>
        </w:tc>
        <w:tc>
          <w:tcPr>
            <w:tcW w:w="7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67"/>
        </w:trPr>
        <w:tc>
          <w:tcPr>
            <w:tcW w:w="880" w:type="dxa"/>
            <w:vAlign w:val="bottom"/>
            <w:gridSpan w:val="2"/>
          </w:tcPr>
          <w:p>
            <w:pPr>
              <w:jc w:val="right"/>
              <w:ind w:right="80"/>
              <w:spacing w:after="0"/>
              <w:rPr>
                <w:sz w:val="20"/>
                <w:szCs w:val="20"/>
                <w:color w:val="auto"/>
              </w:rPr>
            </w:pPr>
            <w:r>
              <w:rPr>
                <w:rFonts w:ascii="Arial" w:cs="Arial" w:eastAsia="Arial" w:hAnsi="Arial"/>
                <w:sz w:val="18"/>
                <w:szCs w:val="18"/>
                <w:color w:val="auto"/>
              </w:rPr>
              <w:t>S-8</w:t>
            </w:r>
          </w:p>
        </w:tc>
        <w:tc>
          <w:tcPr>
            <w:tcW w:w="920" w:type="dxa"/>
            <w:vAlign w:val="bottom"/>
          </w:tcPr>
          <w:p>
            <w:pPr>
              <w:jc w:val="right"/>
              <w:spacing w:after="0"/>
              <w:rPr>
                <w:sz w:val="20"/>
                <w:szCs w:val="20"/>
                <w:color w:val="auto"/>
              </w:rPr>
            </w:pPr>
            <w:r>
              <w:rPr>
                <w:rFonts w:ascii="Arial" w:cs="Arial" w:eastAsia="Arial" w:hAnsi="Arial"/>
                <w:sz w:val="18"/>
                <w:szCs w:val="18"/>
                <w:color w:val="auto"/>
              </w:rPr>
              <w:t>10-17-17</w:t>
            </w:r>
          </w:p>
        </w:tc>
        <w:tc>
          <w:tcPr>
            <w:tcW w:w="40" w:type="dxa"/>
            <w:vAlign w:val="bottom"/>
          </w:tcPr>
          <w:p>
            <w:pPr>
              <w:spacing w:after="0"/>
              <w:rPr>
                <w:sz w:val="24"/>
                <w:szCs w:val="24"/>
                <w:color w:val="auto"/>
              </w:rPr>
            </w:pPr>
          </w:p>
        </w:tc>
        <w:tc>
          <w:tcPr>
            <w:tcW w:w="1000" w:type="dxa"/>
            <w:vAlign w:val="bottom"/>
            <w:gridSpan w:val="2"/>
          </w:tcPr>
          <w:p>
            <w:pPr>
              <w:jc w:val="right"/>
              <w:ind w:right="60"/>
              <w:spacing w:after="0"/>
              <w:rPr>
                <w:sz w:val="20"/>
                <w:szCs w:val="20"/>
                <w:color w:val="auto"/>
              </w:rPr>
            </w:pPr>
            <w:r>
              <w:rPr>
                <w:rFonts w:ascii="Arial" w:cs="Arial" w:eastAsia="Arial" w:hAnsi="Arial"/>
                <w:sz w:val="18"/>
                <w:szCs w:val="18"/>
                <w:color w:val="auto"/>
              </w:rPr>
              <w:t>99.11</w:t>
            </w:r>
          </w:p>
        </w:tc>
        <w:tc>
          <w:tcPr>
            <w:tcW w:w="7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5"/>
        </w:trPr>
        <w:tc>
          <w:tcPr>
            <w:tcW w:w="880" w:type="dxa"/>
            <w:vAlign w:val="bottom"/>
            <w:gridSpan w:val="2"/>
          </w:tcPr>
          <w:p>
            <w:pPr>
              <w:jc w:val="right"/>
              <w:ind w:right="80"/>
              <w:spacing w:after="0"/>
              <w:rPr>
                <w:sz w:val="20"/>
                <w:szCs w:val="20"/>
                <w:color w:val="auto"/>
              </w:rPr>
            </w:pPr>
            <w:r>
              <w:rPr>
                <w:rFonts w:ascii="Arial" w:cs="Arial" w:eastAsia="Arial" w:hAnsi="Arial"/>
                <w:sz w:val="18"/>
                <w:szCs w:val="18"/>
                <w:color w:val="auto"/>
              </w:rPr>
              <w:t>S-1/A</w:t>
            </w:r>
          </w:p>
        </w:tc>
        <w:tc>
          <w:tcPr>
            <w:tcW w:w="960" w:type="dxa"/>
            <w:vAlign w:val="bottom"/>
            <w:gridSpan w:val="2"/>
          </w:tcPr>
          <w:p>
            <w:pPr>
              <w:jc w:val="right"/>
              <w:ind w:right="40"/>
              <w:spacing w:after="0"/>
              <w:rPr>
                <w:sz w:val="20"/>
                <w:szCs w:val="20"/>
                <w:color w:val="auto"/>
              </w:rPr>
            </w:pPr>
            <w:r>
              <w:rPr>
                <w:rFonts w:ascii="Arial" w:cs="Arial" w:eastAsia="Arial" w:hAnsi="Arial"/>
                <w:sz w:val="18"/>
                <w:szCs w:val="18"/>
                <w:color w:val="auto"/>
              </w:rPr>
              <w:t>9-18-17</w:t>
            </w:r>
          </w:p>
        </w:tc>
        <w:tc>
          <w:tcPr>
            <w:tcW w:w="1000" w:type="dxa"/>
            <w:vAlign w:val="bottom"/>
            <w:gridSpan w:val="2"/>
          </w:tcPr>
          <w:p>
            <w:pPr>
              <w:jc w:val="right"/>
              <w:ind w:right="60"/>
              <w:spacing w:after="0"/>
              <w:rPr>
                <w:sz w:val="20"/>
                <w:szCs w:val="20"/>
                <w:color w:val="auto"/>
              </w:rPr>
            </w:pPr>
            <w:r>
              <w:rPr>
                <w:rFonts w:ascii="Arial" w:cs="Arial" w:eastAsia="Arial" w:hAnsi="Arial"/>
                <w:sz w:val="18"/>
                <w:szCs w:val="18"/>
                <w:color w:val="auto"/>
              </w:rPr>
              <w:t>10.26</w:t>
            </w:r>
          </w:p>
        </w:tc>
        <w:tc>
          <w:tcPr>
            <w:tcW w:w="7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67"/>
        </w:trPr>
        <w:tc>
          <w:tcPr>
            <w:tcW w:w="880" w:type="dxa"/>
            <w:vAlign w:val="bottom"/>
            <w:gridSpan w:val="2"/>
          </w:tcPr>
          <w:p>
            <w:pPr>
              <w:jc w:val="right"/>
              <w:ind w:right="80"/>
              <w:spacing w:after="0"/>
              <w:rPr>
                <w:sz w:val="20"/>
                <w:szCs w:val="20"/>
                <w:color w:val="auto"/>
              </w:rPr>
            </w:pPr>
            <w:r>
              <w:rPr>
                <w:rFonts w:ascii="Arial" w:cs="Arial" w:eastAsia="Arial" w:hAnsi="Arial"/>
                <w:sz w:val="18"/>
                <w:szCs w:val="18"/>
                <w:color w:val="auto"/>
              </w:rPr>
              <w:t>S-1/A</w:t>
            </w:r>
          </w:p>
        </w:tc>
        <w:tc>
          <w:tcPr>
            <w:tcW w:w="960" w:type="dxa"/>
            <w:vAlign w:val="bottom"/>
            <w:gridSpan w:val="2"/>
          </w:tcPr>
          <w:p>
            <w:pPr>
              <w:jc w:val="right"/>
              <w:ind w:right="40"/>
              <w:spacing w:after="0"/>
              <w:rPr>
                <w:sz w:val="20"/>
                <w:szCs w:val="20"/>
                <w:color w:val="auto"/>
              </w:rPr>
            </w:pPr>
            <w:r>
              <w:rPr>
                <w:rFonts w:ascii="Arial" w:cs="Arial" w:eastAsia="Arial" w:hAnsi="Arial"/>
                <w:sz w:val="18"/>
                <w:szCs w:val="18"/>
                <w:color w:val="auto"/>
              </w:rPr>
              <w:t>9-18-17</w:t>
            </w:r>
          </w:p>
        </w:tc>
        <w:tc>
          <w:tcPr>
            <w:tcW w:w="1000" w:type="dxa"/>
            <w:vAlign w:val="bottom"/>
            <w:gridSpan w:val="2"/>
          </w:tcPr>
          <w:p>
            <w:pPr>
              <w:jc w:val="right"/>
              <w:ind w:right="60"/>
              <w:spacing w:after="0"/>
              <w:rPr>
                <w:sz w:val="20"/>
                <w:szCs w:val="20"/>
                <w:color w:val="auto"/>
              </w:rPr>
            </w:pPr>
            <w:r>
              <w:rPr>
                <w:rFonts w:ascii="Arial" w:cs="Arial" w:eastAsia="Arial" w:hAnsi="Arial"/>
                <w:sz w:val="18"/>
                <w:szCs w:val="18"/>
                <w:color w:val="auto"/>
              </w:rPr>
              <w:t>10.27</w:t>
            </w:r>
          </w:p>
        </w:tc>
        <w:tc>
          <w:tcPr>
            <w:tcW w:w="7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81"/>
        </w:trPr>
        <w:tc>
          <w:tcPr>
            <w:tcW w:w="880" w:type="dxa"/>
            <w:vAlign w:val="bottom"/>
            <w:gridSpan w:val="2"/>
          </w:tcPr>
          <w:p>
            <w:pPr>
              <w:jc w:val="right"/>
              <w:ind w:right="80"/>
              <w:spacing w:after="0"/>
              <w:rPr>
                <w:sz w:val="20"/>
                <w:szCs w:val="20"/>
                <w:color w:val="auto"/>
              </w:rPr>
            </w:pPr>
            <w:r>
              <w:rPr>
                <w:rFonts w:ascii="Arial" w:cs="Arial" w:eastAsia="Arial" w:hAnsi="Arial"/>
                <w:sz w:val="18"/>
                <w:szCs w:val="18"/>
                <w:color w:val="auto"/>
              </w:rPr>
              <w:t>S-1/A</w:t>
            </w:r>
          </w:p>
        </w:tc>
        <w:tc>
          <w:tcPr>
            <w:tcW w:w="960" w:type="dxa"/>
            <w:vAlign w:val="bottom"/>
            <w:gridSpan w:val="2"/>
          </w:tcPr>
          <w:p>
            <w:pPr>
              <w:jc w:val="right"/>
              <w:ind w:right="40"/>
              <w:spacing w:after="0"/>
              <w:rPr>
                <w:sz w:val="20"/>
                <w:szCs w:val="20"/>
                <w:color w:val="auto"/>
              </w:rPr>
            </w:pPr>
            <w:r>
              <w:rPr>
                <w:rFonts w:ascii="Arial" w:cs="Arial" w:eastAsia="Arial" w:hAnsi="Arial"/>
                <w:sz w:val="18"/>
                <w:szCs w:val="18"/>
                <w:color w:val="auto"/>
              </w:rPr>
              <w:t>9-18-17</w:t>
            </w:r>
          </w:p>
        </w:tc>
        <w:tc>
          <w:tcPr>
            <w:tcW w:w="1000" w:type="dxa"/>
            <w:vAlign w:val="bottom"/>
            <w:gridSpan w:val="2"/>
          </w:tcPr>
          <w:p>
            <w:pPr>
              <w:jc w:val="right"/>
              <w:ind w:right="60"/>
              <w:spacing w:after="0"/>
              <w:rPr>
                <w:sz w:val="20"/>
                <w:szCs w:val="20"/>
                <w:color w:val="auto"/>
              </w:rPr>
            </w:pPr>
            <w:r>
              <w:rPr>
                <w:rFonts w:ascii="Arial" w:cs="Arial" w:eastAsia="Arial" w:hAnsi="Arial"/>
                <w:sz w:val="18"/>
                <w:szCs w:val="18"/>
                <w:color w:val="auto"/>
              </w:rPr>
              <w:t>10.28</w:t>
            </w:r>
          </w:p>
        </w:tc>
        <w:tc>
          <w:tcPr>
            <w:tcW w:w="7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67"/>
        </w:trPr>
        <w:tc>
          <w:tcPr>
            <w:tcW w:w="880" w:type="dxa"/>
            <w:vAlign w:val="bottom"/>
            <w:gridSpan w:val="2"/>
          </w:tcPr>
          <w:p>
            <w:pPr>
              <w:jc w:val="right"/>
              <w:ind w:right="80"/>
              <w:spacing w:after="0"/>
              <w:rPr>
                <w:sz w:val="20"/>
                <w:szCs w:val="20"/>
                <w:color w:val="auto"/>
              </w:rPr>
            </w:pPr>
            <w:r>
              <w:rPr>
                <w:rFonts w:ascii="Arial" w:cs="Arial" w:eastAsia="Arial" w:hAnsi="Arial"/>
                <w:sz w:val="18"/>
                <w:szCs w:val="18"/>
                <w:color w:val="auto"/>
              </w:rPr>
              <w:t>S-8</w:t>
            </w:r>
          </w:p>
        </w:tc>
        <w:tc>
          <w:tcPr>
            <w:tcW w:w="920" w:type="dxa"/>
            <w:vAlign w:val="bottom"/>
          </w:tcPr>
          <w:p>
            <w:pPr>
              <w:jc w:val="right"/>
              <w:spacing w:after="0"/>
              <w:rPr>
                <w:sz w:val="20"/>
                <w:szCs w:val="20"/>
                <w:color w:val="auto"/>
              </w:rPr>
            </w:pPr>
            <w:r>
              <w:rPr>
                <w:rFonts w:ascii="Arial" w:cs="Arial" w:eastAsia="Arial" w:hAnsi="Arial"/>
                <w:sz w:val="18"/>
                <w:szCs w:val="18"/>
                <w:color w:val="auto"/>
              </w:rPr>
              <w:t>10-17-17</w:t>
            </w:r>
          </w:p>
        </w:tc>
        <w:tc>
          <w:tcPr>
            <w:tcW w:w="40" w:type="dxa"/>
            <w:vAlign w:val="bottom"/>
          </w:tcPr>
          <w:p>
            <w:pPr>
              <w:spacing w:after="0"/>
              <w:rPr>
                <w:sz w:val="24"/>
                <w:szCs w:val="24"/>
                <w:color w:val="auto"/>
              </w:rPr>
            </w:pPr>
          </w:p>
        </w:tc>
        <w:tc>
          <w:tcPr>
            <w:tcW w:w="1000" w:type="dxa"/>
            <w:vAlign w:val="bottom"/>
            <w:gridSpan w:val="2"/>
          </w:tcPr>
          <w:p>
            <w:pPr>
              <w:jc w:val="right"/>
              <w:ind w:right="60"/>
              <w:spacing w:after="0"/>
              <w:rPr>
                <w:sz w:val="20"/>
                <w:szCs w:val="20"/>
                <w:color w:val="auto"/>
              </w:rPr>
            </w:pPr>
            <w:r>
              <w:rPr>
                <w:rFonts w:ascii="Arial" w:cs="Arial" w:eastAsia="Arial" w:hAnsi="Arial"/>
                <w:sz w:val="18"/>
                <w:szCs w:val="18"/>
                <w:color w:val="auto"/>
              </w:rPr>
              <w:t>99.11</w:t>
            </w:r>
          </w:p>
        </w:tc>
        <w:tc>
          <w:tcPr>
            <w:tcW w:w="7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5"/>
        </w:trPr>
        <w:tc>
          <w:tcPr>
            <w:tcW w:w="880" w:type="dxa"/>
            <w:vAlign w:val="bottom"/>
            <w:gridSpan w:val="2"/>
          </w:tcPr>
          <w:p>
            <w:pPr>
              <w:jc w:val="right"/>
              <w:ind w:right="80"/>
              <w:spacing w:after="0"/>
              <w:rPr>
                <w:sz w:val="20"/>
                <w:szCs w:val="20"/>
                <w:color w:val="auto"/>
              </w:rPr>
            </w:pPr>
            <w:r>
              <w:rPr>
                <w:rFonts w:ascii="Arial" w:cs="Arial" w:eastAsia="Arial" w:hAnsi="Arial"/>
                <w:sz w:val="18"/>
                <w:szCs w:val="18"/>
                <w:color w:val="auto"/>
              </w:rPr>
              <w:t>S-1</w:t>
            </w:r>
          </w:p>
        </w:tc>
        <w:tc>
          <w:tcPr>
            <w:tcW w:w="920" w:type="dxa"/>
            <w:vAlign w:val="bottom"/>
          </w:tcPr>
          <w:p>
            <w:pPr>
              <w:jc w:val="right"/>
              <w:spacing w:after="0"/>
              <w:rPr>
                <w:sz w:val="20"/>
                <w:szCs w:val="20"/>
                <w:color w:val="auto"/>
              </w:rPr>
            </w:pPr>
            <w:r>
              <w:rPr>
                <w:rFonts w:ascii="Arial" w:cs="Arial" w:eastAsia="Arial" w:hAnsi="Arial"/>
                <w:sz w:val="18"/>
                <w:szCs w:val="18"/>
                <w:color w:val="auto"/>
              </w:rPr>
              <w:t>9-1-17</w:t>
            </w:r>
          </w:p>
        </w:tc>
        <w:tc>
          <w:tcPr>
            <w:tcW w:w="40" w:type="dxa"/>
            <w:vAlign w:val="bottom"/>
          </w:tcPr>
          <w:p>
            <w:pPr>
              <w:spacing w:after="0"/>
              <w:rPr>
                <w:sz w:val="24"/>
                <w:szCs w:val="24"/>
                <w:color w:val="auto"/>
              </w:rPr>
            </w:pPr>
          </w:p>
        </w:tc>
        <w:tc>
          <w:tcPr>
            <w:tcW w:w="1000" w:type="dxa"/>
            <w:vAlign w:val="bottom"/>
            <w:gridSpan w:val="2"/>
          </w:tcPr>
          <w:p>
            <w:pPr>
              <w:jc w:val="right"/>
              <w:ind w:right="60"/>
              <w:spacing w:after="0"/>
              <w:rPr>
                <w:sz w:val="20"/>
                <w:szCs w:val="20"/>
                <w:color w:val="auto"/>
              </w:rPr>
            </w:pPr>
            <w:r>
              <w:rPr>
                <w:rFonts w:ascii="Arial" w:cs="Arial" w:eastAsia="Arial" w:hAnsi="Arial"/>
                <w:sz w:val="18"/>
                <w:szCs w:val="18"/>
                <w:color w:val="auto"/>
              </w:rPr>
              <w:t>10.30</w:t>
            </w:r>
          </w:p>
        </w:tc>
        <w:tc>
          <w:tcPr>
            <w:tcW w:w="7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67"/>
        </w:trPr>
        <w:tc>
          <w:tcPr>
            <w:tcW w:w="880" w:type="dxa"/>
            <w:vAlign w:val="bottom"/>
            <w:gridSpan w:val="2"/>
          </w:tcPr>
          <w:p>
            <w:pPr>
              <w:jc w:val="right"/>
              <w:ind w:right="80"/>
              <w:spacing w:after="0"/>
              <w:rPr>
                <w:sz w:val="20"/>
                <w:szCs w:val="20"/>
                <w:color w:val="auto"/>
              </w:rPr>
            </w:pPr>
            <w:r>
              <w:rPr>
                <w:rFonts w:ascii="Arial" w:cs="Arial" w:eastAsia="Arial" w:hAnsi="Arial"/>
                <w:sz w:val="18"/>
                <w:szCs w:val="18"/>
                <w:color w:val="auto"/>
              </w:rPr>
              <w:t>S-1</w:t>
            </w:r>
          </w:p>
        </w:tc>
        <w:tc>
          <w:tcPr>
            <w:tcW w:w="920" w:type="dxa"/>
            <w:vAlign w:val="bottom"/>
          </w:tcPr>
          <w:p>
            <w:pPr>
              <w:jc w:val="right"/>
              <w:spacing w:after="0"/>
              <w:rPr>
                <w:sz w:val="20"/>
                <w:szCs w:val="20"/>
                <w:color w:val="auto"/>
              </w:rPr>
            </w:pPr>
            <w:r>
              <w:rPr>
                <w:rFonts w:ascii="Arial" w:cs="Arial" w:eastAsia="Arial" w:hAnsi="Arial"/>
                <w:sz w:val="18"/>
                <w:szCs w:val="18"/>
                <w:color w:val="auto"/>
              </w:rPr>
              <w:t>9-1-17</w:t>
            </w:r>
          </w:p>
        </w:tc>
        <w:tc>
          <w:tcPr>
            <w:tcW w:w="40" w:type="dxa"/>
            <w:vAlign w:val="bottom"/>
          </w:tcPr>
          <w:p>
            <w:pPr>
              <w:spacing w:after="0"/>
              <w:rPr>
                <w:sz w:val="24"/>
                <w:szCs w:val="24"/>
                <w:color w:val="auto"/>
              </w:rPr>
            </w:pPr>
          </w:p>
        </w:tc>
        <w:tc>
          <w:tcPr>
            <w:tcW w:w="1000" w:type="dxa"/>
            <w:vAlign w:val="bottom"/>
            <w:gridSpan w:val="2"/>
          </w:tcPr>
          <w:p>
            <w:pPr>
              <w:jc w:val="right"/>
              <w:ind w:right="60"/>
              <w:spacing w:after="0"/>
              <w:rPr>
                <w:sz w:val="20"/>
                <w:szCs w:val="20"/>
                <w:color w:val="auto"/>
              </w:rPr>
            </w:pPr>
            <w:r>
              <w:rPr>
                <w:rFonts w:ascii="Arial" w:cs="Arial" w:eastAsia="Arial" w:hAnsi="Arial"/>
                <w:sz w:val="18"/>
                <w:szCs w:val="18"/>
                <w:color w:val="auto"/>
              </w:rPr>
              <w:t>10.31</w:t>
            </w:r>
          </w:p>
        </w:tc>
        <w:tc>
          <w:tcPr>
            <w:tcW w:w="7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67"/>
        </w:trPr>
        <w:tc>
          <w:tcPr>
            <w:tcW w:w="880" w:type="dxa"/>
            <w:vAlign w:val="bottom"/>
            <w:gridSpan w:val="2"/>
          </w:tcPr>
          <w:p>
            <w:pPr>
              <w:jc w:val="right"/>
              <w:ind w:right="80"/>
              <w:spacing w:after="0"/>
              <w:rPr>
                <w:sz w:val="20"/>
                <w:szCs w:val="20"/>
                <w:color w:val="auto"/>
              </w:rPr>
            </w:pPr>
            <w:r>
              <w:rPr>
                <w:rFonts w:ascii="Arial" w:cs="Arial" w:eastAsia="Arial" w:hAnsi="Arial"/>
                <w:sz w:val="18"/>
                <w:szCs w:val="18"/>
                <w:color w:val="auto"/>
              </w:rPr>
              <w:t>S-1</w:t>
            </w:r>
          </w:p>
        </w:tc>
        <w:tc>
          <w:tcPr>
            <w:tcW w:w="920" w:type="dxa"/>
            <w:vAlign w:val="bottom"/>
          </w:tcPr>
          <w:p>
            <w:pPr>
              <w:jc w:val="right"/>
              <w:spacing w:after="0"/>
              <w:rPr>
                <w:sz w:val="20"/>
                <w:szCs w:val="20"/>
                <w:color w:val="auto"/>
              </w:rPr>
            </w:pPr>
            <w:r>
              <w:rPr>
                <w:rFonts w:ascii="Arial" w:cs="Arial" w:eastAsia="Arial" w:hAnsi="Arial"/>
                <w:sz w:val="18"/>
                <w:szCs w:val="18"/>
                <w:color w:val="auto"/>
              </w:rPr>
              <w:t>9-1-17</w:t>
            </w:r>
          </w:p>
        </w:tc>
        <w:tc>
          <w:tcPr>
            <w:tcW w:w="40" w:type="dxa"/>
            <w:vAlign w:val="bottom"/>
          </w:tcPr>
          <w:p>
            <w:pPr>
              <w:spacing w:after="0"/>
              <w:rPr>
                <w:sz w:val="24"/>
                <w:szCs w:val="24"/>
                <w:color w:val="auto"/>
              </w:rPr>
            </w:pPr>
          </w:p>
        </w:tc>
        <w:tc>
          <w:tcPr>
            <w:tcW w:w="1000" w:type="dxa"/>
            <w:vAlign w:val="bottom"/>
            <w:gridSpan w:val="2"/>
          </w:tcPr>
          <w:p>
            <w:pPr>
              <w:jc w:val="right"/>
              <w:ind w:right="60"/>
              <w:spacing w:after="0"/>
              <w:rPr>
                <w:sz w:val="20"/>
                <w:szCs w:val="20"/>
                <w:color w:val="auto"/>
              </w:rPr>
            </w:pPr>
            <w:r>
              <w:rPr>
                <w:rFonts w:ascii="Arial" w:cs="Arial" w:eastAsia="Arial" w:hAnsi="Arial"/>
                <w:sz w:val="18"/>
                <w:szCs w:val="18"/>
                <w:color w:val="auto"/>
              </w:rPr>
              <w:t>10.32</w:t>
            </w:r>
          </w:p>
        </w:tc>
        <w:tc>
          <w:tcPr>
            <w:tcW w:w="7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67"/>
        </w:trPr>
        <w:tc>
          <w:tcPr>
            <w:tcW w:w="880" w:type="dxa"/>
            <w:vAlign w:val="bottom"/>
            <w:gridSpan w:val="2"/>
          </w:tcPr>
          <w:p>
            <w:pPr>
              <w:jc w:val="right"/>
              <w:ind w:right="80"/>
              <w:spacing w:after="0"/>
              <w:rPr>
                <w:sz w:val="20"/>
                <w:szCs w:val="20"/>
                <w:color w:val="auto"/>
              </w:rPr>
            </w:pPr>
            <w:r>
              <w:rPr>
                <w:rFonts w:ascii="Arial" w:cs="Arial" w:eastAsia="Arial" w:hAnsi="Arial"/>
                <w:sz w:val="18"/>
                <w:szCs w:val="18"/>
                <w:color w:val="auto"/>
              </w:rPr>
              <w:t>S-1</w:t>
            </w:r>
          </w:p>
        </w:tc>
        <w:tc>
          <w:tcPr>
            <w:tcW w:w="920" w:type="dxa"/>
            <w:vAlign w:val="bottom"/>
          </w:tcPr>
          <w:p>
            <w:pPr>
              <w:jc w:val="right"/>
              <w:spacing w:after="0"/>
              <w:rPr>
                <w:sz w:val="20"/>
                <w:szCs w:val="20"/>
                <w:color w:val="auto"/>
              </w:rPr>
            </w:pPr>
            <w:r>
              <w:rPr>
                <w:rFonts w:ascii="Arial" w:cs="Arial" w:eastAsia="Arial" w:hAnsi="Arial"/>
                <w:sz w:val="18"/>
                <w:szCs w:val="18"/>
                <w:color w:val="auto"/>
              </w:rPr>
              <w:t>9-1-17</w:t>
            </w:r>
          </w:p>
        </w:tc>
        <w:tc>
          <w:tcPr>
            <w:tcW w:w="40" w:type="dxa"/>
            <w:vAlign w:val="bottom"/>
          </w:tcPr>
          <w:p>
            <w:pPr>
              <w:spacing w:after="0"/>
              <w:rPr>
                <w:sz w:val="24"/>
                <w:szCs w:val="24"/>
                <w:color w:val="auto"/>
              </w:rPr>
            </w:pPr>
          </w:p>
        </w:tc>
        <w:tc>
          <w:tcPr>
            <w:tcW w:w="1000" w:type="dxa"/>
            <w:vAlign w:val="bottom"/>
            <w:gridSpan w:val="2"/>
          </w:tcPr>
          <w:p>
            <w:pPr>
              <w:jc w:val="right"/>
              <w:ind w:right="60"/>
              <w:spacing w:after="0"/>
              <w:rPr>
                <w:sz w:val="20"/>
                <w:szCs w:val="20"/>
                <w:color w:val="auto"/>
              </w:rPr>
            </w:pPr>
            <w:r>
              <w:rPr>
                <w:rFonts w:ascii="Arial" w:cs="Arial" w:eastAsia="Arial" w:hAnsi="Arial"/>
                <w:sz w:val="18"/>
                <w:szCs w:val="18"/>
                <w:color w:val="auto"/>
              </w:rPr>
              <w:t>10.33</w:t>
            </w:r>
          </w:p>
        </w:tc>
        <w:tc>
          <w:tcPr>
            <w:tcW w:w="7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2">
            <w:col w:w="7800" w:space="20"/>
            <w:col w:w="3600"/>
          </w:cols>
          <w:pgMar w:left="240" w:top="320" w:right="239" w:bottom="1440" w:gutter="0" w:footer="0" w:header="0"/>
        </w:sectPr>
      </w:pPr>
    </w:p>
    <w:bookmarkStart w:id="105" w:name="page106"/>
    <w:bookmarkEnd w:id="105"/>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000" w:type="dxa"/>
            <w:vAlign w:val="bottom"/>
          </w:tcPr>
          <w:p>
            <w:pPr>
              <w:spacing w:after="0"/>
              <w:rPr>
                <w:sz w:val="20"/>
                <w:szCs w:val="20"/>
                <w:color w:val="auto"/>
              </w:rPr>
            </w:pPr>
            <w:r>
              <w:rPr>
                <w:rFonts w:ascii="Arial" w:cs="Arial" w:eastAsia="Arial" w:hAnsi="Arial"/>
                <w:sz w:val="14"/>
                <w:szCs w:val="14"/>
                <w:b w:val="1"/>
                <w:bCs w:val="1"/>
                <w:color w:val="auto"/>
              </w:rPr>
              <w:t>Exhibit</w:t>
            </w:r>
          </w:p>
        </w:tc>
        <w:tc>
          <w:tcPr>
            <w:tcW w:w="1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1640" w:type="dxa"/>
            <w:vAlign w:val="bottom"/>
            <w:gridSpan w:val="5"/>
            <w:vMerge w:val="restart"/>
          </w:tcPr>
          <w:p>
            <w:pPr>
              <w:ind w:left="220"/>
              <w:spacing w:after="0"/>
              <w:rPr>
                <w:sz w:val="20"/>
                <w:szCs w:val="20"/>
                <w:color w:val="auto"/>
              </w:rPr>
            </w:pPr>
            <w:r>
              <w:rPr>
                <w:rFonts w:ascii="Arial" w:cs="Arial" w:eastAsia="Arial" w:hAnsi="Arial"/>
                <w:sz w:val="14"/>
                <w:szCs w:val="14"/>
                <w:b w:val="1"/>
                <w:bCs w:val="1"/>
                <w:color w:val="auto"/>
              </w:rPr>
              <w:t>Exhibit Description</w:t>
            </w:r>
          </w:p>
        </w:tc>
        <w:tc>
          <w:tcPr>
            <w:tcW w:w="2180" w:type="dxa"/>
            <w:vAlign w:val="bottom"/>
            <w:gridSpan w:val="10"/>
            <w:vMerge w:val="restart"/>
          </w:tcPr>
          <w:p>
            <w:pPr>
              <w:spacing w:after="0"/>
              <w:rPr>
                <w:sz w:val="14"/>
                <w:szCs w:val="14"/>
                <w:color w:val="auto"/>
              </w:rPr>
            </w:pPr>
          </w:p>
        </w:tc>
        <w:tc>
          <w:tcPr>
            <w:tcW w:w="800" w:type="dxa"/>
            <w:vAlign w:val="bottom"/>
            <w:vMerge w:val="restart"/>
          </w:tcPr>
          <w:p>
            <w:pPr>
              <w:ind w:left="220"/>
              <w:spacing w:after="0"/>
              <w:rPr>
                <w:sz w:val="20"/>
                <w:szCs w:val="20"/>
                <w:color w:val="auto"/>
              </w:rPr>
            </w:pPr>
            <w:r>
              <w:rPr>
                <w:rFonts w:ascii="Arial" w:cs="Arial" w:eastAsia="Arial" w:hAnsi="Arial"/>
                <w:sz w:val="14"/>
                <w:szCs w:val="14"/>
                <w:b w:val="1"/>
                <w:bCs w:val="1"/>
                <w:color w:val="auto"/>
              </w:rPr>
              <w:t>Form</w:t>
            </w:r>
          </w:p>
        </w:tc>
        <w:tc>
          <w:tcPr>
            <w:tcW w:w="80" w:type="dxa"/>
            <w:vAlign w:val="bottom"/>
            <w:vMerge w:val="restart"/>
          </w:tcPr>
          <w:p>
            <w:pPr>
              <w:spacing w:after="0"/>
              <w:rPr>
                <w:sz w:val="14"/>
                <w:szCs w:val="14"/>
                <w:color w:val="auto"/>
              </w:rPr>
            </w:pPr>
          </w:p>
        </w:tc>
        <w:tc>
          <w:tcPr>
            <w:tcW w:w="920" w:type="dxa"/>
            <w:vAlign w:val="bottom"/>
            <w:vMerge w:val="restart"/>
          </w:tcPr>
          <w:p>
            <w:pPr>
              <w:jc w:val="right"/>
              <w:ind w:right="254"/>
              <w:spacing w:after="0"/>
              <w:rPr>
                <w:sz w:val="20"/>
                <w:szCs w:val="20"/>
                <w:color w:val="auto"/>
              </w:rPr>
            </w:pPr>
            <w:r>
              <w:rPr>
                <w:rFonts w:ascii="Arial" w:cs="Arial" w:eastAsia="Arial" w:hAnsi="Arial"/>
                <w:sz w:val="14"/>
                <w:szCs w:val="14"/>
                <w:b w:val="1"/>
                <w:bCs w:val="1"/>
                <w:color w:val="auto"/>
              </w:rPr>
              <w:t>Date</w:t>
            </w:r>
          </w:p>
        </w:tc>
        <w:tc>
          <w:tcPr>
            <w:tcW w:w="40" w:type="dxa"/>
            <w:vAlign w:val="bottom"/>
            <w:vMerge w:val="restart"/>
          </w:tcPr>
          <w:p>
            <w:pPr>
              <w:spacing w:after="0"/>
              <w:rPr>
                <w:sz w:val="14"/>
                <w:szCs w:val="14"/>
                <w:color w:val="auto"/>
              </w:rPr>
            </w:pPr>
          </w:p>
        </w:tc>
        <w:tc>
          <w:tcPr>
            <w:tcW w:w="940" w:type="dxa"/>
            <w:vAlign w:val="bottom"/>
            <w:vMerge w:val="restart"/>
          </w:tcPr>
          <w:p>
            <w:pPr>
              <w:jc w:val="right"/>
              <w:ind w:right="154"/>
              <w:spacing w:after="0"/>
              <w:rPr>
                <w:sz w:val="20"/>
                <w:szCs w:val="20"/>
                <w:color w:val="auto"/>
              </w:rPr>
            </w:pPr>
            <w:r>
              <w:rPr>
                <w:rFonts w:ascii="Arial" w:cs="Arial" w:eastAsia="Arial" w:hAnsi="Arial"/>
                <w:sz w:val="14"/>
                <w:szCs w:val="14"/>
                <w:b w:val="1"/>
                <w:bCs w:val="1"/>
                <w:color w:val="auto"/>
              </w:rPr>
              <w:t>Number</w:t>
            </w:r>
          </w:p>
        </w:tc>
        <w:tc>
          <w:tcPr>
            <w:tcW w:w="60" w:type="dxa"/>
            <w:vAlign w:val="bottom"/>
            <w:vMerge w:val="restart"/>
          </w:tcPr>
          <w:p>
            <w:pPr>
              <w:spacing w:after="0"/>
              <w:rPr>
                <w:sz w:val="14"/>
                <w:szCs w:val="14"/>
                <w:color w:val="auto"/>
              </w:rPr>
            </w:pPr>
          </w:p>
        </w:tc>
        <w:tc>
          <w:tcPr>
            <w:tcW w:w="760" w:type="dxa"/>
            <w:vAlign w:val="bottom"/>
          </w:tcPr>
          <w:p>
            <w:pPr>
              <w:jc w:val="center"/>
              <w:spacing w:after="0"/>
              <w:rPr>
                <w:sz w:val="20"/>
                <w:szCs w:val="20"/>
                <w:color w:val="auto"/>
              </w:rPr>
            </w:pPr>
            <w:r>
              <w:rPr>
                <w:rFonts w:ascii="Arial" w:cs="Arial" w:eastAsia="Arial" w:hAnsi="Arial"/>
                <w:sz w:val="14"/>
                <w:szCs w:val="14"/>
                <w:b w:val="1"/>
                <w:bCs w:val="1"/>
                <w:color w:val="auto"/>
                <w:w w:val="97"/>
              </w:rPr>
              <w:t>Filed</w:t>
            </w:r>
          </w:p>
        </w:tc>
        <w:tc>
          <w:tcPr>
            <w:tcW w:w="0" w:type="dxa"/>
            <w:vAlign w:val="bottom"/>
          </w:tcPr>
          <w:p>
            <w:pPr>
              <w:spacing w:after="0"/>
              <w:rPr>
                <w:sz w:val="1"/>
                <w:szCs w:val="1"/>
                <w:color w:val="auto"/>
              </w:rPr>
            </w:pPr>
          </w:p>
        </w:tc>
      </w:tr>
      <w:tr>
        <w:trPr>
          <w:trHeight w:val="171"/>
        </w:trPr>
        <w:tc>
          <w:tcPr>
            <w:tcW w:w="100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Number</w:t>
            </w:r>
          </w:p>
        </w:tc>
        <w:tc>
          <w:tcPr>
            <w:tcW w:w="1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1640" w:type="dxa"/>
            <w:vAlign w:val="bottom"/>
            <w:tcBorders>
              <w:bottom w:val="single" w:sz="8" w:color="auto"/>
            </w:tcBorders>
            <w:gridSpan w:val="5"/>
            <w:vMerge w:val="continue"/>
          </w:tcPr>
          <w:p>
            <w:pPr>
              <w:spacing w:after="0"/>
              <w:rPr>
                <w:sz w:val="14"/>
                <w:szCs w:val="14"/>
                <w:color w:val="auto"/>
              </w:rPr>
            </w:pPr>
          </w:p>
        </w:tc>
        <w:tc>
          <w:tcPr>
            <w:tcW w:w="2180" w:type="dxa"/>
            <w:vAlign w:val="bottom"/>
            <w:gridSpan w:val="10"/>
            <w:vMerge w:val="continue"/>
          </w:tcPr>
          <w:p>
            <w:pPr>
              <w:spacing w:after="0"/>
              <w:rPr>
                <w:sz w:val="14"/>
                <w:szCs w:val="14"/>
                <w:color w:val="auto"/>
              </w:rPr>
            </w:pPr>
          </w:p>
        </w:tc>
        <w:tc>
          <w:tcPr>
            <w:tcW w:w="800" w:type="dxa"/>
            <w:vAlign w:val="bottom"/>
            <w:tcBorders>
              <w:bottom w:val="single" w:sz="8" w:color="auto"/>
            </w:tcBorders>
            <w:vMerge w:val="continue"/>
          </w:tcPr>
          <w:p>
            <w:pPr>
              <w:spacing w:after="0"/>
              <w:rPr>
                <w:sz w:val="14"/>
                <w:szCs w:val="14"/>
                <w:color w:val="auto"/>
              </w:rPr>
            </w:pPr>
          </w:p>
        </w:tc>
        <w:tc>
          <w:tcPr>
            <w:tcW w:w="80" w:type="dxa"/>
            <w:vAlign w:val="bottom"/>
            <w:vMerge w:val="continue"/>
          </w:tcPr>
          <w:p>
            <w:pPr>
              <w:spacing w:after="0"/>
              <w:rPr>
                <w:sz w:val="14"/>
                <w:szCs w:val="14"/>
                <w:color w:val="auto"/>
              </w:rPr>
            </w:pPr>
          </w:p>
        </w:tc>
        <w:tc>
          <w:tcPr>
            <w:tcW w:w="920" w:type="dxa"/>
            <w:vAlign w:val="bottom"/>
            <w:tcBorders>
              <w:bottom w:val="single" w:sz="8" w:color="auto"/>
            </w:tcBorders>
            <w:vMerge w:val="continue"/>
          </w:tcPr>
          <w:p>
            <w:pPr>
              <w:spacing w:after="0"/>
              <w:rPr>
                <w:sz w:val="14"/>
                <w:szCs w:val="14"/>
                <w:color w:val="auto"/>
              </w:rPr>
            </w:pPr>
          </w:p>
        </w:tc>
        <w:tc>
          <w:tcPr>
            <w:tcW w:w="40" w:type="dxa"/>
            <w:vAlign w:val="bottom"/>
            <w:vMerge w:val="continue"/>
          </w:tcPr>
          <w:p>
            <w:pPr>
              <w:spacing w:after="0"/>
              <w:rPr>
                <w:sz w:val="14"/>
                <w:szCs w:val="14"/>
                <w:color w:val="auto"/>
              </w:rPr>
            </w:pPr>
          </w:p>
        </w:tc>
        <w:tc>
          <w:tcPr>
            <w:tcW w:w="940" w:type="dxa"/>
            <w:vAlign w:val="bottom"/>
            <w:tcBorders>
              <w:bottom w:val="single" w:sz="8" w:color="auto"/>
            </w:tcBorders>
            <w:vMerge w:val="continue"/>
          </w:tcPr>
          <w:p>
            <w:pPr>
              <w:spacing w:after="0"/>
              <w:rPr>
                <w:sz w:val="14"/>
                <w:szCs w:val="14"/>
                <w:color w:val="auto"/>
              </w:rPr>
            </w:pPr>
          </w:p>
        </w:tc>
        <w:tc>
          <w:tcPr>
            <w:tcW w:w="60" w:type="dxa"/>
            <w:vAlign w:val="bottom"/>
            <w:vMerge w:val="continue"/>
          </w:tcPr>
          <w:p>
            <w:pPr>
              <w:spacing w:after="0"/>
              <w:rPr>
                <w:sz w:val="14"/>
                <w:szCs w:val="14"/>
                <w:color w:val="auto"/>
              </w:rPr>
            </w:pPr>
          </w:p>
        </w:tc>
        <w:tc>
          <w:tcPr>
            <w:tcW w:w="7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8"/>
              </w:rPr>
              <w:t>Herewith</w:t>
            </w:r>
          </w:p>
        </w:tc>
        <w:tc>
          <w:tcPr>
            <w:tcW w:w="0" w:type="dxa"/>
            <w:vAlign w:val="bottom"/>
          </w:tcPr>
          <w:p>
            <w:pPr>
              <w:spacing w:after="0"/>
              <w:rPr>
                <w:sz w:val="1"/>
                <w:szCs w:val="1"/>
                <w:color w:val="auto"/>
              </w:rPr>
            </w:pPr>
          </w:p>
        </w:tc>
      </w:tr>
      <w:tr>
        <w:trPr>
          <w:trHeight w:val="304"/>
        </w:trPr>
        <w:tc>
          <w:tcPr>
            <w:tcW w:w="1000" w:type="dxa"/>
            <w:vAlign w:val="bottom"/>
          </w:tcPr>
          <w:p>
            <w:pPr>
              <w:spacing w:after="0"/>
              <w:rPr>
                <w:sz w:val="20"/>
                <w:szCs w:val="20"/>
                <w:color w:val="auto"/>
              </w:rPr>
            </w:pPr>
            <w:r>
              <w:rPr>
                <w:rFonts w:ascii="Arial" w:cs="Arial" w:eastAsia="Arial" w:hAnsi="Arial"/>
                <w:sz w:val="18"/>
                <w:szCs w:val="18"/>
                <w:color w:val="auto"/>
              </w:rPr>
              <w:t>10.25#</w:t>
            </w:r>
          </w:p>
        </w:tc>
        <w:tc>
          <w:tcPr>
            <w:tcW w:w="100" w:type="dxa"/>
            <w:vAlign w:val="bottom"/>
          </w:tcPr>
          <w:p>
            <w:pPr>
              <w:spacing w:after="0"/>
              <w:rPr>
                <w:sz w:val="24"/>
                <w:szCs w:val="24"/>
                <w:color w:val="auto"/>
              </w:rPr>
            </w:pPr>
          </w:p>
        </w:tc>
        <w:tc>
          <w:tcPr>
            <w:tcW w:w="6720" w:type="dxa"/>
            <w:vAlign w:val="bottom"/>
            <w:gridSpan w:val="20"/>
          </w:tcPr>
          <w:p>
            <w:pPr>
              <w:ind w:left="20"/>
              <w:spacing w:after="0"/>
              <w:rPr>
                <w:rFonts w:ascii="Arial" w:cs="Arial" w:eastAsia="Arial" w:hAnsi="Arial"/>
                <w:sz w:val="18"/>
                <w:szCs w:val="18"/>
                <w:color w:val="0000EE"/>
                <w:w w:val="93"/>
              </w:rPr>
            </w:pPr>
            <w:hyperlink r:id="rId173">
              <w:r>
                <w:rPr>
                  <w:rFonts w:ascii="Arial" w:cs="Arial" w:eastAsia="Arial" w:hAnsi="Arial"/>
                  <w:sz w:val="18"/>
                  <w:szCs w:val="18"/>
                  <w:color w:val="0000EE"/>
                  <w:w w:val="93"/>
                </w:rPr>
                <w:t>Separation Letter Agreement, dated August, 3, 2016, by and between Lisa Edone and the</w:t>
              </w:r>
            </w:hyperlink>
          </w:p>
        </w:tc>
        <w:tc>
          <w:tcPr>
            <w:tcW w:w="880" w:type="dxa"/>
            <w:vAlign w:val="bottom"/>
            <w:gridSpan w:val="2"/>
          </w:tcPr>
          <w:p>
            <w:pPr>
              <w:jc w:val="right"/>
              <w:ind w:right="80"/>
              <w:spacing w:after="0"/>
              <w:rPr>
                <w:sz w:val="20"/>
                <w:szCs w:val="20"/>
                <w:color w:val="auto"/>
              </w:rPr>
            </w:pPr>
            <w:r>
              <w:rPr>
                <w:rFonts w:ascii="Arial" w:cs="Arial" w:eastAsia="Arial" w:hAnsi="Arial"/>
                <w:sz w:val="18"/>
                <w:szCs w:val="18"/>
                <w:color w:val="auto"/>
              </w:rPr>
              <w:t>S-1</w:t>
            </w:r>
          </w:p>
        </w:tc>
        <w:tc>
          <w:tcPr>
            <w:tcW w:w="920" w:type="dxa"/>
            <w:vAlign w:val="bottom"/>
          </w:tcPr>
          <w:p>
            <w:pPr>
              <w:jc w:val="right"/>
              <w:spacing w:after="0"/>
              <w:rPr>
                <w:sz w:val="20"/>
                <w:szCs w:val="20"/>
                <w:color w:val="auto"/>
              </w:rPr>
            </w:pPr>
            <w:r>
              <w:rPr>
                <w:rFonts w:ascii="Arial" w:cs="Arial" w:eastAsia="Arial" w:hAnsi="Arial"/>
                <w:sz w:val="18"/>
                <w:szCs w:val="18"/>
                <w:color w:val="auto"/>
              </w:rPr>
              <w:t>9-1-17</w:t>
            </w:r>
          </w:p>
        </w:tc>
        <w:tc>
          <w:tcPr>
            <w:tcW w:w="40" w:type="dxa"/>
            <w:vAlign w:val="bottom"/>
          </w:tcPr>
          <w:p>
            <w:pPr>
              <w:spacing w:after="0"/>
              <w:rPr>
                <w:sz w:val="24"/>
                <w:szCs w:val="24"/>
                <w:color w:val="auto"/>
              </w:rPr>
            </w:pPr>
          </w:p>
        </w:tc>
        <w:tc>
          <w:tcPr>
            <w:tcW w:w="1000" w:type="dxa"/>
            <w:vAlign w:val="bottom"/>
            <w:gridSpan w:val="2"/>
          </w:tcPr>
          <w:p>
            <w:pPr>
              <w:jc w:val="right"/>
              <w:ind w:right="60"/>
              <w:spacing w:after="0"/>
              <w:rPr>
                <w:sz w:val="20"/>
                <w:szCs w:val="20"/>
                <w:color w:val="auto"/>
              </w:rPr>
            </w:pPr>
            <w:r>
              <w:rPr>
                <w:rFonts w:ascii="Arial" w:cs="Arial" w:eastAsia="Arial" w:hAnsi="Arial"/>
                <w:sz w:val="18"/>
                <w:szCs w:val="18"/>
                <w:color w:val="auto"/>
              </w:rPr>
              <w:t>10.34</w:t>
            </w:r>
          </w:p>
        </w:tc>
        <w:tc>
          <w:tcPr>
            <w:tcW w:w="7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10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420" w:type="dxa"/>
            <w:vAlign w:val="bottom"/>
            <w:tcBorders>
              <w:top w:val="single" w:sz="8" w:color="0000EE"/>
            </w:tcBorders>
            <w:gridSpan w:val="13"/>
          </w:tcPr>
          <w:p>
            <w:pPr>
              <w:ind w:left="20"/>
              <w:spacing w:after="0" w:line="196" w:lineRule="exact"/>
              <w:rPr>
                <w:rFonts w:ascii="Arial" w:cs="Arial" w:eastAsia="Arial" w:hAnsi="Arial"/>
                <w:sz w:val="18"/>
                <w:szCs w:val="18"/>
                <w:color w:val="0000EE"/>
              </w:rPr>
            </w:pPr>
            <w:hyperlink r:id="rId173">
              <w:r>
                <w:rPr>
                  <w:rFonts w:ascii="Arial" w:cs="Arial" w:eastAsia="Arial" w:hAnsi="Arial"/>
                  <w:sz w:val="18"/>
                  <w:szCs w:val="18"/>
                  <w:color w:val="0000EE"/>
                </w:rPr>
                <w:t>Company.</w:t>
              </w:r>
            </w:hyperlink>
          </w:p>
        </w:tc>
        <w:tc>
          <w:tcPr>
            <w:tcW w:w="300" w:type="dxa"/>
            <w:vAlign w:val="bottom"/>
            <w:gridSpan w:val="7"/>
          </w:tcPr>
          <w:p>
            <w:pPr>
              <w:spacing w:after="0"/>
              <w:rPr>
                <w:sz w:val="17"/>
                <w:szCs w:val="17"/>
                <w:color w:val="auto"/>
              </w:rPr>
            </w:pPr>
          </w:p>
        </w:tc>
        <w:tc>
          <w:tcPr>
            <w:tcW w:w="8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0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80" w:type="dxa"/>
            <w:vAlign w:val="bottom"/>
            <w:gridSpan w:val="2"/>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60" w:type="dxa"/>
            <w:vAlign w:val="bottom"/>
            <w:gridSpan w:val="2"/>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80" w:type="dxa"/>
            <w:vAlign w:val="bottom"/>
            <w:gridSpan w:val="2"/>
          </w:tcPr>
          <w:p>
            <w:pPr>
              <w:spacing w:after="0" w:line="20" w:lineRule="exact"/>
              <w:rPr>
                <w:sz w:val="1"/>
                <w:szCs w:val="1"/>
                <w:color w:val="auto"/>
              </w:rPr>
            </w:pPr>
          </w:p>
        </w:tc>
        <w:tc>
          <w:tcPr>
            <w:tcW w:w="960" w:type="dxa"/>
            <w:vAlign w:val="bottom"/>
            <w:gridSpan w:val="2"/>
          </w:tcPr>
          <w:p>
            <w:pPr>
              <w:spacing w:after="0" w:line="20" w:lineRule="exact"/>
              <w:rPr>
                <w:sz w:val="1"/>
                <w:szCs w:val="1"/>
                <w:color w:val="auto"/>
              </w:rPr>
            </w:pPr>
          </w:p>
        </w:tc>
        <w:tc>
          <w:tcPr>
            <w:tcW w:w="1000" w:type="dxa"/>
            <w:vAlign w:val="bottom"/>
            <w:gridSpan w:val="2"/>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31"/>
        </w:trPr>
        <w:tc>
          <w:tcPr>
            <w:tcW w:w="1000" w:type="dxa"/>
            <w:vAlign w:val="bottom"/>
          </w:tcPr>
          <w:p>
            <w:pPr>
              <w:spacing w:after="0"/>
              <w:rPr>
                <w:sz w:val="20"/>
                <w:szCs w:val="20"/>
                <w:color w:val="auto"/>
              </w:rPr>
            </w:pPr>
            <w:r>
              <w:rPr>
                <w:rFonts w:ascii="Arial" w:cs="Arial" w:eastAsia="Arial" w:hAnsi="Arial"/>
                <w:sz w:val="18"/>
                <w:szCs w:val="18"/>
                <w:color w:val="auto"/>
              </w:rPr>
              <w:t>10.26#</w:t>
            </w:r>
          </w:p>
        </w:tc>
        <w:tc>
          <w:tcPr>
            <w:tcW w:w="100" w:type="dxa"/>
            <w:vAlign w:val="bottom"/>
          </w:tcPr>
          <w:p>
            <w:pPr>
              <w:spacing w:after="0"/>
              <w:rPr>
                <w:sz w:val="24"/>
                <w:szCs w:val="24"/>
                <w:color w:val="auto"/>
              </w:rPr>
            </w:pPr>
          </w:p>
        </w:tc>
        <w:tc>
          <w:tcPr>
            <w:tcW w:w="6720" w:type="dxa"/>
            <w:vAlign w:val="bottom"/>
            <w:gridSpan w:val="20"/>
          </w:tcPr>
          <w:p>
            <w:pPr>
              <w:ind w:left="20"/>
              <w:spacing w:after="0"/>
              <w:rPr>
                <w:rFonts w:ascii="Arial" w:cs="Arial" w:eastAsia="Arial" w:hAnsi="Arial"/>
                <w:sz w:val="18"/>
                <w:szCs w:val="18"/>
                <w:color w:val="0000EE"/>
                <w:w w:val="91"/>
              </w:rPr>
            </w:pPr>
            <w:hyperlink r:id="rId174">
              <w:r>
                <w:rPr>
                  <w:rFonts w:ascii="Arial" w:cs="Arial" w:eastAsia="Arial" w:hAnsi="Arial"/>
                  <w:sz w:val="18"/>
                  <w:szCs w:val="18"/>
                  <w:color w:val="0000EE"/>
                  <w:w w:val="91"/>
                </w:rPr>
                <w:t>Employment Letter, dated December 1, 2017, by and between Mark Hair and the Company.</w:t>
              </w:r>
            </w:hyperlink>
          </w:p>
        </w:tc>
        <w:tc>
          <w:tcPr>
            <w:tcW w:w="880" w:type="dxa"/>
            <w:vAlign w:val="bottom"/>
            <w:gridSpan w:val="2"/>
          </w:tcPr>
          <w:p>
            <w:pPr>
              <w:jc w:val="right"/>
              <w:ind w:right="80"/>
              <w:spacing w:after="0"/>
              <w:rPr>
                <w:sz w:val="20"/>
                <w:szCs w:val="20"/>
                <w:color w:val="auto"/>
              </w:rPr>
            </w:pPr>
            <w:r>
              <w:rPr>
                <w:rFonts w:ascii="Arial" w:cs="Arial" w:eastAsia="Arial" w:hAnsi="Arial"/>
                <w:sz w:val="18"/>
                <w:szCs w:val="18"/>
                <w:color w:val="auto"/>
              </w:rPr>
              <w:t>8-K</w:t>
            </w:r>
          </w:p>
        </w:tc>
        <w:tc>
          <w:tcPr>
            <w:tcW w:w="960" w:type="dxa"/>
            <w:vAlign w:val="bottom"/>
            <w:gridSpan w:val="2"/>
          </w:tcPr>
          <w:p>
            <w:pPr>
              <w:jc w:val="right"/>
              <w:ind w:right="40"/>
              <w:spacing w:after="0"/>
              <w:rPr>
                <w:sz w:val="20"/>
                <w:szCs w:val="20"/>
                <w:color w:val="auto"/>
              </w:rPr>
            </w:pPr>
            <w:r>
              <w:rPr>
                <w:rFonts w:ascii="Arial" w:cs="Arial" w:eastAsia="Arial" w:hAnsi="Arial"/>
                <w:sz w:val="18"/>
                <w:szCs w:val="18"/>
                <w:color w:val="auto"/>
              </w:rPr>
              <w:t>12-11-17</w:t>
            </w:r>
          </w:p>
        </w:tc>
        <w:tc>
          <w:tcPr>
            <w:tcW w:w="1000" w:type="dxa"/>
            <w:vAlign w:val="bottom"/>
            <w:gridSpan w:val="2"/>
          </w:tcPr>
          <w:p>
            <w:pPr>
              <w:jc w:val="right"/>
              <w:ind w:right="60"/>
              <w:spacing w:after="0"/>
              <w:rPr>
                <w:sz w:val="20"/>
                <w:szCs w:val="20"/>
                <w:color w:val="auto"/>
              </w:rPr>
            </w:pPr>
            <w:r>
              <w:rPr>
                <w:rFonts w:ascii="Arial" w:cs="Arial" w:eastAsia="Arial" w:hAnsi="Arial"/>
                <w:sz w:val="18"/>
                <w:szCs w:val="18"/>
                <w:color w:val="auto"/>
              </w:rPr>
              <w:t>10.1</w:t>
            </w:r>
          </w:p>
        </w:tc>
        <w:tc>
          <w:tcPr>
            <w:tcW w:w="7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45"/>
        </w:trPr>
        <w:tc>
          <w:tcPr>
            <w:tcW w:w="1000" w:type="dxa"/>
            <w:vAlign w:val="bottom"/>
          </w:tcPr>
          <w:p>
            <w:pPr>
              <w:spacing w:after="0"/>
              <w:rPr>
                <w:sz w:val="20"/>
                <w:szCs w:val="20"/>
                <w:color w:val="auto"/>
              </w:rPr>
            </w:pPr>
            <w:r>
              <w:rPr>
                <w:rFonts w:ascii="Arial" w:cs="Arial" w:eastAsia="Arial" w:hAnsi="Arial"/>
                <w:sz w:val="18"/>
                <w:szCs w:val="18"/>
                <w:color w:val="auto"/>
              </w:rPr>
              <w:t>10.27#</w:t>
            </w:r>
          </w:p>
        </w:tc>
        <w:tc>
          <w:tcPr>
            <w:tcW w:w="100" w:type="dxa"/>
            <w:vAlign w:val="bottom"/>
          </w:tcPr>
          <w:p>
            <w:pPr>
              <w:spacing w:after="0"/>
              <w:rPr>
                <w:sz w:val="24"/>
                <w:szCs w:val="24"/>
                <w:color w:val="auto"/>
              </w:rPr>
            </w:pPr>
          </w:p>
        </w:tc>
        <w:tc>
          <w:tcPr>
            <w:tcW w:w="6620" w:type="dxa"/>
            <w:vAlign w:val="bottom"/>
            <w:tcBorders>
              <w:top w:val="single" w:sz="8" w:color="0000EE"/>
            </w:tcBorders>
            <w:gridSpan w:val="18"/>
          </w:tcPr>
          <w:p>
            <w:pPr>
              <w:ind w:left="20"/>
              <w:spacing w:after="0"/>
              <w:rPr>
                <w:rFonts w:ascii="Arial" w:cs="Arial" w:eastAsia="Arial" w:hAnsi="Arial"/>
                <w:sz w:val="18"/>
                <w:szCs w:val="18"/>
                <w:color w:val="0000EE"/>
              </w:rPr>
            </w:pPr>
            <w:hyperlink r:id="rId175">
              <w:r>
                <w:rPr>
                  <w:rFonts w:ascii="Arial" w:cs="Arial" w:eastAsia="Arial" w:hAnsi="Arial"/>
                  <w:sz w:val="18"/>
                  <w:szCs w:val="18"/>
                  <w:color w:val="0000EE"/>
                </w:rPr>
                <w:t>Non-Employee Director Compensation Program.</w:t>
              </w:r>
            </w:hyperlink>
          </w:p>
        </w:tc>
        <w:tc>
          <w:tcPr>
            <w:tcW w:w="100" w:type="dxa"/>
            <w:vAlign w:val="bottom"/>
            <w:gridSpan w:val="2"/>
          </w:tcPr>
          <w:p>
            <w:pPr>
              <w:spacing w:after="0"/>
              <w:rPr>
                <w:sz w:val="24"/>
                <w:szCs w:val="24"/>
                <w:color w:val="auto"/>
              </w:rPr>
            </w:pPr>
          </w:p>
        </w:tc>
        <w:tc>
          <w:tcPr>
            <w:tcW w:w="880" w:type="dxa"/>
            <w:vAlign w:val="bottom"/>
            <w:gridSpan w:val="2"/>
          </w:tcPr>
          <w:p>
            <w:pPr>
              <w:jc w:val="right"/>
              <w:ind w:right="80"/>
              <w:spacing w:after="0"/>
              <w:rPr>
                <w:sz w:val="20"/>
                <w:szCs w:val="20"/>
                <w:color w:val="auto"/>
              </w:rPr>
            </w:pPr>
            <w:r>
              <w:rPr>
                <w:rFonts w:ascii="Arial" w:cs="Arial" w:eastAsia="Arial" w:hAnsi="Arial"/>
                <w:sz w:val="18"/>
                <w:szCs w:val="18"/>
                <w:color w:val="auto"/>
              </w:rPr>
              <w:t>S-1/A</w:t>
            </w:r>
          </w:p>
        </w:tc>
        <w:tc>
          <w:tcPr>
            <w:tcW w:w="960" w:type="dxa"/>
            <w:vAlign w:val="bottom"/>
            <w:gridSpan w:val="2"/>
          </w:tcPr>
          <w:p>
            <w:pPr>
              <w:jc w:val="right"/>
              <w:ind w:right="40"/>
              <w:spacing w:after="0"/>
              <w:rPr>
                <w:sz w:val="20"/>
                <w:szCs w:val="20"/>
                <w:color w:val="auto"/>
              </w:rPr>
            </w:pPr>
            <w:r>
              <w:rPr>
                <w:rFonts w:ascii="Arial" w:cs="Arial" w:eastAsia="Arial" w:hAnsi="Arial"/>
                <w:sz w:val="18"/>
                <w:szCs w:val="18"/>
                <w:color w:val="auto"/>
              </w:rPr>
              <w:t>9-18-17</w:t>
            </w:r>
          </w:p>
        </w:tc>
        <w:tc>
          <w:tcPr>
            <w:tcW w:w="1000" w:type="dxa"/>
            <w:vAlign w:val="bottom"/>
            <w:gridSpan w:val="2"/>
          </w:tcPr>
          <w:p>
            <w:pPr>
              <w:jc w:val="right"/>
              <w:ind w:right="60"/>
              <w:spacing w:after="0"/>
              <w:rPr>
                <w:sz w:val="20"/>
                <w:szCs w:val="20"/>
                <w:color w:val="auto"/>
              </w:rPr>
            </w:pPr>
            <w:r>
              <w:rPr>
                <w:rFonts w:ascii="Arial" w:cs="Arial" w:eastAsia="Arial" w:hAnsi="Arial"/>
                <w:sz w:val="18"/>
                <w:szCs w:val="18"/>
                <w:color w:val="auto"/>
              </w:rPr>
              <w:t>10.35</w:t>
            </w:r>
          </w:p>
        </w:tc>
        <w:tc>
          <w:tcPr>
            <w:tcW w:w="7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10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940" w:type="dxa"/>
            <w:vAlign w:val="bottom"/>
            <w:gridSpan w:val="2"/>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080" w:type="dxa"/>
            <w:vAlign w:val="bottom"/>
            <w:gridSpan w:val="2"/>
            <w:shd w:val="clear" w:color="auto" w:fill="0000EE"/>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60" w:type="dxa"/>
            <w:vAlign w:val="bottom"/>
            <w:gridSpan w:val="2"/>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80" w:type="dxa"/>
            <w:vAlign w:val="bottom"/>
            <w:gridSpan w:val="2"/>
          </w:tcPr>
          <w:p>
            <w:pPr>
              <w:spacing w:after="0" w:line="20" w:lineRule="exact"/>
              <w:rPr>
                <w:sz w:val="1"/>
                <w:szCs w:val="1"/>
                <w:color w:val="auto"/>
              </w:rPr>
            </w:pPr>
          </w:p>
        </w:tc>
        <w:tc>
          <w:tcPr>
            <w:tcW w:w="960" w:type="dxa"/>
            <w:vAlign w:val="bottom"/>
            <w:gridSpan w:val="2"/>
          </w:tcPr>
          <w:p>
            <w:pPr>
              <w:spacing w:after="0" w:line="20" w:lineRule="exact"/>
              <w:rPr>
                <w:sz w:val="1"/>
                <w:szCs w:val="1"/>
                <w:color w:val="auto"/>
              </w:rPr>
            </w:pPr>
          </w:p>
        </w:tc>
        <w:tc>
          <w:tcPr>
            <w:tcW w:w="1000" w:type="dxa"/>
            <w:vAlign w:val="bottom"/>
            <w:gridSpan w:val="2"/>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45"/>
        </w:trPr>
        <w:tc>
          <w:tcPr>
            <w:tcW w:w="1000" w:type="dxa"/>
            <w:vAlign w:val="bottom"/>
          </w:tcPr>
          <w:p>
            <w:pPr>
              <w:spacing w:after="0"/>
              <w:rPr>
                <w:sz w:val="20"/>
                <w:szCs w:val="20"/>
                <w:color w:val="auto"/>
              </w:rPr>
            </w:pPr>
            <w:r>
              <w:rPr>
                <w:rFonts w:ascii="Arial" w:cs="Arial" w:eastAsia="Arial" w:hAnsi="Arial"/>
                <w:sz w:val="18"/>
                <w:szCs w:val="18"/>
                <w:color w:val="auto"/>
              </w:rPr>
              <w:t>10.28#</w:t>
            </w:r>
          </w:p>
        </w:tc>
        <w:tc>
          <w:tcPr>
            <w:tcW w:w="100" w:type="dxa"/>
            <w:vAlign w:val="bottom"/>
          </w:tcPr>
          <w:p>
            <w:pPr>
              <w:spacing w:after="0"/>
              <w:rPr>
                <w:sz w:val="24"/>
                <w:szCs w:val="24"/>
                <w:color w:val="auto"/>
              </w:rPr>
            </w:pPr>
          </w:p>
        </w:tc>
        <w:tc>
          <w:tcPr>
            <w:tcW w:w="6720" w:type="dxa"/>
            <w:vAlign w:val="bottom"/>
            <w:gridSpan w:val="20"/>
          </w:tcPr>
          <w:p>
            <w:pPr>
              <w:ind w:left="20"/>
              <w:spacing w:after="0"/>
              <w:rPr>
                <w:rFonts w:ascii="Arial" w:cs="Arial" w:eastAsia="Arial" w:hAnsi="Arial"/>
                <w:sz w:val="18"/>
                <w:szCs w:val="18"/>
                <w:color w:val="0000EE"/>
              </w:rPr>
            </w:pPr>
            <w:hyperlink r:id="rId176">
              <w:r>
                <w:rPr>
                  <w:rFonts w:ascii="Arial" w:cs="Arial" w:eastAsia="Arial" w:hAnsi="Arial"/>
                  <w:sz w:val="18"/>
                  <w:szCs w:val="18"/>
                  <w:color w:val="0000EE"/>
                </w:rPr>
                <w:t>Form of Indemnification Agreement for directors and officers.</w:t>
              </w:r>
            </w:hyperlink>
          </w:p>
        </w:tc>
        <w:tc>
          <w:tcPr>
            <w:tcW w:w="880" w:type="dxa"/>
            <w:vAlign w:val="bottom"/>
            <w:gridSpan w:val="2"/>
          </w:tcPr>
          <w:p>
            <w:pPr>
              <w:jc w:val="right"/>
              <w:ind w:right="80"/>
              <w:spacing w:after="0"/>
              <w:rPr>
                <w:sz w:val="20"/>
                <w:szCs w:val="20"/>
                <w:color w:val="auto"/>
              </w:rPr>
            </w:pPr>
            <w:r>
              <w:rPr>
                <w:rFonts w:ascii="Arial" w:cs="Arial" w:eastAsia="Arial" w:hAnsi="Arial"/>
                <w:sz w:val="18"/>
                <w:szCs w:val="18"/>
                <w:color w:val="auto"/>
              </w:rPr>
              <w:t>S-1/A</w:t>
            </w:r>
          </w:p>
        </w:tc>
        <w:tc>
          <w:tcPr>
            <w:tcW w:w="960" w:type="dxa"/>
            <w:vAlign w:val="bottom"/>
            <w:gridSpan w:val="2"/>
          </w:tcPr>
          <w:p>
            <w:pPr>
              <w:jc w:val="right"/>
              <w:ind w:right="40"/>
              <w:spacing w:after="0"/>
              <w:rPr>
                <w:sz w:val="20"/>
                <w:szCs w:val="20"/>
                <w:color w:val="auto"/>
              </w:rPr>
            </w:pPr>
            <w:r>
              <w:rPr>
                <w:rFonts w:ascii="Arial" w:cs="Arial" w:eastAsia="Arial" w:hAnsi="Arial"/>
                <w:sz w:val="18"/>
                <w:szCs w:val="18"/>
                <w:color w:val="auto"/>
              </w:rPr>
              <w:t>9-18-17</w:t>
            </w:r>
          </w:p>
        </w:tc>
        <w:tc>
          <w:tcPr>
            <w:tcW w:w="1000" w:type="dxa"/>
            <w:vAlign w:val="bottom"/>
            <w:gridSpan w:val="2"/>
          </w:tcPr>
          <w:p>
            <w:pPr>
              <w:jc w:val="right"/>
              <w:ind w:right="60"/>
              <w:spacing w:after="0"/>
              <w:rPr>
                <w:sz w:val="20"/>
                <w:szCs w:val="20"/>
                <w:color w:val="auto"/>
              </w:rPr>
            </w:pPr>
            <w:r>
              <w:rPr>
                <w:rFonts w:ascii="Arial" w:cs="Arial" w:eastAsia="Arial" w:hAnsi="Arial"/>
                <w:sz w:val="18"/>
                <w:szCs w:val="18"/>
                <w:color w:val="auto"/>
              </w:rPr>
              <w:t>10.36</w:t>
            </w:r>
          </w:p>
        </w:tc>
        <w:tc>
          <w:tcPr>
            <w:tcW w:w="7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45"/>
        </w:trPr>
        <w:tc>
          <w:tcPr>
            <w:tcW w:w="1000" w:type="dxa"/>
            <w:vAlign w:val="bottom"/>
          </w:tcPr>
          <w:p>
            <w:pPr>
              <w:spacing w:after="0"/>
              <w:rPr>
                <w:sz w:val="20"/>
                <w:szCs w:val="20"/>
                <w:color w:val="auto"/>
              </w:rPr>
            </w:pPr>
            <w:r>
              <w:rPr>
                <w:rFonts w:ascii="Arial" w:cs="Arial" w:eastAsia="Arial" w:hAnsi="Arial"/>
                <w:sz w:val="18"/>
                <w:szCs w:val="18"/>
                <w:color w:val="auto"/>
              </w:rPr>
              <w:t>21.1</w:t>
            </w:r>
          </w:p>
        </w:tc>
        <w:tc>
          <w:tcPr>
            <w:tcW w:w="100" w:type="dxa"/>
            <w:vAlign w:val="bottom"/>
          </w:tcPr>
          <w:p>
            <w:pPr>
              <w:spacing w:after="0"/>
              <w:rPr>
                <w:sz w:val="24"/>
                <w:szCs w:val="24"/>
                <w:color w:val="auto"/>
              </w:rPr>
            </w:pPr>
          </w:p>
        </w:tc>
        <w:tc>
          <w:tcPr>
            <w:tcW w:w="1460" w:type="dxa"/>
            <w:vAlign w:val="bottom"/>
            <w:tcBorders>
              <w:top w:val="single" w:sz="8" w:color="0000EE"/>
              <w:bottom w:val="single" w:sz="8" w:color="0000EE"/>
            </w:tcBorders>
            <w:gridSpan w:val="4"/>
          </w:tcPr>
          <w:p>
            <w:pPr>
              <w:ind w:left="20"/>
              <w:spacing w:after="0"/>
              <w:rPr>
                <w:rFonts w:ascii="Arial" w:cs="Arial" w:eastAsia="Arial" w:hAnsi="Arial"/>
                <w:sz w:val="18"/>
                <w:szCs w:val="18"/>
                <w:color w:val="0000EE"/>
                <w:w w:val="90"/>
              </w:rPr>
            </w:pPr>
            <w:hyperlink w:anchor="page109">
              <w:r>
                <w:rPr>
                  <w:rFonts w:ascii="Arial" w:cs="Arial" w:eastAsia="Arial" w:hAnsi="Arial"/>
                  <w:sz w:val="18"/>
                  <w:szCs w:val="18"/>
                  <w:color w:val="0000EE"/>
                  <w:w w:val="90"/>
                </w:rPr>
                <w:t>List of Subsidiaries.</w:t>
              </w:r>
            </w:hyperlink>
          </w:p>
        </w:tc>
        <w:tc>
          <w:tcPr>
            <w:tcW w:w="3040" w:type="dxa"/>
            <w:vAlign w:val="bottom"/>
            <w:tcBorders>
              <w:top w:val="single" w:sz="8" w:color="0000EE"/>
            </w:tcBorders>
            <w:gridSpan w:val="5"/>
          </w:tcPr>
          <w:p>
            <w:pPr>
              <w:spacing w:after="0"/>
              <w:rPr>
                <w:sz w:val="24"/>
                <w:szCs w:val="24"/>
                <w:color w:val="auto"/>
              </w:rPr>
            </w:pPr>
          </w:p>
        </w:tc>
        <w:tc>
          <w:tcPr>
            <w:tcW w:w="2220" w:type="dxa"/>
            <w:vAlign w:val="bottom"/>
            <w:gridSpan w:val="11"/>
          </w:tcPr>
          <w:p>
            <w:pPr>
              <w:spacing w:after="0"/>
              <w:rPr>
                <w:sz w:val="24"/>
                <w:szCs w:val="24"/>
                <w:color w:val="auto"/>
              </w:rPr>
            </w:pPr>
          </w:p>
        </w:tc>
        <w:tc>
          <w:tcPr>
            <w:tcW w:w="8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760" w:type="dxa"/>
            <w:vAlign w:val="bottom"/>
          </w:tcPr>
          <w:p>
            <w:pPr>
              <w:jc w:val="center"/>
              <w:spacing w:after="0"/>
              <w:rPr>
                <w:sz w:val="20"/>
                <w:szCs w:val="20"/>
                <w:color w:val="auto"/>
              </w:rPr>
            </w:pPr>
            <w:r>
              <w:rPr>
                <w:rFonts w:ascii="Arial" w:cs="Arial" w:eastAsia="Arial" w:hAnsi="Arial"/>
                <w:sz w:val="18"/>
                <w:szCs w:val="18"/>
                <w:color w:val="auto"/>
                <w:w w:val="99"/>
              </w:rPr>
              <w:t>X</w:t>
            </w:r>
          </w:p>
        </w:tc>
        <w:tc>
          <w:tcPr>
            <w:tcW w:w="0" w:type="dxa"/>
            <w:vAlign w:val="bottom"/>
          </w:tcPr>
          <w:p>
            <w:pPr>
              <w:spacing w:after="0"/>
              <w:rPr>
                <w:sz w:val="1"/>
                <w:szCs w:val="1"/>
                <w:color w:val="auto"/>
              </w:rPr>
            </w:pPr>
          </w:p>
        </w:tc>
      </w:tr>
      <w:tr>
        <w:trPr>
          <w:trHeight w:val="345"/>
        </w:trPr>
        <w:tc>
          <w:tcPr>
            <w:tcW w:w="1000" w:type="dxa"/>
            <w:vAlign w:val="bottom"/>
          </w:tcPr>
          <w:p>
            <w:pPr>
              <w:spacing w:after="0"/>
              <w:rPr>
                <w:sz w:val="20"/>
                <w:szCs w:val="20"/>
                <w:color w:val="auto"/>
              </w:rPr>
            </w:pPr>
            <w:r>
              <w:rPr>
                <w:rFonts w:ascii="Arial" w:cs="Arial" w:eastAsia="Arial" w:hAnsi="Arial"/>
                <w:sz w:val="18"/>
                <w:szCs w:val="18"/>
                <w:color w:val="auto"/>
              </w:rPr>
              <w:t>23.1</w:t>
            </w:r>
          </w:p>
        </w:tc>
        <w:tc>
          <w:tcPr>
            <w:tcW w:w="100" w:type="dxa"/>
            <w:vAlign w:val="bottom"/>
          </w:tcPr>
          <w:p>
            <w:pPr>
              <w:spacing w:after="0"/>
              <w:rPr>
                <w:sz w:val="24"/>
                <w:szCs w:val="24"/>
                <w:color w:val="auto"/>
              </w:rPr>
            </w:pPr>
          </w:p>
        </w:tc>
        <w:tc>
          <w:tcPr>
            <w:tcW w:w="6720" w:type="dxa"/>
            <w:vAlign w:val="bottom"/>
            <w:gridSpan w:val="20"/>
          </w:tcPr>
          <w:p>
            <w:pPr>
              <w:ind w:left="20"/>
              <w:spacing w:after="0"/>
              <w:rPr>
                <w:rFonts w:ascii="Arial" w:cs="Arial" w:eastAsia="Arial" w:hAnsi="Arial"/>
                <w:sz w:val="18"/>
                <w:szCs w:val="18"/>
                <w:color w:val="0000EE"/>
              </w:rPr>
            </w:pPr>
            <w:hyperlink w:anchor="page110">
              <w:r>
                <w:rPr>
                  <w:rFonts w:ascii="Arial" w:cs="Arial" w:eastAsia="Arial" w:hAnsi="Arial"/>
                  <w:sz w:val="18"/>
                  <w:szCs w:val="18"/>
                  <w:color w:val="0000EE"/>
                </w:rPr>
                <w:t>Consent of Grant Thornton LLP, independent registered public accounting firm.</w:t>
              </w:r>
            </w:hyperlink>
          </w:p>
        </w:tc>
        <w:tc>
          <w:tcPr>
            <w:tcW w:w="8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760" w:type="dxa"/>
            <w:vAlign w:val="bottom"/>
          </w:tcPr>
          <w:p>
            <w:pPr>
              <w:jc w:val="center"/>
              <w:spacing w:after="0"/>
              <w:rPr>
                <w:sz w:val="20"/>
                <w:szCs w:val="20"/>
                <w:color w:val="auto"/>
              </w:rPr>
            </w:pPr>
            <w:r>
              <w:rPr>
                <w:rFonts w:ascii="Arial" w:cs="Arial" w:eastAsia="Arial" w:hAnsi="Arial"/>
                <w:sz w:val="18"/>
                <w:szCs w:val="18"/>
                <w:color w:val="auto"/>
                <w:w w:val="99"/>
              </w:rPr>
              <w:t>X</w:t>
            </w:r>
          </w:p>
        </w:tc>
        <w:tc>
          <w:tcPr>
            <w:tcW w:w="0" w:type="dxa"/>
            <w:vAlign w:val="bottom"/>
          </w:tcPr>
          <w:p>
            <w:pPr>
              <w:spacing w:after="0"/>
              <w:rPr>
                <w:sz w:val="1"/>
                <w:szCs w:val="1"/>
                <w:color w:val="auto"/>
              </w:rPr>
            </w:pPr>
          </w:p>
        </w:tc>
      </w:tr>
      <w:tr>
        <w:trPr>
          <w:trHeight w:val="20"/>
        </w:trPr>
        <w:tc>
          <w:tcPr>
            <w:tcW w:w="10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940" w:type="dxa"/>
            <w:vAlign w:val="bottom"/>
            <w:gridSpan w:val="2"/>
            <w:shd w:val="clear" w:color="auto" w:fill="0000EE"/>
          </w:tcPr>
          <w:p>
            <w:pPr>
              <w:spacing w:after="0" w:line="20" w:lineRule="exact"/>
              <w:rPr>
                <w:sz w:val="1"/>
                <w:szCs w:val="1"/>
                <w:color w:val="auto"/>
              </w:rPr>
            </w:pPr>
          </w:p>
        </w:tc>
        <w:tc>
          <w:tcPr>
            <w:tcW w:w="2960" w:type="dxa"/>
            <w:vAlign w:val="bottom"/>
            <w:gridSpan w:val="4"/>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420" w:type="dxa"/>
            <w:vAlign w:val="bottom"/>
            <w:gridSpan w:val="3"/>
            <w:shd w:val="clear" w:color="auto" w:fill="0000EE"/>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45"/>
        </w:trPr>
        <w:tc>
          <w:tcPr>
            <w:tcW w:w="1000" w:type="dxa"/>
            <w:vAlign w:val="bottom"/>
          </w:tcPr>
          <w:p>
            <w:pPr>
              <w:spacing w:after="0"/>
              <w:rPr>
                <w:sz w:val="20"/>
                <w:szCs w:val="20"/>
                <w:color w:val="auto"/>
              </w:rPr>
            </w:pPr>
            <w:r>
              <w:rPr>
                <w:rFonts w:ascii="Arial" w:cs="Arial" w:eastAsia="Arial" w:hAnsi="Arial"/>
                <w:sz w:val="18"/>
                <w:szCs w:val="18"/>
                <w:color w:val="auto"/>
              </w:rPr>
              <w:t>24.1</w:t>
            </w:r>
          </w:p>
        </w:tc>
        <w:tc>
          <w:tcPr>
            <w:tcW w:w="100" w:type="dxa"/>
            <w:vAlign w:val="bottom"/>
          </w:tcPr>
          <w:p>
            <w:pPr>
              <w:spacing w:after="0"/>
              <w:rPr>
                <w:sz w:val="24"/>
                <w:szCs w:val="24"/>
                <w:color w:val="auto"/>
              </w:rPr>
            </w:pPr>
          </w:p>
        </w:tc>
        <w:tc>
          <w:tcPr>
            <w:tcW w:w="6720" w:type="dxa"/>
            <w:vAlign w:val="bottom"/>
            <w:gridSpan w:val="20"/>
          </w:tcPr>
          <w:p>
            <w:pPr>
              <w:ind w:left="20"/>
              <w:spacing w:after="0"/>
              <w:rPr>
                <w:rFonts w:ascii="Arial" w:cs="Arial" w:eastAsia="Arial" w:hAnsi="Arial"/>
                <w:sz w:val="18"/>
                <w:szCs w:val="18"/>
                <w:color w:val="0000EE"/>
                <w:w w:val="92"/>
              </w:rPr>
            </w:pPr>
            <w:hyperlink w:anchor="page108">
              <w:r>
                <w:rPr>
                  <w:rFonts w:ascii="Arial" w:cs="Arial" w:eastAsia="Arial" w:hAnsi="Arial"/>
                  <w:sz w:val="18"/>
                  <w:szCs w:val="18"/>
                  <w:color w:val="0000EE"/>
                  <w:w w:val="92"/>
                </w:rPr>
                <w:t>Power of Attorney. Reference is made to the signature page of this Annual Report on Form</w:t>
              </w:r>
            </w:hyperlink>
          </w:p>
        </w:tc>
        <w:tc>
          <w:tcPr>
            <w:tcW w:w="8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10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560" w:type="dxa"/>
            <w:vAlign w:val="bottom"/>
            <w:tcBorders>
              <w:top w:val="single" w:sz="8" w:color="0000EE"/>
            </w:tcBorders>
            <w:gridSpan w:val="16"/>
          </w:tcPr>
          <w:p>
            <w:pPr>
              <w:ind w:left="20"/>
              <w:spacing w:after="0" w:line="196" w:lineRule="exact"/>
              <w:rPr>
                <w:rFonts w:ascii="Arial" w:cs="Arial" w:eastAsia="Arial" w:hAnsi="Arial"/>
                <w:sz w:val="18"/>
                <w:szCs w:val="18"/>
                <w:color w:val="0000EE"/>
              </w:rPr>
            </w:pPr>
            <w:hyperlink w:anchor="page108">
              <w:r>
                <w:rPr>
                  <w:rFonts w:ascii="Arial" w:cs="Arial" w:eastAsia="Arial" w:hAnsi="Arial"/>
                  <w:sz w:val="18"/>
                  <w:szCs w:val="18"/>
                  <w:color w:val="0000EE"/>
                </w:rPr>
                <w:t>10-K.</w:t>
              </w:r>
            </w:hyperlink>
          </w:p>
        </w:tc>
        <w:tc>
          <w:tcPr>
            <w:tcW w:w="160" w:type="dxa"/>
            <w:vAlign w:val="bottom"/>
            <w:gridSpan w:val="4"/>
          </w:tcPr>
          <w:p>
            <w:pPr>
              <w:spacing w:after="0"/>
              <w:rPr>
                <w:sz w:val="17"/>
                <w:szCs w:val="17"/>
                <w:color w:val="auto"/>
              </w:rPr>
            </w:pPr>
          </w:p>
        </w:tc>
        <w:tc>
          <w:tcPr>
            <w:tcW w:w="8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0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940" w:type="dxa"/>
            <w:vAlign w:val="bottom"/>
            <w:gridSpan w:val="2"/>
          </w:tcPr>
          <w:p>
            <w:pPr>
              <w:spacing w:after="0" w:line="20" w:lineRule="exact"/>
              <w:rPr>
                <w:sz w:val="1"/>
                <w:szCs w:val="1"/>
                <w:color w:val="auto"/>
              </w:rPr>
            </w:pPr>
          </w:p>
        </w:tc>
        <w:tc>
          <w:tcPr>
            <w:tcW w:w="296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20" w:type="dxa"/>
            <w:vAlign w:val="bottom"/>
            <w:gridSpan w:val="4"/>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31"/>
        </w:trPr>
        <w:tc>
          <w:tcPr>
            <w:tcW w:w="1000" w:type="dxa"/>
            <w:vAlign w:val="bottom"/>
          </w:tcPr>
          <w:p>
            <w:pPr>
              <w:spacing w:after="0"/>
              <w:rPr>
                <w:sz w:val="20"/>
                <w:szCs w:val="20"/>
                <w:color w:val="auto"/>
              </w:rPr>
            </w:pPr>
            <w:r>
              <w:rPr>
                <w:rFonts w:ascii="Arial" w:cs="Arial" w:eastAsia="Arial" w:hAnsi="Arial"/>
                <w:sz w:val="18"/>
                <w:szCs w:val="18"/>
                <w:color w:val="auto"/>
              </w:rPr>
              <w:t>31.1</w:t>
            </w:r>
          </w:p>
        </w:tc>
        <w:tc>
          <w:tcPr>
            <w:tcW w:w="100" w:type="dxa"/>
            <w:vAlign w:val="bottom"/>
          </w:tcPr>
          <w:p>
            <w:pPr>
              <w:spacing w:after="0"/>
              <w:rPr>
                <w:sz w:val="24"/>
                <w:szCs w:val="24"/>
                <w:color w:val="auto"/>
              </w:rPr>
            </w:pPr>
          </w:p>
        </w:tc>
        <w:tc>
          <w:tcPr>
            <w:tcW w:w="6720" w:type="dxa"/>
            <w:vAlign w:val="bottom"/>
            <w:gridSpan w:val="20"/>
          </w:tcPr>
          <w:p>
            <w:pPr>
              <w:ind w:left="20"/>
              <w:spacing w:after="0"/>
              <w:rPr>
                <w:rFonts w:ascii="Arial" w:cs="Arial" w:eastAsia="Arial" w:hAnsi="Arial"/>
                <w:sz w:val="18"/>
                <w:szCs w:val="18"/>
                <w:color w:val="0000EE"/>
                <w:w w:val="91"/>
              </w:rPr>
            </w:pPr>
            <w:hyperlink w:anchor="page111">
              <w:r>
                <w:rPr>
                  <w:rFonts w:ascii="Arial" w:cs="Arial" w:eastAsia="Arial" w:hAnsi="Arial"/>
                  <w:sz w:val="18"/>
                  <w:szCs w:val="18"/>
                  <w:color w:val="0000EE"/>
                  <w:w w:val="91"/>
                </w:rPr>
                <w:t>Certification of Principal Executive Officer Pursuant to Rules 13a-14(a) and 15d-14(a) under</w:t>
              </w:r>
            </w:hyperlink>
          </w:p>
        </w:tc>
        <w:tc>
          <w:tcPr>
            <w:tcW w:w="8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760" w:type="dxa"/>
            <w:vAlign w:val="bottom"/>
          </w:tcPr>
          <w:p>
            <w:pPr>
              <w:jc w:val="center"/>
              <w:spacing w:after="0"/>
              <w:rPr>
                <w:sz w:val="20"/>
                <w:szCs w:val="20"/>
                <w:color w:val="auto"/>
              </w:rPr>
            </w:pPr>
            <w:r>
              <w:rPr>
                <w:rFonts w:ascii="Arial" w:cs="Arial" w:eastAsia="Arial" w:hAnsi="Arial"/>
                <w:sz w:val="18"/>
                <w:szCs w:val="18"/>
                <w:color w:val="auto"/>
                <w:w w:val="99"/>
              </w:rPr>
              <w:t>X</w:t>
            </w:r>
          </w:p>
        </w:tc>
        <w:tc>
          <w:tcPr>
            <w:tcW w:w="0" w:type="dxa"/>
            <w:vAlign w:val="bottom"/>
          </w:tcPr>
          <w:p>
            <w:pPr>
              <w:spacing w:after="0"/>
              <w:rPr>
                <w:sz w:val="1"/>
                <w:szCs w:val="1"/>
                <w:color w:val="auto"/>
              </w:rPr>
            </w:pPr>
          </w:p>
        </w:tc>
      </w:tr>
      <w:tr>
        <w:trPr>
          <w:trHeight w:val="196"/>
        </w:trPr>
        <w:tc>
          <w:tcPr>
            <w:tcW w:w="10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540" w:type="dxa"/>
            <w:vAlign w:val="bottom"/>
            <w:tcBorders>
              <w:top w:val="single" w:sz="8" w:color="0000EE"/>
            </w:tcBorders>
            <w:gridSpan w:val="15"/>
          </w:tcPr>
          <w:p>
            <w:pPr>
              <w:ind w:left="20"/>
              <w:spacing w:after="0" w:line="196" w:lineRule="exact"/>
              <w:rPr>
                <w:rFonts w:ascii="Arial" w:cs="Arial" w:eastAsia="Arial" w:hAnsi="Arial"/>
                <w:sz w:val="18"/>
                <w:szCs w:val="18"/>
                <w:color w:val="0000EE"/>
                <w:w w:val="89"/>
              </w:rPr>
            </w:pPr>
            <w:hyperlink w:anchor="page111">
              <w:r>
                <w:rPr>
                  <w:rFonts w:ascii="Arial" w:cs="Arial" w:eastAsia="Arial" w:hAnsi="Arial"/>
                  <w:sz w:val="18"/>
                  <w:szCs w:val="18"/>
                  <w:color w:val="0000EE"/>
                  <w:w w:val="89"/>
                </w:rPr>
                <w:t>the Securities Exchange Act of 1934, as Adopted Pursuant to Section 302 of the Sarbanes-</w:t>
              </w:r>
            </w:hyperlink>
          </w:p>
        </w:tc>
        <w:tc>
          <w:tcPr>
            <w:tcW w:w="180" w:type="dxa"/>
            <w:vAlign w:val="bottom"/>
            <w:gridSpan w:val="5"/>
          </w:tcPr>
          <w:p>
            <w:pPr>
              <w:spacing w:after="0"/>
              <w:rPr>
                <w:sz w:val="17"/>
                <w:szCs w:val="17"/>
                <w:color w:val="auto"/>
              </w:rPr>
            </w:pPr>
          </w:p>
        </w:tc>
        <w:tc>
          <w:tcPr>
            <w:tcW w:w="8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0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360" w:type="dxa"/>
            <w:vAlign w:val="bottom"/>
            <w:tcBorders>
              <w:top w:val="single" w:sz="8" w:color="0000EE"/>
            </w:tcBorders>
            <w:gridSpan w:val="12"/>
          </w:tcPr>
          <w:p>
            <w:pPr>
              <w:ind w:left="20"/>
              <w:spacing w:after="0" w:line="196" w:lineRule="exact"/>
              <w:rPr>
                <w:rFonts w:ascii="Arial" w:cs="Arial" w:eastAsia="Arial" w:hAnsi="Arial"/>
                <w:sz w:val="18"/>
                <w:szCs w:val="18"/>
                <w:color w:val="0000EE"/>
              </w:rPr>
            </w:pPr>
            <w:hyperlink w:anchor="page111">
              <w:r>
                <w:rPr>
                  <w:rFonts w:ascii="Arial" w:cs="Arial" w:eastAsia="Arial" w:hAnsi="Arial"/>
                  <w:sz w:val="18"/>
                  <w:szCs w:val="18"/>
                  <w:color w:val="0000EE"/>
                </w:rPr>
                <w:t>Oxley Act of 2002.</w:t>
              </w:r>
            </w:hyperlink>
          </w:p>
        </w:tc>
        <w:tc>
          <w:tcPr>
            <w:tcW w:w="360" w:type="dxa"/>
            <w:vAlign w:val="bottom"/>
            <w:gridSpan w:val="8"/>
          </w:tcPr>
          <w:p>
            <w:pPr>
              <w:spacing w:after="0"/>
              <w:rPr>
                <w:sz w:val="17"/>
                <w:szCs w:val="17"/>
                <w:color w:val="auto"/>
              </w:rPr>
            </w:pPr>
          </w:p>
        </w:tc>
        <w:tc>
          <w:tcPr>
            <w:tcW w:w="8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0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60" w:type="dxa"/>
            <w:vAlign w:val="bottom"/>
            <w:gridSpan w:val="3"/>
            <w:shd w:val="clear" w:color="auto" w:fill="0000EE"/>
          </w:tcPr>
          <w:p>
            <w:pPr>
              <w:spacing w:after="0" w:line="20" w:lineRule="exact"/>
              <w:rPr>
                <w:sz w:val="1"/>
                <w:szCs w:val="1"/>
                <w:color w:val="auto"/>
              </w:rPr>
            </w:pPr>
          </w:p>
        </w:tc>
        <w:tc>
          <w:tcPr>
            <w:tcW w:w="296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160" w:type="dxa"/>
            <w:vAlign w:val="bottom"/>
            <w:gridSpan w:val="6"/>
          </w:tcPr>
          <w:p>
            <w:pPr>
              <w:spacing w:after="0" w:line="20" w:lineRule="exact"/>
              <w:rPr>
                <w:sz w:val="1"/>
                <w:szCs w:val="1"/>
                <w:color w:val="auto"/>
              </w:rPr>
            </w:pPr>
          </w:p>
        </w:tc>
        <w:tc>
          <w:tcPr>
            <w:tcW w:w="100" w:type="dxa"/>
            <w:vAlign w:val="bottom"/>
            <w:gridSpan w:val="3"/>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31"/>
        </w:trPr>
        <w:tc>
          <w:tcPr>
            <w:tcW w:w="1000" w:type="dxa"/>
            <w:vAlign w:val="bottom"/>
          </w:tcPr>
          <w:p>
            <w:pPr>
              <w:spacing w:after="0"/>
              <w:rPr>
                <w:sz w:val="20"/>
                <w:szCs w:val="20"/>
                <w:color w:val="auto"/>
              </w:rPr>
            </w:pPr>
            <w:r>
              <w:rPr>
                <w:rFonts w:ascii="Arial" w:cs="Arial" w:eastAsia="Arial" w:hAnsi="Arial"/>
                <w:sz w:val="18"/>
                <w:szCs w:val="18"/>
                <w:color w:val="auto"/>
              </w:rPr>
              <w:t>31.2</w:t>
            </w:r>
          </w:p>
        </w:tc>
        <w:tc>
          <w:tcPr>
            <w:tcW w:w="100" w:type="dxa"/>
            <w:vAlign w:val="bottom"/>
          </w:tcPr>
          <w:p>
            <w:pPr>
              <w:spacing w:after="0"/>
              <w:rPr>
                <w:sz w:val="24"/>
                <w:szCs w:val="24"/>
                <w:color w:val="auto"/>
              </w:rPr>
            </w:pPr>
          </w:p>
        </w:tc>
        <w:tc>
          <w:tcPr>
            <w:tcW w:w="6500" w:type="dxa"/>
            <w:vAlign w:val="bottom"/>
            <w:tcBorders>
              <w:bottom w:val="single" w:sz="8" w:color="0000EE"/>
            </w:tcBorders>
            <w:gridSpan w:val="14"/>
          </w:tcPr>
          <w:p>
            <w:pPr>
              <w:ind w:left="20"/>
              <w:spacing w:after="0"/>
              <w:rPr>
                <w:rFonts w:ascii="Arial" w:cs="Arial" w:eastAsia="Arial" w:hAnsi="Arial"/>
                <w:sz w:val="18"/>
                <w:szCs w:val="18"/>
                <w:color w:val="0000EE"/>
                <w:w w:val="89"/>
              </w:rPr>
            </w:pPr>
            <w:hyperlink w:anchor="page112">
              <w:r>
                <w:rPr>
                  <w:rFonts w:ascii="Arial" w:cs="Arial" w:eastAsia="Arial" w:hAnsi="Arial"/>
                  <w:sz w:val="18"/>
                  <w:szCs w:val="18"/>
                  <w:color w:val="0000EE"/>
                  <w:w w:val="89"/>
                </w:rPr>
                <w:t>Certification of Principal Financial Officer Pursuant to Rules 13a-14(a) and 15d-14(a) under</w:t>
              </w:r>
            </w:hyperlink>
          </w:p>
        </w:tc>
        <w:tc>
          <w:tcPr>
            <w:tcW w:w="220" w:type="dxa"/>
            <w:vAlign w:val="bottom"/>
            <w:gridSpan w:val="6"/>
          </w:tcPr>
          <w:p>
            <w:pPr>
              <w:spacing w:after="0"/>
              <w:rPr>
                <w:sz w:val="24"/>
                <w:szCs w:val="24"/>
                <w:color w:val="auto"/>
              </w:rPr>
            </w:pPr>
          </w:p>
        </w:tc>
        <w:tc>
          <w:tcPr>
            <w:tcW w:w="8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760" w:type="dxa"/>
            <w:vAlign w:val="bottom"/>
          </w:tcPr>
          <w:p>
            <w:pPr>
              <w:jc w:val="center"/>
              <w:spacing w:after="0"/>
              <w:rPr>
                <w:sz w:val="20"/>
                <w:szCs w:val="20"/>
                <w:color w:val="auto"/>
              </w:rPr>
            </w:pPr>
            <w:r>
              <w:rPr>
                <w:rFonts w:ascii="Arial" w:cs="Arial" w:eastAsia="Arial" w:hAnsi="Arial"/>
                <w:sz w:val="18"/>
                <w:szCs w:val="18"/>
                <w:color w:val="auto"/>
                <w:w w:val="99"/>
              </w:rPr>
              <w:t>X</w:t>
            </w:r>
          </w:p>
        </w:tc>
        <w:tc>
          <w:tcPr>
            <w:tcW w:w="0" w:type="dxa"/>
            <w:vAlign w:val="bottom"/>
          </w:tcPr>
          <w:p>
            <w:pPr>
              <w:spacing w:after="0"/>
              <w:rPr>
                <w:sz w:val="1"/>
                <w:szCs w:val="1"/>
                <w:color w:val="auto"/>
              </w:rPr>
            </w:pPr>
          </w:p>
        </w:tc>
      </w:tr>
      <w:tr>
        <w:trPr>
          <w:trHeight w:val="196"/>
        </w:trPr>
        <w:tc>
          <w:tcPr>
            <w:tcW w:w="10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720" w:type="dxa"/>
            <w:vAlign w:val="bottom"/>
            <w:gridSpan w:val="20"/>
          </w:tcPr>
          <w:p>
            <w:pPr>
              <w:ind w:left="20"/>
              <w:spacing w:after="0" w:line="196" w:lineRule="exact"/>
              <w:rPr>
                <w:rFonts w:ascii="Arial" w:cs="Arial" w:eastAsia="Arial" w:hAnsi="Arial"/>
                <w:sz w:val="18"/>
                <w:szCs w:val="18"/>
                <w:color w:val="0000EE"/>
                <w:w w:val="91"/>
              </w:rPr>
            </w:pPr>
            <w:hyperlink w:anchor="page112">
              <w:r>
                <w:rPr>
                  <w:rFonts w:ascii="Arial" w:cs="Arial" w:eastAsia="Arial" w:hAnsi="Arial"/>
                  <w:sz w:val="18"/>
                  <w:szCs w:val="18"/>
                  <w:color w:val="0000EE"/>
                  <w:w w:val="91"/>
                </w:rPr>
                <w:t>the Securities Exchange Act of 1934, as Adopted Pursuant to Section 302 of the Sarbanes-</w:t>
              </w:r>
            </w:hyperlink>
          </w:p>
        </w:tc>
        <w:tc>
          <w:tcPr>
            <w:tcW w:w="8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0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360" w:type="dxa"/>
            <w:vAlign w:val="bottom"/>
            <w:tcBorders>
              <w:top w:val="single" w:sz="8" w:color="0000EE"/>
            </w:tcBorders>
            <w:gridSpan w:val="12"/>
          </w:tcPr>
          <w:p>
            <w:pPr>
              <w:ind w:left="20"/>
              <w:spacing w:after="0" w:line="196" w:lineRule="exact"/>
              <w:rPr>
                <w:rFonts w:ascii="Arial" w:cs="Arial" w:eastAsia="Arial" w:hAnsi="Arial"/>
                <w:sz w:val="18"/>
                <w:szCs w:val="18"/>
                <w:color w:val="0000EE"/>
              </w:rPr>
            </w:pPr>
            <w:hyperlink w:anchor="page112">
              <w:r>
                <w:rPr>
                  <w:rFonts w:ascii="Arial" w:cs="Arial" w:eastAsia="Arial" w:hAnsi="Arial"/>
                  <w:sz w:val="18"/>
                  <w:szCs w:val="18"/>
                  <w:color w:val="0000EE"/>
                </w:rPr>
                <w:t>Oxley Act of 2002.</w:t>
              </w:r>
            </w:hyperlink>
          </w:p>
        </w:tc>
        <w:tc>
          <w:tcPr>
            <w:tcW w:w="360" w:type="dxa"/>
            <w:vAlign w:val="bottom"/>
            <w:gridSpan w:val="8"/>
          </w:tcPr>
          <w:p>
            <w:pPr>
              <w:spacing w:after="0"/>
              <w:rPr>
                <w:sz w:val="17"/>
                <w:szCs w:val="17"/>
                <w:color w:val="auto"/>
              </w:rPr>
            </w:pPr>
          </w:p>
        </w:tc>
        <w:tc>
          <w:tcPr>
            <w:tcW w:w="8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0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60" w:type="dxa"/>
            <w:vAlign w:val="bottom"/>
            <w:gridSpan w:val="3"/>
            <w:shd w:val="clear" w:color="auto" w:fill="0000EE"/>
          </w:tcPr>
          <w:p>
            <w:pPr>
              <w:spacing w:after="0" w:line="20" w:lineRule="exact"/>
              <w:rPr>
                <w:sz w:val="1"/>
                <w:szCs w:val="1"/>
                <w:color w:val="auto"/>
              </w:rPr>
            </w:pPr>
          </w:p>
        </w:tc>
        <w:tc>
          <w:tcPr>
            <w:tcW w:w="296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60" w:type="dxa"/>
            <w:vAlign w:val="bottom"/>
            <w:gridSpan w:val="9"/>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31"/>
        </w:trPr>
        <w:tc>
          <w:tcPr>
            <w:tcW w:w="1000" w:type="dxa"/>
            <w:vAlign w:val="bottom"/>
          </w:tcPr>
          <w:p>
            <w:pPr>
              <w:spacing w:after="0"/>
              <w:rPr>
                <w:sz w:val="20"/>
                <w:szCs w:val="20"/>
                <w:color w:val="auto"/>
              </w:rPr>
            </w:pPr>
            <w:r>
              <w:rPr>
                <w:rFonts w:ascii="Arial" w:cs="Arial" w:eastAsia="Arial" w:hAnsi="Arial"/>
                <w:sz w:val="18"/>
                <w:szCs w:val="18"/>
                <w:color w:val="auto"/>
              </w:rPr>
              <w:t>32.1*</w:t>
            </w:r>
          </w:p>
        </w:tc>
        <w:tc>
          <w:tcPr>
            <w:tcW w:w="100" w:type="dxa"/>
            <w:vAlign w:val="bottom"/>
          </w:tcPr>
          <w:p>
            <w:pPr>
              <w:spacing w:after="0"/>
              <w:rPr>
                <w:sz w:val="24"/>
                <w:szCs w:val="24"/>
                <w:color w:val="auto"/>
              </w:rPr>
            </w:pPr>
          </w:p>
        </w:tc>
        <w:tc>
          <w:tcPr>
            <w:tcW w:w="6720" w:type="dxa"/>
            <w:vAlign w:val="bottom"/>
            <w:gridSpan w:val="20"/>
          </w:tcPr>
          <w:p>
            <w:pPr>
              <w:ind w:left="20"/>
              <w:spacing w:after="0"/>
              <w:rPr>
                <w:rFonts w:ascii="Arial" w:cs="Arial" w:eastAsia="Arial" w:hAnsi="Arial"/>
                <w:sz w:val="18"/>
                <w:szCs w:val="18"/>
                <w:color w:val="0000EE"/>
                <w:w w:val="92"/>
              </w:rPr>
            </w:pPr>
            <w:hyperlink w:anchor="page113">
              <w:r>
                <w:rPr>
                  <w:rFonts w:ascii="Arial" w:cs="Arial" w:eastAsia="Arial" w:hAnsi="Arial"/>
                  <w:sz w:val="18"/>
                  <w:szCs w:val="18"/>
                  <w:color w:val="0000EE"/>
                  <w:w w:val="92"/>
                </w:rPr>
                <w:t>Certification of Principal Executive Officer Pursuant to 18 U.S.C. Section 1350, as Adopted</w:t>
              </w:r>
            </w:hyperlink>
          </w:p>
        </w:tc>
        <w:tc>
          <w:tcPr>
            <w:tcW w:w="8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760" w:type="dxa"/>
            <w:vAlign w:val="bottom"/>
          </w:tcPr>
          <w:p>
            <w:pPr>
              <w:jc w:val="center"/>
              <w:spacing w:after="0"/>
              <w:rPr>
                <w:sz w:val="20"/>
                <w:szCs w:val="20"/>
                <w:color w:val="auto"/>
              </w:rPr>
            </w:pPr>
            <w:r>
              <w:rPr>
                <w:rFonts w:ascii="Arial" w:cs="Arial" w:eastAsia="Arial" w:hAnsi="Arial"/>
                <w:sz w:val="18"/>
                <w:szCs w:val="18"/>
                <w:color w:val="auto"/>
                <w:w w:val="99"/>
              </w:rPr>
              <w:t>X</w:t>
            </w:r>
          </w:p>
        </w:tc>
        <w:tc>
          <w:tcPr>
            <w:tcW w:w="0" w:type="dxa"/>
            <w:vAlign w:val="bottom"/>
          </w:tcPr>
          <w:p>
            <w:pPr>
              <w:spacing w:after="0"/>
              <w:rPr>
                <w:sz w:val="1"/>
                <w:szCs w:val="1"/>
                <w:color w:val="auto"/>
              </w:rPr>
            </w:pPr>
          </w:p>
        </w:tc>
      </w:tr>
      <w:tr>
        <w:trPr>
          <w:trHeight w:val="196"/>
        </w:trPr>
        <w:tc>
          <w:tcPr>
            <w:tcW w:w="10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340" w:type="dxa"/>
            <w:vAlign w:val="bottom"/>
            <w:tcBorders>
              <w:top w:val="single" w:sz="8" w:color="0000EE"/>
              <w:bottom w:val="single" w:sz="8" w:color="0000EE"/>
            </w:tcBorders>
            <w:gridSpan w:val="8"/>
          </w:tcPr>
          <w:p>
            <w:pPr>
              <w:ind w:left="20"/>
              <w:spacing w:after="0" w:line="196" w:lineRule="exact"/>
              <w:rPr>
                <w:rFonts w:ascii="Arial" w:cs="Arial" w:eastAsia="Arial" w:hAnsi="Arial"/>
                <w:sz w:val="18"/>
                <w:szCs w:val="18"/>
                <w:color w:val="0000EE"/>
                <w:w w:val="90"/>
              </w:rPr>
            </w:pPr>
            <w:hyperlink w:anchor="page113">
              <w:r>
                <w:rPr>
                  <w:rFonts w:ascii="Arial" w:cs="Arial" w:eastAsia="Arial" w:hAnsi="Arial"/>
                  <w:sz w:val="18"/>
                  <w:szCs w:val="18"/>
                  <w:color w:val="0000EE"/>
                  <w:w w:val="90"/>
                </w:rPr>
                <w:t>Pursuant to Section 906 of the Sarbanes-Oxley Act of 2002.</w:t>
              </w:r>
            </w:hyperlink>
          </w:p>
        </w:tc>
        <w:tc>
          <w:tcPr>
            <w:tcW w:w="2300" w:type="dxa"/>
            <w:vAlign w:val="bottom"/>
            <w:tcBorders>
              <w:top w:val="single" w:sz="8" w:color="0000EE"/>
            </w:tcBorders>
            <w:gridSpan w:val="11"/>
          </w:tcPr>
          <w:p>
            <w:pPr>
              <w:spacing w:after="0"/>
              <w:rPr>
                <w:sz w:val="17"/>
                <w:szCs w:val="17"/>
                <w:color w:val="auto"/>
              </w:rPr>
            </w:pPr>
          </w:p>
        </w:tc>
        <w:tc>
          <w:tcPr>
            <w:tcW w:w="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31"/>
        </w:trPr>
        <w:tc>
          <w:tcPr>
            <w:tcW w:w="1000" w:type="dxa"/>
            <w:vAlign w:val="bottom"/>
          </w:tcPr>
          <w:p>
            <w:pPr>
              <w:spacing w:after="0"/>
              <w:rPr>
                <w:sz w:val="20"/>
                <w:szCs w:val="20"/>
                <w:color w:val="auto"/>
              </w:rPr>
            </w:pPr>
            <w:r>
              <w:rPr>
                <w:rFonts w:ascii="Arial" w:cs="Arial" w:eastAsia="Arial" w:hAnsi="Arial"/>
                <w:sz w:val="18"/>
                <w:szCs w:val="18"/>
                <w:color w:val="auto"/>
              </w:rPr>
              <w:t>32.2*</w:t>
            </w:r>
          </w:p>
        </w:tc>
        <w:tc>
          <w:tcPr>
            <w:tcW w:w="100" w:type="dxa"/>
            <w:vAlign w:val="bottom"/>
          </w:tcPr>
          <w:p>
            <w:pPr>
              <w:spacing w:after="0"/>
              <w:rPr>
                <w:sz w:val="24"/>
                <w:szCs w:val="24"/>
                <w:color w:val="auto"/>
              </w:rPr>
            </w:pPr>
          </w:p>
        </w:tc>
        <w:tc>
          <w:tcPr>
            <w:tcW w:w="6600" w:type="dxa"/>
            <w:vAlign w:val="bottom"/>
            <w:tcBorders>
              <w:bottom w:val="single" w:sz="8" w:color="0000EE"/>
            </w:tcBorders>
            <w:gridSpan w:val="17"/>
          </w:tcPr>
          <w:p>
            <w:pPr>
              <w:ind w:left="20"/>
              <w:spacing w:after="0"/>
              <w:rPr>
                <w:rFonts w:ascii="Arial" w:cs="Arial" w:eastAsia="Arial" w:hAnsi="Arial"/>
                <w:sz w:val="18"/>
                <w:szCs w:val="18"/>
                <w:color w:val="0000EE"/>
                <w:w w:val="91"/>
              </w:rPr>
            </w:pPr>
            <w:hyperlink w:anchor="page114">
              <w:r>
                <w:rPr>
                  <w:rFonts w:ascii="Arial" w:cs="Arial" w:eastAsia="Arial" w:hAnsi="Arial"/>
                  <w:sz w:val="18"/>
                  <w:szCs w:val="18"/>
                  <w:color w:val="0000EE"/>
                  <w:w w:val="91"/>
                </w:rPr>
                <w:t>Certification of Principal Financial Officer Pursuant to 18 U.S.C. Section 1350, as Adopted</w:t>
              </w:r>
            </w:hyperlink>
          </w:p>
        </w:tc>
        <w:tc>
          <w:tcPr>
            <w:tcW w:w="120" w:type="dxa"/>
            <w:vAlign w:val="bottom"/>
            <w:gridSpan w:val="3"/>
          </w:tcPr>
          <w:p>
            <w:pPr>
              <w:spacing w:after="0"/>
              <w:rPr>
                <w:sz w:val="24"/>
                <w:szCs w:val="24"/>
                <w:color w:val="auto"/>
              </w:rPr>
            </w:pPr>
          </w:p>
        </w:tc>
        <w:tc>
          <w:tcPr>
            <w:tcW w:w="8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760" w:type="dxa"/>
            <w:vAlign w:val="bottom"/>
          </w:tcPr>
          <w:p>
            <w:pPr>
              <w:jc w:val="center"/>
              <w:spacing w:after="0"/>
              <w:rPr>
                <w:sz w:val="20"/>
                <w:szCs w:val="20"/>
                <w:color w:val="auto"/>
              </w:rPr>
            </w:pPr>
            <w:r>
              <w:rPr>
                <w:rFonts w:ascii="Arial" w:cs="Arial" w:eastAsia="Arial" w:hAnsi="Arial"/>
                <w:sz w:val="18"/>
                <w:szCs w:val="18"/>
                <w:color w:val="auto"/>
                <w:w w:val="99"/>
              </w:rPr>
              <w:t>X</w:t>
            </w:r>
          </w:p>
        </w:tc>
        <w:tc>
          <w:tcPr>
            <w:tcW w:w="0" w:type="dxa"/>
            <w:vAlign w:val="bottom"/>
          </w:tcPr>
          <w:p>
            <w:pPr>
              <w:spacing w:after="0"/>
              <w:rPr>
                <w:sz w:val="1"/>
                <w:szCs w:val="1"/>
                <w:color w:val="auto"/>
              </w:rPr>
            </w:pPr>
          </w:p>
        </w:tc>
      </w:tr>
      <w:tr>
        <w:trPr>
          <w:trHeight w:val="196"/>
        </w:trPr>
        <w:tc>
          <w:tcPr>
            <w:tcW w:w="10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720" w:type="dxa"/>
            <w:vAlign w:val="bottom"/>
            <w:gridSpan w:val="20"/>
          </w:tcPr>
          <w:p>
            <w:pPr>
              <w:ind w:left="20"/>
              <w:spacing w:after="0" w:line="196" w:lineRule="exact"/>
              <w:rPr>
                <w:rFonts w:ascii="Arial" w:cs="Arial" w:eastAsia="Arial" w:hAnsi="Arial"/>
                <w:sz w:val="18"/>
                <w:szCs w:val="18"/>
                <w:color w:val="0000EE"/>
              </w:rPr>
            </w:pPr>
            <w:hyperlink w:anchor="page114">
              <w:r>
                <w:rPr>
                  <w:rFonts w:ascii="Arial" w:cs="Arial" w:eastAsia="Arial" w:hAnsi="Arial"/>
                  <w:sz w:val="18"/>
                  <w:szCs w:val="18"/>
                  <w:color w:val="0000EE"/>
                </w:rPr>
                <w:t>Pursuant to Section 906 of the Sarbanes-Oxley Act of 2002.</w:t>
              </w:r>
            </w:hyperlink>
          </w:p>
        </w:tc>
        <w:tc>
          <w:tcPr>
            <w:tcW w:w="8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72"/>
        </w:trPr>
        <w:tc>
          <w:tcPr>
            <w:tcW w:w="1000" w:type="dxa"/>
            <w:vAlign w:val="bottom"/>
          </w:tcPr>
          <w:p>
            <w:pPr>
              <w:spacing w:after="0"/>
              <w:rPr>
                <w:sz w:val="20"/>
                <w:szCs w:val="20"/>
                <w:color w:val="auto"/>
              </w:rPr>
            </w:pPr>
            <w:r>
              <w:rPr>
                <w:rFonts w:ascii="Arial" w:cs="Arial" w:eastAsia="Arial" w:hAnsi="Arial"/>
                <w:sz w:val="18"/>
                <w:szCs w:val="18"/>
                <w:color w:val="auto"/>
              </w:rPr>
              <w:t>101.INS</w:t>
            </w:r>
          </w:p>
        </w:tc>
        <w:tc>
          <w:tcPr>
            <w:tcW w:w="100" w:type="dxa"/>
            <w:vAlign w:val="bottom"/>
          </w:tcPr>
          <w:p>
            <w:pPr>
              <w:spacing w:after="0"/>
              <w:rPr>
                <w:sz w:val="24"/>
                <w:szCs w:val="24"/>
                <w:color w:val="auto"/>
              </w:rPr>
            </w:pPr>
          </w:p>
        </w:tc>
        <w:tc>
          <w:tcPr>
            <w:tcW w:w="4320" w:type="dxa"/>
            <w:vAlign w:val="bottom"/>
            <w:tcBorders>
              <w:top w:val="single" w:sz="8" w:color="0000EE"/>
            </w:tcBorders>
            <w:gridSpan w:val="7"/>
          </w:tcPr>
          <w:p>
            <w:pPr>
              <w:ind w:left="20"/>
              <w:spacing w:after="0"/>
              <w:rPr>
                <w:sz w:val="20"/>
                <w:szCs w:val="20"/>
                <w:color w:val="auto"/>
              </w:rPr>
            </w:pPr>
            <w:r>
              <w:rPr>
                <w:rFonts w:ascii="Arial" w:cs="Arial" w:eastAsia="Arial" w:hAnsi="Arial"/>
                <w:sz w:val="18"/>
                <w:szCs w:val="18"/>
                <w:color w:val="auto"/>
              </w:rPr>
              <w:t>XBRL Instance Document</w:t>
            </w:r>
          </w:p>
        </w:tc>
        <w:tc>
          <w:tcPr>
            <w:tcW w:w="2400" w:type="dxa"/>
            <w:vAlign w:val="bottom"/>
            <w:gridSpan w:val="13"/>
          </w:tcPr>
          <w:p>
            <w:pPr>
              <w:spacing w:after="0"/>
              <w:rPr>
                <w:sz w:val="24"/>
                <w:szCs w:val="24"/>
                <w:color w:val="auto"/>
              </w:rPr>
            </w:pPr>
          </w:p>
        </w:tc>
        <w:tc>
          <w:tcPr>
            <w:tcW w:w="8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760" w:type="dxa"/>
            <w:vAlign w:val="bottom"/>
          </w:tcPr>
          <w:p>
            <w:pPr>
              <w:jc w:val="center"/>
              <w:spacing w:after="0"/>
              <w:rPr>
                <w:sz w:val="20"/>
                <w:szCs w:val="20"/>
                <w:color w:val="auto"/>
              </w:rPr>
            </w:pPr>
            <w:r>
              <w:rPr>
                <w:rFonts w:ascii="Arial" w:cs="Arial" w:eastAsia="Arial" w:hAnsi="Arial"/>
                <w:sz w:val="18"/>
                <w:szCs w:val="18"/>
                <w:color w:val="auto"/>
                <w:w w:val="99"/>
              </w:rPr>
              <w:t>X</w:t>
            </w:r>
          </w:p>
        </w:tc>
        <w:tc>
          <w:tcPr>
            <w:tcW w:w="0" w:type="dxa"/>
            <w:vAlign w:val="bottom"/>
          </w:tcPr>
          <w:p>
            <w:pPr>
              <w:spacing w:after="0"/>
              <w:rPr>
                <w:sz w:val="1"/>
                <w:szCs w:val="1"/>
                <w:color w:val="auto"/>
              </w:rPr>
            </w:pPr>
          </w:p>
        </w:tc>
      </w:tr>
      <w:tr>
        <w:trPr>
          <w:trHeight w:val="365"/>
        </w:trPr>
        <w:tc>
          <w:tcPr>
            <w:tcW w:w="1000" w:type="dxa"/>
            <w:vAlign w:val="bottom"/>
          </w:tcPr>
          <w:p>
            <w:pPr>
              <w:spacing w:after="0"/>
              <w:rPr>
                <w:sz w:val="20"/>
                <w:szCs w:val="20"/>
                <w:color w:val="auto"/>
              </w:rPr>
            </w:pPr>
            <w:r>
              <w:rPr>
                <w:rFonts w:ascii="Arial" w:cs="Arial" w:eastAsia="Arial" w:hAnsi="Arial"/>
                <w:sz w:val="18"/>
                <w:szCs w:val="18"/>
                <w:color w:val="auto"/>
              </w:rPr>
              <w:t>101.SCH</w:t>
            </w:r>
          </w:p>
        </w:tc>
        <w:tc>
          <w:tcPr>
            <w:tcW w:w="100" w:type="dxa"/>
            <w:vAlign w:val="bottom"/>
          </w:tcPr>
          <w:p>
            <w:pPr>
              <w:spacing w:after="0"/>
              <w:rPr>
                <w:sz w:val="24"/>
                <w:szCs w:val="24"/>
                <w:color w:val="auto"/>
              </w:rPr>
            </w:pPr>
          </w:p>
        </w:tc>
        <w:tc>
          <w:tcPr>
            <w:tcW w:w="6720" w:type="dxa"/>
            <w:vAlign w:val="bottom"/>
            <w:gridSpan w:val="20"/>
          </w:tcPr>
          <w:p>
            <w:pPr>
              <w:ind w:left="20"/>
              <w:spacing w:after="0"/>
              <w:rPr>
                <w:sz w:val="20"/>
                <w:szCs w:val="20"/>
                <w:color w:val="auto"/>
              </w:rPr>
            </w:pPr>
            <w:r>
              <w:rPr>
                <w:rFonts w:ascii="Arial" w:cs="Arial" w:eastAsia="Arial" w:hAnsi="Arial"/>
                <w:sz w:val="18"/>
                <w:szCs w:val="18"/>
                <w:color w:val="auto"/>
              </w:rPr>
              <w:t>XBRL Taxonomy Extension Schema Document</w:t>
            </w:r>
          </w:p>
        </w:tc>
        <w:tc>
          <w:tcPr>
            <w:tcW w:w="8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760" w:type="dxa"/>
            <w:vAlign w:val="bottom"/>
          </w:tcPr>
          <w:p>
            <w:pPr>
              <w:jc w:val="center"/>
              <w:spacing w:after="0"/>
              <w:rPr>
                <w:sz w:val="20"/>
                <w:szCs w:val="20"/>
                <w:color w:val="auto"/>
              </w:rPr>
            </w:pPr>
            <w:r>
              <w:rPr>
                <w:rFonts w:ascii="Arial" w:cs="Arial" w:eastAsia="Arial" w:hAnsi="Arial"/>
                <w:sz w:val="18"/>
                <w:szCs w:val="18"/>
                <w:color w:val="auto"/>
                <w:w w:val="99"/>
              </w:rPr>
              <w:t>X</w:t>
            </w:r>
          </w:p>
        </w:tc>
        <w:tc>
          <w:tcPr>
            <w:tcW w:w="0" w:type="dxa"/>
            <w:vAlign w:val="bottom"/>
          </w:tcPr>
          <w:p>
            <w:pPr>
              <w:spacing w:after="0"/>
              <w:rPr>
                <w:sz w:val="1"/>
                <w:szCs w:val="1"/>
                <w:color w:val="auto"/>
              </w:rPr>
            </w:pPr>
          </w:p>
        </w:tc>
      </w:tr>
      <w:tr>
        <w:trPr>
          <w:trHeight w:val="365"/>
        </w:trPr>
        <w:tc>
          <w:tcPr>
            <w:tcW w:w="1000" w:type="dxa"/>
            <w:vAlign w:val="bottom"/>
          </w:tcPr>
          <w:p>
            <w:pPr>
              <w:spacing w:after="0"/>
              <w:rPr>
                <w:sz w:val="20"/>
                <w:szCs w:val="20"/>
                <w:color w:val="auto"/>
              </w:rPr>
            </w:pPr>
            <w:r>
              <w:rPr>
                <w:rFonts w:ascii="Arial" w:cs="Arial" w:eastAsia="Arial" w:hAnsi="Arial"/>
                <w:sz w:val="18"/>
                <w:szCs w:val="18"/>
                <w:color w:val="auto"/>
              </w:rPr>
              <w:t>101.CAL</w:t>
            </w:r>
          </w:p>
        </w:tc>
        <w:tc>
          <w:tcPr>
            <w:tcW w:w="100" w:type="dxa"/>
            <w:vAlign w:val="bottom"/>
          </w:tcPr>
          <w:p>
            <w:pPr>
              <w:spacing w:after="0"/>
              <w:rPr>
                <w:sz w:val="24"/>
                <w:szCs w:val="24"/>
                <w:color w:val="auto"/>
              </w:rPr>
            </w:pPr>
          </w:p>
        </w:tc>
        <w:tc>
          <w:tcPr>
            <w:tcW w:w="6720" w:type="dxa"/>
            <w:vAlign w:val="bottom"/>
            <w:gridSpan w:val="20"/>
          </w:tcPr>
          <w:p>
            <w:pPr>
              <w:ind w:left="20"/>
              <w:spacing w:after="0"/>
              <w:rPr>
                <w:sz w:val="20"/>
                <w:szCs w:val="20"/>
                <w:color w:val="auto"/>
              </w:rPr>
            </w:pPr>
            <w:r>
              <w:rPr>
                <w:rFonts w:ascii="Arial" w:cs="Arial" w:eastAsia="Arial" w:hAnsi="Arial"/>
                <w:sz w:val="18"/>
                <w:szCs w:val="18"/>
                <w:color w:val="auto"/>
              </w:rPr>
              <w:t>XBRL Taxonomy Extension Calculation Linkbase Document</w:t>
            </w:r>
          </w:p>
        </w:tc>
        <w:tc>
          <w:tcPr>
            <w:tcW w:w="8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760" w:type="dxa"/>
            <w:vAlign w:val="bottom"/>
          </w:tcPr>
          <w:p>
            <w:pPr>
              <w:jc w:val="center"/>
              <w:spacing w:after="0"/>
              <w:rPr>
                <w:sz w:val="20"/>
                <w:szCs w:val="20"/>
                <w:color w:val="auto"/>
              </w:rPr>
            </w:pPr>
            <w:r>
              <w:rPr>
                <w:rFonts w:ascii="Arial" w:cs="Arial" w:eastAsia="Arial" w:hAnsi="Arial"/>
                <w:sz w:val="18"/>
                <w:szCs w:val="18"/>
                <w:color w:val="auto"/>
                <w:w w:val="99"/>
              </w:rPr>
              <w:t>X</w:t>
            </w:r>
          </w:p>
        </w:tc>
        <w:tc>
          <w:tcPr>
            <w:tcW w:w="0" w:type="dxa"/>
            <w:vAlign w:val="bottom"/>
          </w:tcPr>
          <w:p>
            <w:pPr>
              <w:spacing w:after="0"/>
              <w:rPr>
                <w:sz w:val="1"/>
                <w:szCs w:val="1"/>
                <w:color w:val="auto"/>
              </w:rPr>
            </w:pPr>
          </w:p>
        </w:tc>
      </w:tr>
      <w:tr>
        <w:trPr>
          <w:trHeight w:val="365"/>
        </w:trPr>
        <w:tc>
          <w:tcPr>
            <w:tcW w:w="1000" w:type="dxa"/>
            <w:vAlign w:val="bottom"/>
          </w:tcPr>
          <w:p>
            <w:pPr>
              <w:spacing w:after="0"/>
              <w:rPr>
                <w:sz w:val="20"/>
                <w:szCs w:val="20"/>
                <w:color w:val="auto"/>
              </w:rPr>
            </w:pPr>
            <w:r>
              <w:rPr>
                <w:rFonts w:ascii="Arial" w:cs="Arial" w:eastAsia="Arial" w:hAnsi="Arial"/>
                <w:sz w:val="18"/>
                <w:szCs w:val="18"/>
                <w:color w:val="auto"/>
              </w:rPr>
              <w:t>101.DEF</w:t>
            </w:r>
          </w:p>
        </w:tc>
        <w:tc>
          <w:tcPr>
            <w:tcW w:w="100" w:type="dxa"/>
            <w:vAlign w:val="bottom"/>
          </w:tcPr>
          <w:p>
            <w:pPr>
              <w:spacing w:after="0"/>
              <w:rPr>
                <w:sz w:val="24"/>
                <w:szCs w:val="24"/>
                <w:color w:val="auto"/>
              </w:rPr>
            </w:pPr>
          </w:p>
        </w:tc>
        <w:tc>
          <w:tcPr>
            <w:tcW w:w="6720" w:type="dxa"/>
            <w:vAlign w:val="bottom"/>
            <w:gridSpan w:val="20"/>
          </w:tcPr>
          <w:p>
            <w:pPr>
              <w:ind w:left="20"/>
              <w:spacing w:after="0"/>
              <w:rPr>
                <w:sz w:val="20"/>
                <w:szCs w:val="20"/>
                <w:color w:val="auto"/>
              </w:rPr>
            </w:pPr>
            <w:r>
              <w:rPr>
                <w:rFonts w:ascii="Arial" w:cs="Arial" w:eastAsia="Arial" w:hAnsi="Arial"/>
                <w:sz w:val="18"/>
                <w:szCs w:val="18"/>
                <w:color w:val="auto"/>
              </w:rPr>
              <w:t>XBRL Taxonomy Extension Definition Linkbase Document</w:t>
            </w:r>
          </w:p>
        </w:tc>
        <w:tc>
          <w:tcPr>
            <w:tcW w:w="8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760" w:type="dxa"/>
            <w:vAlign w:val="bottom"/>
          </w:tcPr>
          <w:p>
            <w:pPr>
              <w:jc w:val="center"/>
              <w:spacing w:after="0"/>
              <w:rPr>
                <w:sz w:val="20"/>
                <w:szCs w:val="20"/>
                <w:color w:val="auto"/>
              </w:rPr>
            </w:pPr>
            <w:r>
              <w:rPr>
                <w:rFonts w:ascii="Arial" w:cs="Arial" w:eastAsia="Arial" w:hAnsi="Arial"/>
                <w:sz w:val="18"/>
                <w:szCs w:val="18"/>
                <w:color w:val="auto"/>
                <w:w w:val="99"/>
              </w:rPr>
              <w:t>X</w:t>
            </w:r>
          </w:p>
        </w:tc>
        <w:tc>
          <w:tcPr>
            <w:tcW w:w="0" w:type="dxa"/>
            <w:vAlign w:val="bottom"/>
          </w:tcPr>
          <w:p>
            <w:pPr>
              <w:spacing w:after="0"/>
              <w:rPr>
                <w:sz w:val="1"/>
                <w:szCs w:val="1"/>
                <w:color w:val="auto"/>
              </w:rPr>
            </w:pPr>
          </w:p>
        </w:tc>
      </w:tr>
      <w:tr>
        <w:trPr>
          <w:trHeight w:val="365"/>
        </w:trPr>
        <w:tc>
          <w:tcPr>
            <w:tcW w:w="1000" w:type="dxa"/>
            <w:vAlign w:val="bottom"/>
          </w:tcPr>
          <w:p>
            <w:pPr>
              <w:spacing w:after="0"/>
              <w:rPr>
                <w:sz w:val="20"/>
                <w:szCs w:val="20"/>
                <w:color w:val="auto"/>
              </w:rPr>
            </w:pPr>
            <w:r>
              <w:rPr>
                <w:rFonts w:ascii="Arial" w:cs="Arial" w:eastAsia="Arial" w:hAnsi="Arial"/>
                <w:sz w:val="18"/>
                <w:szCs w:val="18"/>
                <w:color w:val="auto"/>
              </w:rPr>
              <w:t>101.LAB</w:t>
            </w:r>
          </w:p>
        </w:tc>
        <w:tc>
          <w:tcPr>
            <w:tcW w:w="100" w:type="dxa"/>
            <w:vAlign w:val="bottom"/>
          </w:tcPr>
          <w:p>
            <w:pPr>
              <w:spacing w:after="0"/>
              <w:rPr>
                <w:sz w:val="24"/>
                <w:szCs w:val="24"/>
                <w:color w:val="auto"/>
              </w:rPr>
            </w:pPr>
          </w:p>
        </w:tc>
        <w:tc>
          <w:tcPr>
            <w:tcW w:w="6720" w:type="dxa"/>
            <w:vAlign w:val="bottom"/>
            <w:gridSpan w:val="20"/>
          </w:tcPr>
          <w:p>
            <w:pPr>
              <w:ind w:left="20"/>
              <w:spacing w:after="0"/>
              <w:rPr>
                <w:sz w:val="20"/>
                <w:szCs w:val="20"/>
                <w:color w:val="auto"/>
              </w:rPr>
            </w:pPr>
            <w:r>
              <w:rPr>
                <w:rFonts w:ascii="Arial" w:cs="Arial" w:eastAsia="Arial" w:hAnsi="Arial"/>
                <w:sz w:val="18"/>
                <w:szCs w:val="18"/>
                <w:color w:val="auto"/>
              </w:rPr>
              <w:t>XBRL Taxonomy Extension Label Linkbase Document</w:t>
            </w:r>
          </w:p>
        </w:tc>
        <w:tc>
          <w:tcPr>
            <w:tcW w:w="8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760" w:type="dxa"/>
            <w:vAlign w:val="bottom"/>
          </w:tcPr>
          <w:p>
            <w:pPr>
              <w:jc w:val="center"/>
              <w:spacing w:after="0"/>
              <w:rPr>
                <w:sz w:val="20"/>
                <w:szCs w:val="20"/>
                <w:color w:val="auto"/>
              </w:rPr>
            </w:pPr>
            <w:r>
              <w:rPr>
                <w:rFonts w:ascii="Arial" w:cs="Arial" w:eastAsia="Arial" w:hAnsi="Arial"/>
                <w:sz w:val="18"/>
                <w:szCs w:val="18"/>
                <w:color w:val="auto"/>
                <w:w w:val="99"/>
              </w:rPr>
              <w:t>X</w:t>
            </w:r>
          </w:p>
        </w:tc>
        <w:tc>
          <w:tcPr>
            <w:tcW w:w="0" w:type="dxa"/>
            <w:vAlign w:val="bottom"/>
          </w:tcPr>
          <w:p>
            <w:pPr>
              <w:spacing w:after="0"/>
              <w:rPr>
                <w:sz w:val="1"/>
                <w:szCs w:val="1"/>
                <w:color w:val="auto"/>
              </w:rPr>
            </w:pPr>
          </w:p>
        </w:tc>
      </w:tr>
      <w:tr>
        <w:trPr>
          <w:trHeight w:val="365"/>
        </w:trPr>
        <w:tc>
          <w:tcPr>
            <w:tcW w:w="1000" w:type="dxa"/>
            <w:vAlign w:val="bottom"/>
          </w:tcPr>
          <w:p>
            <w:pPr>
              <w:spacing w:after="0"/>
              <w:rPr>
                <w:sz w:val="20"/>
                <w:szCs w:val="20"/>
                <w:color w:val="auto"/>
              </w:rPr>
            </w:pPr>
            <w:r>
              <w:rPr>
                <w:rFonts w:ascii="Arial" w:cs="Arial" w:eastAsia="Arial" w:hAnsi="Arial"/>
                <w:sz w:val="18"/>
                <w:szCs w:val="18"/>
                <w:color w:val="auto"/>
              </w:rPr>
              <w:t>101.PRE</w:t>
            </w:r>
          </w:p>
        </w:tc>
        <w:tc>
          <w:tcPr>
            <w:tcW w:w="100" w:type="dxa"/>
            <w:vAlign w:val="bottom"/>
          </w:tcPr>
          <w:p>
            <w:pPr>
              <w:spacing w:after="0"/>
              <w:rPr>
                <w:sz w:val="24"/>
                <w:szCs w:val="24"/>
                <w:color w:val="auto"/>
              </w:rPr>
            </w:pPr>
          </w:p>
        </w:tc>
        <w:tc>
          <w:tcPr>
            <w:tcW w:w="6720" w:type="dxa"/>
            <w:vAlign w:val="bottom"/>
            <w:gridSpan w:val="20"/>
          </w:tcPr>
          <w:p>
            <w:pPr>
              <w:ind w:left="20"/>
              <w:spacing w:after="0"/>
              <w:rPr>
                <w:sz w:val="20"/>
                <w:szCs w:val="20"/>
                <w:color w:val="auto"/>
              </w:rPr>
            </w:pPr>
            <w:r>
              <w:rPr>
                <w:rFonts w:ascii="Arial" w:cs="Arial" w:eastAsia="Arial" w:hAnsi="Arial"/>
                <w:sz w:val="18"/>
                <w:szCs w:val="18"/>
                <w:color w:val="auto"/>
              </w:rPr>
              <w:t>XBRL Taxonomy Extension Presentation Linkbase Document</w:t>
            </w:r>
          </w:p>
        </w:tc>
        <w:tc>
          <w:tcPr>
            <w:tcW w:w="8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760" w:type="dxa"/>
            <w:vAlign w:val="bottom"/>
          </w:tcPr>
          <w:p>
            <w:pPr>
              <w:jc w:val="center"/>
              <w:spacing w:after="0"/>
              <w:rPr>
                <w:sz w:val="20"/>
                <w:szCs w:val="20"/>
                <w:color w:val="auto"/>
              </w:rPr>
            </w:pPr>
            <w:r>
              <w:rPr>
                <w:rFonts w:ascii="Arial" w:cs="Arial" w:eastAsia="Arial" w:hAnsi="Arial"/>
                <w:sz w:val="18"/>
                <w:szCs w:val="18"/>
                <w:color w:val="auto"/>
                <w:w w:val="99"/>
              </w:rPr>
              <w:t>X</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102870</wp:posOffset>
            </wp:positionV>
            <wp:extent cx="1672590" cy="8890"/>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77">
                      <a:extLst>
                        <a:ext uri="{28A0092B-C50C-407E-A947-70E740481C1C}"/>
                      </a:extLst>
                    </a:blip>
                    <a:srcRect/>
                    <a:stretch>
                      <a:fillRect/>
                    </a:stretch>
                  </pic:blipFill>
                  <pic:spPr bwMode="auto">
                    <a:xfrm>
                      <a:off x="0" y="0"/>
                      <a:ext cx="1672590" cy="8890"/>
                    </a:xfrm>
                    <a:prstGeom prst="rect">
                      <a:avLst/>
                    </a:prstGeom>
                    <a:noFill/>
                  </pic:spPr>
                </pic:pic>
              </a:graphicData>
            </a:graphic>
          </wp:anchor>
        </w:drawing>
      </w:r>
    </w:p>
    <w:p>
      <w:pPr>
        <w:spacing w:after="0" w:line="195" w:lineRule="exact"/>
        <w:rPr>
          <w:sz w:val="20"/>
          <w:szCs w:val="20"/>
          <w:color w:val="auto"/>
        </w:rPr>
      </w:pPr>
    </w:p>
    <w:p>
      <w:pPr>
        <w:ind w:left="600" w:hanging="592"/>
        <w:spacing w:after="0"/>
        <w:tabs>
          <w:tab w:leader="none" w:pos="600" w:val="left"/>
        </w:tabs>
        <w:numPr>
          <w:ilvl w:val="0"/>
          <w:numId w:val="56"/>
        </w:numPr>
        <w:rPr>
          <w:rFonts w:ascii="Arial" w:cs="Arial" w:eastAsia="Arial" w:hAnsi="Arial"/>
          <w:sz w:val="18"/>
          <w:szCs w:val="18"/>
          <w:color w:val="auto"/>
        </w:rPr>
      </w:pPr>
      <w:r>
        <w:rPr>
          <w:rFonts w:ascii="Arial" w:cs="Arial" w:eastAsia="Arial" w:hAnsi="Arial"/>
          <w:sz w:val="18"/>
          <w:szCs w:val="18"/>
          <w:color w:val="auto"/>
        </w:rPr>
        <w:t>Indicates management contract or compensatory plan.</w:t>
      </w:r>
    </w:p>
    <w:p>
      <w:pPr>
        <w:spacing w:after="0" w:line="23" w:lineRule="exact"/>
        <w:rPr>
          <w:sz w:val="20"/>
          <w:szCs w:val="20"/>
          <w:color w:val="auto"/>
        </w:rPr>
      </w:pPr>
    </w:p>
    <w:p>
      <w:pPr>
        <w:ind w:left="600" w:right="420" w:hanging="592"/>
        <w:spacing w:after="0" w:line="250" w:lineRule="auto"/>
        <w:tabs>
          <w:tab w:leader="none" w:pos="600" w:val="left"/>
        </w:tabs>
        <w:numPr>
          <w:ilvl w:val="0"/>
          <w:numId w:val="57"/>
        </w:numPr>
        <w:rPr>
          <w:rFonts w:ascii="Arial" w:cs="Arial" w:eastAsia="Arial" w:hAnsi="Arial"/>
          <w:sz w:val="18"/>
          <w:szCs w:val="18"/>
          <w:color w:val="auto"/>
        </w:rPr>
      </w:pPr>
      <w:r>
        <w:rPr>
          <w:rFonts w:ascii="Arial" w:cs="Arial" w:eastAsia="Arial" w:hAnsi="Arial"/>
          <w:sz w:val="18"/>
          <w:szCs w:val="18"/>
          <w:color w:val="auto"/>
        </w:rPr>
        <w:t>Portions of this exhibit (indicated by asterisks) are omitted pursuant to a request for confidential treatment that has been filed separately with the Securities and Exchange Commission.</w:t>
      </w:r>
    </w:p>
    <w:p>
      <w:pPr>
        <w:spacing w:after="0" w:line="1" w:lineRule="exact"/>
        <w:rPr>
          <w:sz w:val="20"/>
          <w:szCs w:val="20"/>
          <w:color w:val="auto"/>
        </w:rPr>
      </w:pPr>
    </w:p>
    <w:p>
      <w:pPr>
        <w:ind w:left="600" w:right="120" w:hanging="592"/>
        <w:spacing w:after="0" w:line="254" w:lineRule="auto"/>
        <w:tabs>
          <w:tab w:leader="none" w:pos="600" w:val="left"/>
        </w:tabs>
        <w:numPr>
          <w:ilvl w:val="0"/>
          <w:numId w:val="58"/>
        </w:numPr>
        <w:rPr>
          <w:rFonts w:ascii="Arial" w:cs="Arial" w:eastAsia="Arial" w:hAnsi="Arial"/>
          <w:sz w:val="18"/>
          <w:szCs w:val="18"/>
          <w:color w:val="auto"/>
        </w:rPr>
      </w:pPr>
      <w:r>
        <w:rPr>
          <w:rFonts w:ascii="Arial" w:cs="Arial" w:eastAsia="Arial" w:hAnsi="Arial"/>
          <w:sz w:val="18"/>
          <w:szCs w:val="18"/>
          <w:color w:val="auto"/>
        </w:rPr>
        <w:t>The certifications attached as Exhibit 32.1 and Exhibit 32.2 that accompany this Annual Report on Form 10-K are not deemed filed with the Securities and Exchange Commission and are not to be incorporated by reference into any filing of Restoration Robotics, Inc. under the Securities Act of 1933, as amended, or the Securities Exchange Act of 1934, as amended, whether made before or after the date of this Annual Report on Form 10-K, irrespective of any general incorporation language contained in such filing.</w:t>
      </w:r>
    </w:p>
    <w:p>
      <w:pPr>
        <w:spacing w:after="0" w:line="19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78">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20" w:right="239" w:bottom="1440" w:gutter="0" w:footer="0" w:header="0"/>
        </w:sectPr>
      </w:pPr>
    </w:p>
    <w:bookmarkStart w:id="106" w:name="page107"/>
    <w:bookmarkEnd w:id="106"/>
    <w:p>
      <w:pPr>
        <w:jc w:val="center"/>
        <w:ind w:right="-219"/>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Pursuant to the requirements of Section 13 or 15(d) of the Securities Exchange Act of 1934, as amended, the Registrant has duly caused this Annual Report on Form 10-K to be signed on its behalf by the undersigned, thereunto duly authorized.</w:t>
      </w:r>
    </w:p>
    <w:p>
      <w:pPr>
        <w:spacing w:after="0" w:line="170" w:lineRule="exact"/>
        <w:rPr>
          <w:sz w:val="20"/>
          <w:szCs w:val="20"/>
          <w:color w:val="auto"/>
        </w:rPr>
      </w:pPr>
    </w:p>
    <w:p>
      <w:pPr>
        <w:ind w:left="6020"/>
        <w:spacing w:after="0"/>
        <w:rPr>
          <w:sz w:val="20"/>
          <w:szCs w:val="20"/>
          <w:color w:val="auto"/>
        </w:rPr>
      </w:pPr>
      <w:r>
        <w:rPr>
          <w:rFonts w:ascii="Arial" w:cs="Arial" w:eastAsia="Arial" w:hAnsi="Arial"/>
          <w:sz w:val="18"/>
          <w:szCs w:val="18"/>
          <w:color w:val="auto"/>
        </w:rPr>
        <w:t>Restoration Robotics, Inc.</w:t>
      </w:r>
    </w:p>
    <w:p>
      <w:pPr>
        <w:spacing w:after="0" w:line="252" w:lineRule="exact"/>
        <w:rPr>
          <w:sz w:val="20"/>
          <w:szCs w:val="20"/>
          <w:color w:val="auto"/>
        </w:rPr>
      </w:pPr>
    </w:p>
    <w:p>
      <w:pPr>
        <w:spacing w:after="0"/>
        <w:tabs>
          <w:tab w:leader="none" w:pos="5620" w:val="left"/>
          <w:tab w:leader="none" w:pos="8180" w:val="left"/>
        </w:tabs>
        <w:rPr>
          <w:sz w:val="20"/>
          <w:szCs w:val="20"/>
          <w:color w:val="auto"/>
        </w:rPr>
      </w:pPr>
      <w:r>
        <w:rPr>
          <w:rFonts w:ascii="Arial" w:cs="Arial" w:eastAsia="Arial" w:hAnsi="Arial"/>
          <w:sz w:val="18"/>
          <w:szCs w:val="18"/>
          <w:color w:val="auto"/>
        </w:rPr>
        <w:t>Date: March 5, 2018</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5"/>
          <w:szCs w:val="15"/>
          <w:color w:val="auto"/>
        </w:rPr>
        <w:t>/s/ Ryan Rhodes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3907155</wp:posOffset>
            </wp:positionH>
            <wp:positionV relativeFrom="paragraph">
              <wp:posOffset>14605</wp:posOffset>
            </wp:positionV>
            <wp:extent cx="3344545" cy="8890"/>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79">
                      <a:extLst>
                        <a:ext uri="{28A0092B-C50C-407E-A947-70E740481C1C}"/>
                      </a:extLst>
                    </a:blip>
                    <a:srcRect/>
                    <a:stretch>
                      <a:fillRect/>
                    </a:stretch>
                  </pic:blipFill>
                  <pic:spPr bwMode="auto">
                    <a:xfrm>
                      <a:off x="0" y="0"/>
                      <a:ext cx="3344545" cy="8890"/>
                    </a:xfrm>
                    <a:prstGeom prst="rect">
                      <a:avLst/>
                    </a:prstGeom>
                    <a:noFill/>
                  </pic:spPr>
                </pic:pic>
              </a:graphicData>
            </a:graphic>
          </wp:anchor>
        </w:drawing>
      </w:r>
    </w:p>
    <w:p>
      <w:pPr>
        <w:spacing w:after="0" w:line="12" w:lineRule="exact"/>
        <w:rPr>
          <w:sz w:val="20"/>
          <w:szCs w:val="20"/>
          <w:color w:val="auto"/>
        </w:rPr>
      </w:pPr>
    </w:p>
    <w:p>
      <w:pPr>
        <w:jc w:val="center"/>
        <w:ind w:left="6140"/>
        <w:spacing w:after="0"/>
        <w:rPr>
          <w:sz w:val="20"/>
          <w:szCs w:val="20"/>
          <w:color w:val="auto"/>
        </w:rPr>
      </w:pPr>
      <w:r>
        <w:rPr>
          <w:rFonts w:ascii="Arial" w:cs="Arial" w:eastAsia="Arial" w:hAnsi="Arial"/>
          <w:sz w:val="18"/>
          <w:szCs w:val="18"/>
          <w:b w:val="1"/>
          <w:bCs w:val="1"/>
          <w:color w:val="auto"/>
        </w:rPr>
        <w:t>Ryan Rhodes</w:t>
      </w:r>
    </w:p>
    <w:p>
      <w:pPr>
        <w:spacing w:after="0" w:line="27" w:lineRule="exact"/>
        <w:rPr>
          <w:sz w:val="20"/>
          <w:szCs w:val="20"/>
          <w:color w:val="auto"/>
        </w:rPr>
      </w:pPr>
    </w:p>
    <w:p>
      <w:pPr>
        <w:jc w:val="center"/>
        <w:ind w:left="6140"/>
        <w:spacing w:after="0"/>
        <w:rPr>
          <w:sz w:val="20"/>
          <w:szCs w:val="20"/>
          <w:color w:val="auto"/>
        </w:rPr>
      </w:pPr>
      <w:r>
        <w:rPr>
          <w:rFonts w:ascii="Arial" w:cs="Arial" w:eastAsia="Arial" w:hAnsi="Arial"/>
          <w:sz w:val="18"/>
          <w:szCs w:val="18"/>
          <w:b w:val="1"/>
          <w:bCs w:val="1"/>
          <w:color w:val="auto"/>
        </w:rPr>
        <w:t>President, Chief Executive Officer and Director</w:t>
      </w:r>
    </w:p>
    <w:p>
      <w:pPr>
        <w:spacing w:after="0" w:line="200" w:lineRule="exact"/>
        <w:rPr>
          <w:sz w:val="20"/>
          <w:szCs w:val="20"/>
          <w:color w:val="auto"/>
        </w:rPr>
      </w:pPr>
    </w:p>
    <w:p>
      <w:pPr>
        <w:spacing w:after="0" w:line="227"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106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80">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220"/>
          </w:cols>
          <w:pgMar w:left="240" w:top="337" w:right="439" w:bottom="1440" w:gutter="0" w:footer="0" w:header="0"/>
        </w:sectPr>
      </w:pPr>
    </w:p>
    <w:bookmarkStart w:id="107" w:name="page108"/>
    <w:bookmarkEnd w:id="107"/>
    <w:p>
      <w:pPr>
        <w:jc w:val="center"/>
        <w:ind w:right="-139"/>
        <w:spacing w:after="0"/>
        <w:rPr>
          <w:sz w:val="20"/>
          <w:szCs w:val="20"/>
          <w:color w:val="auto"/>
        </w:rPr>
      </w:pPr>
      <w:r>
        <w:rPr>
          <w:rFonts w:ascii="Arial" w:cs="Arial" w:eastAsia="Arial" w:hAnsi="Arial"/>
          <w:sz w:val="18"/>
          <w:szCs w:val="18"/>
          <w:color w:val="auto"/>
        </w:rPr>
        <w:t>POWER OF ATTORNEY</w:t>
      </w:r>
    </w:p>
    <w:p>
      <w:pPr>
        <w:spacing w:after="0" w:line="225" w:lineRule="exact"/>
        <w:rPr>
          <w:sz w:val="20"/>
          <w:szCs w:val="20"/>
          <w:color w:val="auto"/>
        </w:rPr>
      </w:pPr>
    </w:p>
    <w:p>
      <w:pPr>
        <w:ind w:firstLine="598"/>
        <w:spacing w:after="0" w:line="255" w:lineRule="auto"/>
        <w:rPr>
          <w:sz w:val="20"/>
          <w:szCs w:val="20"/>
          <w:color w:val="auto"/>
        </w:rPr>
      </w:pPr>
      <w:r>
        <w:rPr>
          <w:rFonts w:ascii="Arial" w:cs="Arial" w:eastAsia="Arial" w:hAnsi="Arial"/>
          <w:sz w:val="18"/>
          <w:szCs w:val="18"/>
          <w:color w:val="auto"/>
        </w:rPr>
        <w:t>KNOW ALL PERSONS BY THESE PRESENTS, that each person whose signature appears below constitutes and appoints each of Ryan Rhodes and Mark Hair his or her true and lawful attorney-in-fact and agent, with full power of substitution, for him or her and in his or her name, place and stead, in any and all capacities, to sign any and all amendments to this Annual Report on Form 10-K, and to file the same, with all exhibits thereto, and other documents in connection therewith, with the Securities and Exchange Commission, granting unto said attorney-in-fact and agent, full power and authority to do and perform each and every act and thing requisite and necessary to be done in connection therewith, as fully to all intents and purposes as he might or could do in person, hereby ratifying and confirming all that said attorney-in-fact and agent, or his substitutes or substitute, may lawfully do or cause to be done by virtue hereof.</w:t>
      </w:r>
    </w:p>
    <w:p>
      <w:pPr>
        <w:spacing w:after="0" w:line="81" w:lineRule="exact"/>
        <w:rPr>
          <w:sz w:val="20"/>
          <w:szCs w:val="20"/>
          <w:color w:val="auto"/>
        </w:rPr>
      </w:pPr>
    </w:p>
    <w:p>
      <w:pPr>
        <w:ind w:left="600"/>
        <w:spacing w:after="0"/>
        <w:rPr>
          <w:sz w:val="20"/>
          <w:szCs w:val="20"/>
          <w:color w:val="auto"/>
        </w:rPr>
      </w:pPr>
      <w:r>
        <w:rPr>
          <w:rFonts w:ascii="Arial" w:cs="Arial" w:eastAsia="Arial" w:hAnsi="Arial"/>
          <w:sz w:val="17"/>
          <w:szCs w:val="17"/>
          <w:color w:val="auto"/>
        </w:rPr>
        <w:t>IN WITNESS WHEREOF, each of the undersigned has executed this Power of Attorney as of the date indicated opposite his/her name.</w:t>
      </w:r>
    </w:p>
    <w:p>
      <w:pPr>
        <w:spacing w:after="0" w:line="129" w:lineRule="exact"/>
        <w:rPr>
          <w:sz w:val="20"/>
          <w:szCs w:val="20"/>
          <w:color w:val="auto"/>
        </w:rPr>
      </w:pPr>
    </w:p>
    <w:p>
      <w:pPr>
        <w:ind w:right="120" w:firstLine="598"/>
        <w:spacing w:after="0" w:line="277" w:lineRule="auto"/>
        <w:rPr>
          <w:sz w:val="20"/>
          <w:szCs w:val="20"/>
          <w:color w:val="auto"/>
        </w:rPr>
      </w:pPr>
      <w:r>
        <w:rPr>
          <w:rFonts w:ascii="Arial" w:cs="Arial" w:eastAsia="Arial" w:hAnsi="Arial"/>
          <w:sz w:val="18"/>
          <w:szCs w:val="18"/>
          <w:color w:val="auto"/>
        </w:rPr>
        <w:t>Pursuant to the requirements of the Securities Exchange Act of 1934, as amended, this Annual Report on Form 10-K has been signed below by the following persons on behalf of the Registrant in the capacities and on the dates indicated.</w:t>
      </w:r>
    </w:p>
    <w:p>
      <w:pPr>
        <w:spacing w:after="0" w:line="153"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1720" w:type="dxa"/>
            <w:vAlign w:val="bottom"/>
          </w:tcPr>
          <w:p>
            <w:pPr>
              <w:spacing w:after="0"/>
              <w:rPr>
                <w:sz w:val="17"/>
                <w:szCs w:val="17"/>
                <w:color w:val="auto"/>
              </w:rPr>
            </w:pPr>
          </w:p>
        </w:tc>
        <w:tc>
          <w:tcPr>
            <w:tcW w:w="2400" w:type="dxa"/>
            <w:vAlign w:val="bottom"/>
            <w:gridSpan w:val="2"/>
          </w:tcPr>
          <w:p>
            <w:pPr>
              <w:jc w:val="center"/>
              <w:ind w:right="1720"/>
              <w:spacing w:after="0"/>
              <w:rPr>
                <w:sz w:val="20"/>
                <w:szCs w:val="20"/>
                <w:color w:val="auto"/>
              </w:rPr>
            </w:pPr>
            <w:r>
              <w:rPr>
                <w:rFonts w:ascii="Arial" w:cs="Arial" w:eastAsia="Arial" w:hAnsi="Arial"/>
                <w:sz w:val="18"/>
                <w:szCs w:val="18"/>
                <w:color w:val="auto"/>
                <w:w w:val="88"/>
              </w:rPr>
              <w:t>Signature</w:t>
            </w:r>
          </w:p>
        </w:tc>
        <w:tc>
          <w:tcPr>
            <w:tcW w:w="140" w:type="dxa"/>
            <w:vAlign w:val="bottom"/>
          </w:tcPr>
          <w:p>
            <w:pPr>
              <w:spacing w:after="0"/>
              <w:rPr>
                <w:sz w:val="17"/>
                <w:szCs w:val="17"/>
                <w:color w:val="auto"/>
              </w:rPr>
            </w:pPr>
          </w:p>
        </w:tc>
        <w:tc>
          <w:tcPr>
            <w:tcW w:w="4560" w:type="dxa"/>
            <w:vAlign w:val="bottom"/>
            <w:gridSpan w:val="2"/>
          </w:tcPr>
          <w:p>
            <w:pPr>
              <w:spacing w:after="0"/>
              <w:rPr>
                <w:sz w:val="20"/>
                <w:szCs w:val="20"/>
                <w:color w:val="auto"/>
              </w:rPr>
            </w:pPr>
            <w:r>
              <w:rPr>
                <w:rFonts w:ascii="Arial" w:cs="Arial" w:eastAsia="Arial" w:hAnsi="Arial"/>
                <w:sz w:val="18"/>
                <w:szCs w:val="18"/>
                <w:color w:val="auto"/>
              </w:rPr>
              <w:t>Title</w:t>
            </w:r>
          </w:p>
        </w:tc>
        <w:tc>
          <w:tcPr>
            <w:tcW w:w="2100" w:type="dxa"/>
            <w:vAlign w:val="bottom"/>
            <w:gridSpan w:val="3"/>
          </w:tcPr>
          <w:p>
            <w:pPr>
              <w:jc w:val="center"/>
              <w:ind w:left="990"/>
              <w:spacing w:after="0"/>
              <w:rPr>
                <w:sz w:val="20"/>
                <w:szCs w:val="20"/>
                <w:color w:val="auto"/>
              </w:rPr>
            </w:pPr>
            <w:r>
              <w:rPr>
                <w:rFonts w:ascii="Arial" w:cs="Arial" w:eastAsia="Arial" w:hAnsi="Arial"/>
                <w:sz w:val="18"/>
                <w:szCs w:val="18"/>
                <w:color w:val="auto"/>
                <w:w w:val="89"/>
              </w:rPr>
              <w:t>Date</w:t>
            </w:r>
          </w:p>
        </w:tc>
      </w:tr>
      <w:tr>
        <w:trPr>
          <w:trHeight w:val="20"/>
        </w:trPr>
        <w:tc>
          <w:tcPr>
            <w:tcW w:w="172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422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r>
      <w:tr>
        <w:trPr>
          <w:trHeight w:val="453"/>
        </w:trPr>
        <w:tc>
          <w:tcPr>
            <w:tcW w:w="4120" w:type="dxa"/>
            <w:vAlign w:val="bottom"/>
            <w:tcBorders>
              <w:bottom w:val="single" w:sz="8" w:color="auto"/>
            </w:tcBorders>
            <w:gridSpan w:val="3"/>
          </w:tcPr>
          <w:p>
            <w:pPr>
              <w:jc w:val="center"/>
              <w:spacing w:after="0"/>
              <w:rPr>
                <w:sz w:val="20"/>
                <w:szCs w:val="20"/>
                <w:color w:val="auto"/>
              </w:rPr>
            </w:pPr>
            <w:r>
              <w:rPr>
                <w:rFonts w:ascii="Arial" w:cs="Arial" w:eastAsia="Arial" w:hAnsi="Arial"/>
                <w:sz w:val="18"/>
                <w:szCs w:val="18"/>
                <w:color w:val="auto"/>
                <w:w w:val="87"/>
              </w:rPr>
              <w:t>/s/ Ryan Rhodes</w:t>
            </w:r>
          </w:p>
        </w:tc>
        <w:tc>
          <w:tcPr>
            <w:tcW w:w="140" w:type="dxa"/>
            <w:vAlign w:val="bottom"/>
          </w:tcPr>
          <w:p>
            <w:pPr>
              <w:spacing w:after="0"/>
              <w:rPr>
                <w:sz w:val="24"/>
                <w:szCs w:val="24"/>
                <w:color w:val="auto"/>
              </w:rPr>
            </w:pPr>
          </w:p>
        </w:tc>
        <w:tc>
          <w:tcPr>
            <w:tcW w:w="4560" w:type="dxa"/>
            <w:vAlign w:val="bottom"/>
            <w:gridSpan w:val="2"/>
          </w:tcPr>
          <w:p>
            <w:pPr>
              <w:spacing w:after="0"/>
              <w:rPr>
                <w:sz w:val="20"/>
                <w:szCs w:val="20"/>
                <w:color w:val="auto"/>
              </w:rPr>
            </w:pPr>
            <w:r>
              <w:rPr>
                <w:rFonts w:ascii="Arial" w:cs="Arial" w:eastAsia="Arial" w:hAnsi="Arial"/>
                <w:sz w:val="18"/>
                <w:szCs w:val="18"/>
                <w:color w:val="auto"/>
              </w:rPr>
              <w:t>President, Chief Executive Officer aand Director</w:t>
            </w:r>
          </w:p>
        </w:tc>
        <w:tc>
          <w:tcPr>
            <w:tcW w:w="2100" w:type="dxa"/>
            <w:vAlign w:val="bottom"/>
            <w:gridSpan w:val="3"/>
          </w:tcPr>
          <w:p>
            <w:pPr>
              <w:jc w:val="center"/>
              <w:ind w:left="970"/>
              <w:spacing w:after="0"/>
              <w:rPr>
                <w:sz w:val="20"/>
                <w:szCs w:val="20"/>
                <w:color w:val="auto"/>
              </w:rPr>
            </w:pPr>
            <w:r>
              <w:rPr>
                <w:rFonts w:ascii="Arial" w:cs="Arial" w:eastAsia="Arial" w:hAnsi="Arial"/>
                <w:sz w:val="18"/>
                <w:szCs w:val="18"/>
                <w:color w:val="auto"/>
                <w:w w:val="90"/>
              </w:rPr>
              <w:t>March 5, 2018</w:t>
            </w:r>
          </w:p>
        </w:tc>
      </w:tr>
      <w:tr>
        <w:trPr>
          <w:trHeight w:val="224"/>
        </w:trPr>
        <w:tc>
          <w:tcPr>
            <w:tcW w:w="4120" w:type="dxa"/>
            <w:vAlign w:val="bottom"/>
            <w:gridSpan w:val="3"/>
          </w:tcPr>
          <w:p>
            <w:pPr>
              <w:jc w:val="center"/>
              <w:spacing w:after="0"/>
              <w:rPr>
                <w:sz w:val="20"/>
                <w:szCs w:val="20"/>
                <w:color w:val="auto"/>
              </w:rPr>
            </w:pPr>
            <w:r>
              <w:rPr>
                <w:rFonts w:ascii="Arial" w:cs="Arial" w:eastAsia="Arial" w:hAnsi="Arial"/>
                <w:sz w:val="18"/>
                <w:szCs w:val="18"/>
                <w:color w:val="auto"/>
                <w:w w:val="87"/>
              </w:rPr>
              <w:t>Ryan Rhodes</w:t>
            </w:r>
          </w:p>
        </w:tc>
        <w:tc>
          <w:tcPr>
            <w:tcW w:w="140" w:type="dxa"/>
            <w:vAlign w:val="bottom"/>
          </w:tcPr>
          <w:p>
            <w:pPr>
              <w:spacing w:after="0"/>
              <w:rPr>
                <w:sz w:val="19"/>
                <w:szCs w:val="19"/>
                <w:color w:val="auto"/>
              </w:rPr>
            </w:pPr>
          </w:p>
        </w:tc>
        <w:tc>
          <w:tcPr>
            <w:tcW w:w="4560" w:type="dxa"/>
            <w:vAlign w:val="bottom"/>
            <w:gridSpan w:val="2"/>
          </w:tcPr>
          <w:p>
            <w:pPr>
              <w:spacing w:after="0"/>
              <w:rPr>
                <w:sz w:val="20"/>
                <w:szCs w:val="20"/>
                <w:color w:val="auto"/>
              </w:rPr>
            </w:pPr>
            <w:r>
              <w:rPr>
                <w:rFonts w:ascii="Arial" w:cs="Arial" w:eastAsia="Arial" w:hAnsi="Arial"/>
                <w:sz w:val="18"/>
                <w:szCs w:val="18"/>
                <w:color w:val="auto"/>
              </w:rPr>
              <w:t>(Principal Executive Officer)</w:t>
            </w:r>
          </w:p>
        </w:tc>
        <w:tc>
          <w:tcPr>
            <w:tcW w:w="14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340" w:type="dxa"/>
            <w:vAlign w:val="bottom"/>
          </w:tcPr>
          <w:p>
            <w:pPr>
              <w:spacing w:after="0"/>
              <w:rPr>
                <w:sz w:val="19"/>
                <w:szCs w:val="19"/>
                <w:color w:val="auto"/>
              </w:rPr>
            </w:pPr>
          </w:p>
        </w:tc>
      </w:tr>
      <w:tr>
        <w:trPr>
          <w:trHeight w:val="418"/>
        </w:trPr>
        <w:tc>
          <w:tcPr>
            <w:tcW w:w="4120" w:type="dxa"/>
            <w:vAlign w:val="bottom"/>
            <w:tcBorders>
              <w:bottom w:val="single" w:sz="8" w:color="auto"/>
            </w:tcBorders>
            <w:gridSpan w:val="3"/>
          </w:tcPr>
          <w:p>
            <w:pPr>
              <w:jc w:val="center"/>
              <w:spacing w:after="0"/>
              <w:rPr>
                <w:sz w:val="20"/>
                <w:szCs w:val="20"/>
                <w:color w:val="auto"/>
              </w:rPr>
            </w:pPr>
            <w:r>
              <w:rPr>
                <w:rFonts w:ascii="Arial" w:cs="Arial" w:eastAsia="Arial" w:hAnsi="Arial"/>
                <w:sz w:val="18"/>
                <w:szCs w:val="18"/>
                <w:color w:val="auto"/>
                <w:w w:val="94"/>
              </w:rPr>
              <w:t>/s/ Mark Hair</w:t>
            </w:r>
          </w:p>
        </w:tc>
        <w:tc>
          <w:tcPr>
            <w:tcW w:w="140" w:type="dxa"/>
            <w:vAlign w:val="bottom"/>
          </w:tcPr>
          <w:p>
            <w:pPr>
              <w:spacing w:after="0"/>
              <w:rPr>
                <w:sz w:val="24"/>
                <w:szCs w:val="24"/>
                <w:color w:val="auto"/>
              </w:rPr>
            </w:pPr>
          </w:p>
        </w:tc>
        <w:tc>
          <w:tcPr>
            <w:tcW w:w="4560" w:type="dxa"/>
            <w:vAlign w:val="bottom"/>
            <w:gridSpan w:val="2"/>
          </w:tcPr>
          <w:p>
            <w:pPr>
              <w:spacing w:after="0"/>
              <w:rPr>
                <w:sz w:val="20"/>
                <w:szCs w:val="20"/>
                <w:color w:val="auto"/>
              </w:rPr>
            </w:pPr>
            <w:r>
              <w:rPr>
                <w:rFonts w:ascii="Arial" w:cs="Arial" w:eastAsia="Arial" w:hAnsi="Arial"/>
                <w:sz w:val="18"/>
                <w:szCs w:val="18"/>
                <w:color w:val="auto"/>
              </w:rPr>
              <w:t>Chief Financial Officer</w:t>
            </w:r>
          </w:p>
        </w:tc>
        <w:tc>
          <w:tcPr>
            <w:tcW w:w="2100" w:type="dxa"/>
            <w:vAlign w:val="bottom"/>
            <w:gridSpan w:val="3"/>
          </w:tcPr>
          <w:p>
            <w:pPr>
              <w:jc w:val="center"/>
              <w:ind w:left="970"/>
              <w:spacing w:after="0"/>
              <w:rPr>
                <w:sz w:val="20"/>
                <w:szCs w:val="20"/>
                <w:color w:val="auto"/>
              </w:rPr>
            </w:pPr>
            <w:r>
              <w:rPr>
                <w:rFonts w:ascii="Arial" w:cs="Arial" w:eastAsia="Arial" w:hAnsi="Arial"/>
                <w:sz w:val="18"/>
                <w:szCs w:val="18"/>
                <w:color w:val="auto"/>
                <w:w w:val="90"/>
              </w:rPr>
              <w:t>March 5, 2018</w:t>
            </w:r>
          </w:p>
        </w:tc>
      </w:tr>
      <w:tr>
        <w:trPr>
          <w:trHeight w:val="224"/>
        </w:trPr>
        <w:tc>
          <w:tcPr>
            <w:tcW w:w="4120" w:type="dxa"/>
            <w:vAlign w:val="bottom"/>
            <w:gridSpan w:val="3"/>
          </w:tcPr>
          <w:p>
            <w:pPr>
              <w:jc w:val="center"/>
              <w:spacing w:after="0"/>
              <w:rPr>
                <w:sz w:val="20"/>
                <w:szCs w:val="20"/>
                <w:color w:val="auto"/>
              </w:rPr>
            </w:pPr>
            <w:r>
              <w:rPr>
                <w:rFonts w:ascii="Arial" w:cs="Arial" w:eastAsia="Arial" w:hAnsi="Arial"/>
                <w:sz w:val="18"/>
                <w:szCs w:val="18"/>
                <w:color w:val="auto"/>
                <w:w w:val="97"/>
              </w:rPr>
              <w:t>Mark Hair</w:t>
            </w:r>
          </w:p>
        </w:tc>
        <w:tc>
          <w:tcPr>
            <w:tcW w:w="140" w:type="dxa"/>
            <w:vAlign w:val="bottom"/>
          </w:tcPr>
          <w:p>
            <w:pPr>
              <w:spacing w:after="0"/>
              <w:rPr>
                <w:sz w:val="19"/>
                <w:szCs w:val="19"/>
                <w:color w:val="auto"/>
              </w:rPr>
            </w:pPr>
          </w:p>
        </w:tc>
        <w:tc>
          <w:tcPr>
            <w:tcW w:w="4560" w:type="dxa"/>
            <w:vAlign w:val="bottom"/>
            <w:gridSpan w:val="2"/>
          </w:tcPr>
          <w:p>
            <w:pPr>
              <w:spacing w:after="0"/>
              <w:rPr>
                <w:sz w:val="20"/>
                <w:szCs w:val="20"/>
                <w:color w:val="auto"/>
              </w:rPr>
            </w:pPr>
            <w:r>
              <w:rPr>
                <w:rFonts w:ascii="Arial" w:cs="Arial" w:eastAsia="Arial" w:hAnsi="Arial"/>
                <w:sz w:val="18"/>
                <w:szCs w:val="18"/>
                <w:color w:val="auto"/>
              </w:rPr>
              <w:t>(Principal Financial and Accounting Officer)</w:t>
            </w:r>
          </w:p>
        </w:tc>
        <w:tc>
          <w:tcPr>
            <w:tcW w:w="14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340" w:type="dxa"/>
            <w:vAlign w:val="bottom"/>
          </w:tcPr>
          <w:p>
            <w:pPr>
              <w:spacing w:after="0"/>
              <w:rPr>
                <w:sz w:val="19"/>
                <w:szCs w:val="19"/>
                <w:color w:val="auto"/>
              </w:rPr>
            </w:pPr>
          </w:p>
        </w:tc>
      </w:tr>
      <w:tr>
        <w:trPr>
          <w:trHeight w:val="418"/>
        </w:trPr>
        <w:tc>
          <w:tcPr>
            <w:tcW w:w="4120" w:type="dxa"/>
            <w:vAlign w:val="bottom"/>
            <w:tcBorders>
              <w:bottom w:val="single" w:sz="8" w:color="auto"/>
            </w:tcBorders>
            <w:gridSpan w:val="3"/>
          </w:tcPr>
          <w:p>
            <w:pPr>
              <w:jc w:val="center"/>
              <w:spacing w:after="0"/>
              <w:rPr>
                <w:sz w:val="20"/>
                <w:szCs w:val="20"/>
                <w:color w:val="auto"/>
              </w:rPr>
            </w:pPr>
            <w:r>
              <w:rPr>
                <w:rFonts w:ascii="Arial" w:cs="Arial" w:eastAsia="Arial" w:hAnsi="Arial"/>
                <w:sz w:val="18"/>
                <w:szCs w:val="18"/>
                <w:color w:val="auto"/>
                <w:w w:val="95"/>
              </w:rPr>
              <w:t>/s/ Frederic Moll, M.D</w:t>
            </w:r>
          </w:p>
        </w:tc>
        <w:tc>
          <w:tcPr>
            <w:tcW w:w="140" w:type="dxa"/>
            <w:vAlign w:val="bottom"/>
          </w:tcPr>
          <w:p>
            <w:pPr>
              <w:spacing w:after="0"/>
              <w:rPr>
                <w:sz w:val="24"/>
                <w:szCs w:val="24"/>
                <w:color w:val="auto"/>
              </w:rPr>
            </w:pPr>
          </w:p>
        </w:tc>
        <w:tc>
          <w:tcPr>
            <w:tcW w:w="4560" w:type="dxa"/>
            <w:vAlign w:val="bottom"/>
            <w:gridSpan w:val="2"/>
          </w:tcPr>
          <w:p>
            <w:pPr>
              <w:spacing w:after="0"/>
              <w:rPr>
                <w:sz w:val="20"/>
                <w:szCs w:val="20"/>
                <w:color w:val="auto"/>
              </w:rPr>
            </w:pPr>
            <w:r>
              <w:rPr>
                <w:rFonts w:ascii="Arial" w:cs="Arial" w:eastAsia="Arial" w:hAnsi="Arial"/>
                <w:sz w:val="18"/>
                <w:szCs w:val="18"/>
                <w:color w:val="auto"/>
              </w:rPr>
              <w:t>Chairman and Director</w:t>
            </w:r>
          </w:p>
        </w:tc>
        <w:tc>
          <w:tcPr>
            <w:tcW w:w="2100" w:type="dxa"/>
            <w:vAlign w:val="bottom"/>
            <w:gridSpan w:val="3"/>
          </w:tcPr>
          <w:p>
            <w:pPr>
              <w:jc w:val="center"/>
              <w:ind w:left="970"/>
              <w:spacing w:after="0"/>
              <w:rPr>
                <w:sz w:val="20"/>
                <w:szCs w:val="20"/>
                <w:color w:val="auto"/>
              </w:rPr>
            </w:pPr>
            <w:r>
              <w:rPr>
                <w:rFonts w:ascii="Arial" w:cs="Arial" w:eastAsia="Arial" w:hAnsi="Arial"/>
                <w:sz w:val="18"/>
                <w:szCs w:val="18"/>
                <w:color w:val="auto"/>
                <w:w w:val="90"/>
              </w:rPr>
              <w:t>March 5, 2018</w:t>
            </w:r>
          </w:p>
        </w:tc>
      </w:tr>
      <w:tr>
        <w:trPr>
          <w:trHeight w:val="224"/>
        </w:trPr>
        <w:tc>
          <w:tcPr>
            <w:tcW w:w="4120" w:type="dxa"/>
            <w:vAlign w:val="bottom"/>
            <w:gridSpan w:val="3"/>
          </w:tcPr>
          <w:p>
            <w:pPr>
              <w:jc w:val="center"/>
              <w:spacing w:after="0"/>
              <w:rPr>
                <w:sz w:val="20"/>
                <w:szCs w:val="20"/>
                <w:color w:val="auto"/>
              </w:rPr>
            </w:pPr>
            <w:r>
              <w:rPr>
                <w:rFonts w:ascii="Arial" w:cs="Arial" w:eastAsia="Arial" w:hAnsi="Arial"/>
                <w:sz w:val="18"/>
                <w:szCs w:val="18"/>
                <w:color w:val="auto"/>
                <w:w w:val="97"/>
              </w:rPr>
              <w:t>Frederic Moll, M.D.</w:t>
            </w:r>
          </w:p>
        </w:tc>
        <w:tc>
          <w:tcPr>
            <w:tcW w:w="1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422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340" w:type="dxa"/>
            <w:vAlign w:val="bottom"/>
          </w:tcPr>
          <w:p>
            <w:pPr>
              <w:spacing w:after="0"/>
              <w:rPr>
                <w:sz w:val="19"/>
                <w:szCs w:val="19"/>
                <w:color w:val="auto"/>
              </w:rPr>
            </w:pPr>
          </w:p>
        </w:tc>
      </w:tr>
      <w:tr>
        <w:trPr>
          <w:trHeight w:val="418"/>
        </w:trPr>
        <w:tc>
          <w:tcPr>
            <w:tcW w:w="4120" w:type="dxa"/>
            <w:vAlign w:val="bottom"/>
            <w:tcBorders>
              <w:bottom w:val="single" w:sz="8" w:color="auto"/>
            </w:tcBorders>
            <w:gridSpan w:val="3"/>
          </w:tcPr>
          <w:p>
            <w:pPr>
              <w:jc w:val="center"/>
              <w:spacing w:after="0"/>
              <w:rPr>
                <w:sz w:val="20"/>
                <w:szCs w:val="20"/>
                <w:color w:val="auto"/>
              </w:rPr>
            </w:pPr>
            <w:r>
              <w:rPr>
                <w:rFonts w:ascii="Arial" w:cs="Arial" w:eastAsia="Arial" w:hAnsi="Arial"/>
                <w:sz w:val="18"/>
                <w:szCs w:val="18"/>
                <w:color w:val="auto"/>
                <w:w w:val="93"/>
              </w:rPr>
              <w:t>/s/ Jeffrey Bird, M.D., Ph.D.</w:t>
            </w:r>
          </w:p>
        </w:tc>
        <w:tc>
          <w:tcPr>
            <w:tcW w:w="140" w:type="dxa"/>
            <w:vAlign w:val="bottom"/>
          </w:tcPr>
          <w:p>
            <w:pPr>
              <w:spacing w:after="0"/>
              <w:rPr>
                <w:sz w:val="24"/>
                <w:szCs w:val="24"/>
                <w:color w:val="auto"/>
              </w:rPr>
            </w:pPr>
          </w:p>
        </w:tc>
        <w:tc>
          <w:tcPr>
            <w:tcW w:w="4560" w:type="dxa"/>
            <w:vAlign w:val="bottom"/>
            <w:gridSpan w:val="2"/>
          </w:tcPr>
          <w:p>
            <w:pPr>
              <w:spacing w:after="0"/>
              <w:rPr>
                <w:sz w:val="20"/>
                <w:szCs w:val="20"/>
                <w:color w:val="auto"/>
              </w:rPr>
            </w:pPr>
            <w:r>
              <w:rPr>
                <w:rFonts w:ascii="Arial" w:cs="Arial" w:eastAsia="Arial" w:hAnsi="Arial"/>
                <w:sz w:val="18"/>
                <w:szCs w:val="18"/>
                <w:color w:val="auto"/>
              </w:rPr>
              <w:t>Director</w:t>
            </w:r>
          </w:p>
        </w:tc>
        <w:tc>
          <w:tcPr>
            <w:tcW w:w="2100" w:type="dxa"/>
            <w:vAlign w:val="bottom"/>
            <w:gridSpan w:val="3"/>
          </w:tcPr>
          <w:p>
            <w:pPr>
              <w:jc w:val="center"/>
              <w:ind w:left="970"/>
              <w:spacing w:after="0"/>
              <w:rPr>
                <w:sz w:val="20"/>
                <w:szCs w:val="20"/>
                <w:color w:val="auto"/>
              </w:rPr>
            </w:pPr>
            <w:r>
              <w:rPr>
                <w:rFonts w:ascii="Arial" w:cs="Arial" w:eastAsia="Arial" w:hAnsi="Arial"/>
                <w:sz w:val="18"/>
                <w:szCs w:val="18"/>
                <w:color w:val="auto"/>
                <w:w w:val="90"/>
              </w:rPr>
              <w:t>March 5, 2018</w:t>
            </w:r>
          </w:p>
        </w:tc>
      </w:tr>
      <w:tr>
        <w:trPr>
          <w:trHeight w:val="224"/>
        </w:trPr>
        <w:tc>
          <w:tcPr>
            <w:tcW w:w="4120" w:type="dxa"/>
            <w:vAlign w:val="bottom"/>
            <w:gridSpan w:val="3"/>
          </w:tcPr>
          <w:p>
            <w:pPr>
              <w:jc w:val="center"/>
              <w:spacing w:after="0"/>
              <w:rPr>
                <w:sz w:val="20"/>
                <w:szCs w:val="20"/>
                <w:color w:val="auto"/>
              </w:rPr>
            </w:pPr>
            <w:r>
              <w:rPr>
                <w:rFonts w:ascii="Arial" w:cs="Arial" w:eastAsia="Arial" w:hAnsi="Arial"/>
                <w:sz w:val="18"/>
                <w:szCs w:val="18"/>
                <w:color w:val="auto"/>
                <w:w w:val="94"/>
              </w:rPr>
              <w:t>Jeffrey Bird, M.D., Ph.D.</w:t>
            </w:r>
          </w:p>
        </w:tc>
        <w:tc>
          <w:tcPr>
            <w:tcW w:w="1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422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340" w:type="dxa"/>
            <w:vAlign w:val="bottom"/>
          </w:tcPr>
          <w:p>
            <w:pPr>
              <w:spacing w:after="0"/>
              <w:rPr>
                <w:sz w:val="19"/>
                <w:szCs w:val="19"/>
                <w:color w:val="auto"/>
              </w:rPr>
            </w:pPr>
          </w:p>
        </w:tc>
      </w:tr>
      <w:tr>
        <w:trPr>
          <w:trHeight w:val="418"/>
        </w:trPr>
        <w:tc>
          <w:tcPr>
            <w:tcW w:w="4120" w:type="dxa"/>
            <w:vAlign w:val="bottom"/>
            <w:tcBorders>
              <w:bottom w:val="single" w:sz="8" w:color="auto"/>
            </w:tcBorders>
            <w:gridSpan w:val="3"/>
          </w:tcPr>
          <w:p>
            <w:pPr>
              <w:jc w:val="center"/>
              <w:spacing w:after="0"/>
              <w:rPr>
                <w:sz w:val="20"/>
                <w:szCs w:val="20"/>
                <w:color w:val="auto"/>
              </w:rPr>
            </w:pPr>
            <w:r>
              <w:rPr>
                <w:rFonts w:ascii="Arial" w:cs="Arial" w:eastAsia="Arial" w:hAnsi="Arial"/>
                <w:sz w:val="18"/>
                <w:szCs w:val="18"/>
                <w:color w:val="auto"/>
                <w:w w:val="97"/>
              </w:rPr>
              <w:t>/s/ Gil Kliman, M.D.</w:t>
            </w:r>
          </w:p>
        </w:tc>
        <w:tc>
          <w:tcPr>
            <w:tcW w:w="140" w:type="dxa"/>
            <w:vAlign w:val="bottom"/>
          </w:tcPr>
          <w:p>
            <w:pPr>
              <w:spacing w:after="0"/>
              <w:rPr>
                <w:sz w:val="24"/>
                <w:szCs w:val="24"/>
                <w:color w:val="auto"/>
              </w:rPr>
            </w:pPr>
          </w:p>
        </w:tc>
        <w:tc>
          <w:tcPr>
            <w:tcW w:w="4560" w:type="dxa"/>
            <w:vAlign w:val="bottom"/>
            <w:gridSpan w:val="2"/>
          </w:tcPr>
          <w:p>
            <w:pPr>
              <w:spacing w:after="0"/>
              <w:rPr>
                <w:sz w:val="20"/>
                <w:szCs w:val="20"/>
                <w:color w:val="auto"/>
              </w:rPr>
            </w:pPr>
            <w:r>
              <w:rPr>
                <w:rFonts w:ascii="Arial" w:cs="Arial" w:eastAsia="Arial" w:hAnsi="Arial"/>
                <w:sz w:val="18"/>
                <w:szCs w:val="18"/>
                <w:color w:val="auto"/>
              </w:rPr>
              <w:t>Director</w:t>
            </w:r>
          </w:p>
        </w:tc>
        <w:tc>
          <w:tcPr>
            <w:tcW w:w="2100" w:type="dxa"/>
            <w:vAlign w:val="bottom"/>
            <w:gridSpan w:val="3"/>
          </w:tcPr>
          <w:p>
            <w:pPr>
              <w:jc w:val="center"/>
              <w:ind w:left="970"/>
              <w:spacing w:after="0"/>
              <w:rPr>
                <w:sz w:val="20"/>
                <w:szCs w:val="20"/>
                <w:color w:val="auto"/>
              </w:rPr>
            </w:pPr>
            <w:r>
              <w:rPr>
                <w:rFonts w:ascii="Arial" w:cs="Arial" w:eastAsia="Arial" w:hAnsi="Arial"/>
                <w:sz w:val="18"/>
                <w:szCs w:val="18"/>
                <w:color w:val="auto"/>
                <w:w w:val="90"/>
              </w:rPr>
              <w:t>March 5, 2018</w:t>
            </w:r>
          </w:p>
        </w:tc>
      </w:tr>
      <w:tr>
        <w:trPr>
          <w:trHeight w:val="224"/>
        </w:trPr>
        <w:tc>
          <w:tcPr>
            <w:tcW w:w="4120" w:type="dxa"/>
            <w:vAlign w:val="bottom"/>
            <w:gridSpan w:val="3"/>
          </w:tcPr>
          <w:p>
            <w:pPr>
              <w:jc w:val="center"/>
              <w:spacing w:after="0"/>
              <w:rPr>
                <w:sz w:val="20"/>
                <w:szCs w:val="20"/>
                <w:color w:val="auto"/>
              </w:rPr>
            </w:pPr>
            <w:r>
              <w:rPr>
                <w:rFonts w:ascii="Arial" w:cs="Arial" w:eastAsia="Arial" w:hAnsi="Arial"/>
                <w:sz w:val="18"/>
                <w:szCs w:val="18"/>
                <w:color w:val="auto"/>
                <w:w w:val="98"/>
              </w:rPr>
              <w:t>Gil Kliman, M.D.</w:t>
            </w:r>
          </w:p>
        </w:tc>
        <w:tc>
          <w:tcPr>
            <w:tcW w:w="1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422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340" w:type="dxa"/>
            <w:vAlign w:val="bottom"/>
          </w:tcPr>
          <w:p>
            <w:pPr>
              <w:spacing w:after="0"/>
              <w:rPr>
                <w:sz w:val="19"/>
                <w:szCs w:val="19"/>
                <w:color w:val="auto"/>
              </w:rPr>
            </w:pPr>
          </w:p>
        </w:tc>
      </w:tr>
      <w:tr>
        <w:trPr>
          <w:trHeight w:val="418"/>
        </w:trPr>
        <w:tc>
          <w:tcPr>
            <w:tcW w:w="4120" w:type="dxa"/>
            <w:vAlign w:val="bottom"/>
            <w:tcBorders>
              <w:bottom w:val="single" w:sz="8" w:color="auto"/>
            </w:tcBorders>
            <w:gridSpan w:val="3"/>
          </w:tcPr>
          <w:p>
            <w:pPr>
              <w:jc w:val="center"/>
              <w:spacing w:after="0"/>
              <w:rPr>
                <w:sz w:val="20"/>
                <w:szCs w:val="20"/>
                <w:color w:val="auto"/>
              </w:rPr>
            </w:pPr>
            <w:r>
              <w:rPr>
                <w:rFonts w:ascii="Arial" w:cs="Arial" w:eastAsia="Arial" w:hAnsi="Arial"/>
                <w:sz w:val="18"/>
                <w:szCs w:val="18"/>
                <w:color w:val="auto"/>
                <w:w w:val="91"/>
              </w:rPr>
              <w:t>/s/ Emmett Cunningham, Jr., M.D., Ph.D.</w:t>
            </w:r>
          </w:p>
        </w:tc>
        <w:tc>
          <w:tcPr>
            <w:tcW w:w="140" w:type="dxa"/>
            <w:vAlign w:val="bottom"/>
          </w:tcPr>
          <w:p>
            <w:pPr>
              <w:spacing w:after="0"/>
              <w:rPr>
                <w:sz w:val="24"/>
                <w:szCs w:val="24"/>
                <w:color w:val="auto"/>
              </w:rPr>
            </w:pPr>
          </w:p>
        </w:tc>
        <w:tc>
          <w:tcPr>
            <w:tcW w:w="4560" w:type="dxa"/>
            <w:vAlign w:val="bottom"/>
            <w:gridSpan w:val="2"/>
          </w:tcPr>
          <w:p>
            <w:pPr>
              <w:spacing w:after="0"/>
              <w:rPr>
                <w:sz w:val="20"/>
                <w:szCs w:val="20"/>
                <w:color w:val="auto"/>
              </w:rPr>
            </w:pPr>
            <w:r>
              <w:rPr>
                <w:rFonts w:ascii="Arial" w:cs="Arial" w:eastAsia="Arial" w:hAnsi="Arial"/>
                <w:sz w:val="18"/>
                <w:szCs w:val="18"/>
                <w:color w:val="auto"/>
              </w:rPr>
              <w:t>Director</w:t>
            </w:r>
          </w:p>
        </w:tc>
        <w:tc>
          <w:tcPr>
            <w:tcW w:w="2100" w:type="dxa"/>
            <w:vAlign w:val="bottom"/>
            <w:gridSpan w:val="3"/>
          </w:tcPr>
          <w:p>
            <w:pPr>
              <w:jc w:val="center"/>
              <w:ind w:left="970"/>
              <w:spacing w:after="0"/>
              <w:rPr>
                <w:sz w:val="20"/>
                <w:szCs w:val="20"/>
                <w:color w:val="auto"/>
              </w:rPr>
            </w:pPr>
            <w:r>
              <w:rPr>
                <w:rFonts w:ascii="Arial" w:cs="Arial" w:eastAsia="Arial" w:hAnsi="Arial"/>
                <w:sz w:val="18"/>
                <w:szCs w:val="18"/>
                <w:color w:val="auto"/>
                <w:w w:val="90"/>
              </w:rPr>
              <w:t>March 5, 2018</w:t>
            </w:r>
          </w:p>
        </w:tc>
      </w:tr>
      <w:tr>
        <w:trPr>
          <w:trHeight w:val="224"/>
        </w:trPr>
        <w:tc>
          <w:tcPr>
            <w:tcW w:w="4120" w:type="dxa"/>
            <w:vAlign w:val="bottom"/>
            <w:gridSpan w:val="3"/>
          </w:tcPr>
          <w:p>
            <w:pPr>
              <w:jc w:val="center"/>
              <w:spacing w:after="0"/>
              <w:rPr>
                <w:sz w:val="20"/>
                <w:szCs w:val="20"/>
                <w:color w:val="auto"/>
              </w:rPr>
            </w:pPr>
            <w:r>
              <w:rPr>
                <w:rFonts w:ascii="Arial" w:cs="Arial" w:eastAsia="Arial" w:hAnsi="Arial"/>
                <w:sz w:val="18"/>
                <w:szCs w:val="18"/>
                <w:color w:val="auto"/>
                <w:w w:val="91"/>
              </w:rPr>
              <w:t>Emmett Cunningham, Jr., M.D., Ph.D.</w:t>
            </w:r>
          </w:p>
        </w:tc>
        <w:tc>
          <w:tcPr>
            <w:tcW w:w="1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422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340" w:type="dxa"/>
            <w:vAlign w:val="bottom"/>
          </w:tcPr>
          <w:p>
            <w:pPr>
              <w:spacing w:after="0"/>
              <w:rPr>
                <w:sz w:val="19"/>
                <w:szCs w:val="19"/>
                <w:color w:val="auto"/>
              </w:rPr>
            </w:pPr>
          </w:p>
        </w:tc>
      </w:tr>
      <w:tr>
        <w:trPr>
          <w:trHeight w:val="418"/>
        </w:trPr>
        <w:tc>
          <w:tcPr>
            <w:tcW w:w="4120" w:type="dxa"/>
            <w:vAlign w:val="bottom"/>
            <w:tcBorders>
              <w:bottom w:val="single" w:sz="8" w:color="auto"/>
            </w:tcBorders>
            <w:gridSpan w:val="3"/>
          </w:tcPr>
          <w:p>
            <w:pPr>
              <w:jc w:val="center"/>
              <w:spacing w:after="0"/>
              <w:rPr>
                <w:sz w:val="20"/>
                <w:szCs w:val="20"/>
                <w:color w:val="auto"/>
              </w:rPr>
            </w:pPr>
            <w:r>
              <w:rPr>
                <w:rFonts w:ascii="Arial" w:cs="Arial" w:eastAsia="Arial" w:hAnsi="Arial"/>
                <w:sz w:val="18"/>
                <w:szCs w:val="18"/>
                <w:color w:val="auto"/>
                <w:w w:val="91"/>
              </w:rPr>
              <w:t>/s/ Craig Taylor</w:t>
            </w:r>
          </w:p>
        </w:tc>
        <w:tc>
          <w:tcPr>
            <w:tcW w:w="140" w:type="dxa"/>
            <w:vAlign w:val="bottom"/>
          </w:tcPr>
          <w:p>
            <w:pPr>
              <w:spacing w:after="0"/>
              <w:rPr>
                <w:sz w:val="24"/>
                <w:szCs w:val="24"/>
                <w:color w:val="auto"/>
              </w:rPr>
            </w:pPr>
          </w:p>
        </w:tc>
        <w:tc>
          <w:tcPr>
            <w:tcW w:w="4560" w:type="dxa"/>
            <w:vAlign w:val="bottom"/>
            <w:gridSpan w:val="2"/>
          </w:tcPr>
          <w:p>
            <w:pPr>
              <w:spacing w:after="0"/>
              <w:rPr>
                <w:sz w:val="20"/>
                <w:szCs w:val="20"/>
                <w:color w:val="auto"/>
              </w:rPr>
            </w:pPr>
            <w:r>
              <w:rPr>
                <w:rFonts w:ascii="Arial" w:cs="Arial" w:eastAsia="Arial" w:hAnsi="Arial"/>
                <w:sz w:val="18"/>
                <w:szCs w:val="18"/>
                <w:color w:val="auto"/>
              </w:rPr>
              <w:t>Director</w:t>
            </w:r>
          </w:p>
        </w:tc>
        <w:tc>
          <w:tcPr>
            <w:tcW w:w="2100" w:type="dxa"/>
            <w:vAlign w:val="bottom"/>
            <w:gridSpan w:val="3"/>
          </w:tcPr>
          <w:p>
            <w:pPr>
              <w:jc w:val="center"/>
              <w:ind w:left="970"/>
              <w:spacing w:after="0"/>
              <w:rPr>
                <w:sz w:val="20"/>
                <w:szCs w:val="20"/>
                <w:color w:val="auto"/>
              </w:rPr>
            </w:pPr>
            <w:r>
              <w:rPr>
                <w:rFonts w:ascii="Arial" w:cs="Arial" w:eastAsia="Arial" w:hAnsi="Arial"/>
                <w:sz w:val="18"/>
                <w:szCs w:val="18"/>
                <w:color w:val="auto"/>
                <w:w w:val="90"/>
              </w:rPr>
              <w:t>March 5, 2018</w:t>
            </w:r>
          </w:p>
        </w:tc>
      </w:tr>
      <w:tr>
        <w:trPr>
          <w:trHeight w:val="224"/>
        </w:trPr>
        <w:tc>
          <w:tcPr>
            <w:tcW w:w="4120" w:type="dxa"/>
            <w:vAlign w:val="bottom"/>
            <w:gridSpan w:val="3"/>
          </w:tcPr>
          <w:p>
            <w:pPr>
              <w:jc w:val="center"/>
              <w:spacing w:after="0"/>
              <w:rPr>
                <w:sz w:val="20"/>
                <w:szCs w:val="20"/>
                <w:color w:val="auto"/>
              </w:rPr>
            </w:pPr>
            <w:r>
              <w:rPr>
                <w:rFonts w:ascii="Arial" w:cs="Arial" w:eastAsia="Arial" w:hAnsi="Arial"/>
                <w:sz w:val="18"/>
                <w:szCs w:val="18"/>
                <w:color w:val="auto"/>
                <w:w w:val="93"/>
              </w:rPr>
              <w:t>Craig Taylor</w:t>
            </w:r>
          </w:p>
        </w:tc>
        <w:tc>
          <w:tcPr>
            <w:tcW w:w="1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422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340" w:type="dxa"/>
            <w:vAlign w:val="bottom"/>
          </w:tcPr>
          <w:p>
            <w:pPr>
              <w:spacing w:after="0"/>
              <w:rPr>
                <w:sz w:val="19"/>
                <w:szCs w:val="19"/>
                <w:color w:val="auto"/>
              </w:rPr>
            </w:pPr>
          </w:p>
        </w:tc>
      </w:tr>
      <w:tr>
        <w:trPr>
          <w:trHeight w:val="418"/>
        </w:trPr>
        <w:tc>
          <w:tcPr>
            <w:tcW w:w="4120" w:type="dxa"/>
            <w:vAlign w:val="bottom"/>
            <w:tcBorders>
              <w:bottom w:val="single" w:sz="8" w:color="auto"/>
            </w:tcBorders>
            <w:gridSpan w:val="3"/>
          </w:tcPr>
          <w:p>
            <w:pPr>
              <w:jc w:val="center"/>
              <w:spacing w:after="0"/>
              <w:rPr>
                <w:sz w:val="20"/>
                <w:szCs w:val="20"/>
                <w:color w:val="auto"/>
              </w:rPr>
            </w:pPr>
            <w:r>
              <w:rPr>
                <w:rFonts w:ascii="Arial" w:cs="Arial" w:eastAsia="Arial" w:hAnsi="Arial"/>
                <w:sz w:val="18"/>
                <w:szCs w:val="18"/>
                <w:color w:val="auto"/>
                <w:w w:val="91"/>
              </w:rPr>
              <w:t>/s/ Shelley Thunen</w:t>
            </w:r>
          </w:p>
        </w:tc>
        <w:tc>
          <w:tcPr>
            <w:tcW w:w="140" w:type="dxa"/>
            <w:vAlign w:val="bottom"/>
          </w:tcPr>
          <w:p>
            <w:pPr>
              <w:spacing w:after="0"/>
              <w:rPr>
                <w:sz w:val="24"/>
                <w:szCs w:val="24"/>
                <w:color w:val="auto"/>
              </w:rPr>
            </w:pPr>
          </w:p>
        </w:tc>
        <w:tc>
          <w:tcPr>
            <w:tcW w:w="4560" w:type="dxa"/>
            <w:vAlign w:val="bottom"/>
            <w:gridSpan w:val="2"/>
          </w:tcPr>
          <w:p>
            <w:pPr>
              <w:spacing w:after="0"/>
              <w:rPr>
                <w:sz w:val="20"/>
                <w:szCs w:val="20"/>
                <w:color w:val="auto"/>
              </w:rPr>
            </w:pPr>
            <w:r>
              <w:rPr>
                <w:rFonts w:ascii="Arial" w:cs="Arial" w:eastAsia="Arial" w:hAnsi="Arial"/>
                <w:sz w:val="18"/>
                <w:szCs w:val="18"/>
                <w:color w:val="auto"/>
              </w:rPr>
              <w:t>Director</w:t>
            </w:r>
          </w:p>
        </w:tc>
        <w:tc>
          <w:tcPr>
            <w:tcW w:w="2100" w:type="dxa"/>
            <w:vAlign w:val="bottom"/>
            <w:gridSpan w:val="3"/>
          </w:tcPr>
          <w:p>
            <w:pPr>
              <w:jc w:val="center"/>
              <w:ind w:left="970"/>
              <w:spacing w:after="0"/>
              <w:rPr>
                <w:sz w:val="20"/>
                <w:szCs w:val="20"/>
                <w:color w:val="auto"/>
              </w:rPr>
            </w:pPr>
            <w:r>
              <w:rPr>
                <w:rFonts w:ascii="Arial" w:cs="Arial" w:eastAsia="Arial" w:hAnsi="Arial"/>
                <w:sz w:val="18"/>
                <w:szCs w:val="18"/>
                <w:color w:val="auto"/>
                <w:w w:val="90"/>
              </w:rPr>
              <w:t>March 5, 2018</w:t>
            </w:r>
          </w:p>
        </w:tc>
      </w:tr>
      <w:tr>
        <w:trPr>
          <w:trHeight w:val="224"/>
        </w:trPr>
        <w:tc>
          <w:tcPr>
            <w:tcW w:w="4120" w:type="dxa"/>
            <w:vAlign w:val="bottom"/>
            <w:gridSpan w:val="3"/>
          </w:tcPr>
          <w:p>
            <w:pPr>
              <w:jc w:val="center"/>
              <w:spacing w:after="0"/>
              <w:rPr>
                <w:sz w:val="20"/>
                <w:szCs w:val="20"/>
                <w:color w:val="auto"/>
              </w:rPr>
            </w:pPr>
            <w:r>
              <w:rPr>
                <w:rFonts w:ascii="Arial" w:cs="Arial" w:eastAsia="Arial" w:hAnsi="Arial"/>
                <w:sz w:val="18"/>
                <w:szCs w:val="18"/>
                <w:color w:val="auto"/>
                <w:w w:val="89"/>
              </w:rPr>
              <w:t>Shelley Thunen</w:t>
            </w:r>
          </w:p>
        </w:tc>
        <w:tc>
          <w:tcPr>
            <w:tcW w:w="1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422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340" w:type="dxa"/>
            <w:vAlign w:val="bottom"/>
          </w:tcPr>
          <w:p>
            <w:pPr>
              <w:spacing w:after="0"/>
              <w:rPr>
                <w:sz w:val="19"/>
                <w:szCs w:val="19"/>
                <w:color w:val="auto"/>
              </w:rPr>
            </w:pPr>
          </w:p>
        </w:tc>
      </w:tr>
      <w:tr>
        <w:trPr>
          <w:trHeight w:val="620"/>
        </w:trPr>
        <w:tc>
          <w:tcPr>
            <w:tcW w:w="17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4700" w:type="dxa"/>
            <w:vAlign w:val="bottom"/>
            <w:gridSpan w:val="3"/>
          </w:tcPr>
          <w:p>
            <w:pPr>
              <w:jc w:val="right"/>
              <w:ind w:right="2980"/>
              <w:spacing w:after="0"/>
              <w:rPr>
                <w:sz w:val="20"/>
                <w:szCs w:val="20"/>
                <w:color w:val="auto"/>
              </w:rPr>
            </w:pPr>
            <w:r>
              <w:rPr>
                <w:rFonts w:ascii="Arial" w:cs="Arial" w:eastAsia="Arial" w:hAnsi="Arial"/>
                <w:sz w:val="18"/>
                <w:szCs w:val="18"/>
                <w:color w:val="auto"/>
              </w:rPr>
              <w:t>107</w:t>
            </w:r>
          </w:p>
        </w:tc>
        <w:tc>
          <w:tcPr>
            <w:tcW w:w="14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40" w:type="dxa"/>
            <w:vAlign w:val="bottom"/>
          </w:tcPr>
          <w:p>
            <w:pPr>
              <w:spacing w:after="0"/>
              <w:rPr>
                <w:sz w:val="24"/>
                <w:szCs w:val="24"/>
                <w:color w:val="auto"/>
              </w:rPr>
            </w:pPr>
          </w:p>
        </w:tc>
      </w:tr>
    </w:tbl>
    <w:p>
      <w:pPr>
        <w:sectPr>
          <w:pgSz w:w="11900" w:h="16838" w:orient="portrait"/>
          <w:cols w:equalWidth="0" w:num="1">
            <w:col w:w="11300"/>
          </w:cols>
          <w:pgMar w:left="240" w:top="395" w:right="359" w:bottom="1440" w:gutter="0" w:footer="0" w:header="0"/>
        </w:sectPr>
      </w:pPr>
    </w:p>
    <w:bookmarkStart w:id="108" w:name="page109"/>
    <w:bookmarkEnd w:id="108"/>
    <w:p>
      <w:pPr>
        <w:jc w:val="right"/>
        <w:spacing w:after="0"/>
        <w:rPr>
          <w:sz w:val="20"/>
          <w:szCs w:val="20"/>
          <w:color w:val="auto"/>
        </w:rPr>
      </w:pPr>
      <w:r>
        <w:rPr>
          <w:rFonts w:ascii="Arial" w:cs="Arial" w:eastAsia="Arial" w:hAnsi="Arial"/>
          <w:sz w:val="18"/>
          <w:szCs w:val="18"/>
          <w:b w:val="1"/>
          <w:bCs w:val="1"/>
          <w:color w:val="auto"/>
        </w:rPr>
        <w:t>Exhibit 21.1</w:t>
      </w: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60" w:type="dxa"/>
            <w:vAlign w:val="bottom"/>
          </w:tcPr>
          <w:p>
            <w:pPr>
              <w:spacing w:after="0"/>
              <w:rPr>
                <w:sz w:val="18"/>
                <w:szCs w:val="18"/>
                <w:color w:val="auto"/>
              </w:rPr>
            </w:pPr>
          </w:p>
        </w:tc>
        <w:tc>
          <w:tcPr>
            <w:tcW w:w="3500" w:type="dxa"/>
            <w:vAlign w:val="bottom"/>
          </w:tcPr>
          <w:p>
            <w:pPr>
              <w:spacing w:after="0"/>
              <w:rPr>
                <w:sz w:val="18"/>
                <w:szCs w:val="18"/>
                <w:color w:val="auto"/>
              </w:rPr>
            </w:pPr>
          </w:p>
        </w:tc>
        <w:tc>
          <w:tcPr>
            <w:tcW w:w="5040" w:type="dxa"/>
            <w:vAlign w:val="bottom"/>
            <w:gridSpan w:val="3"/>
          </w:tcPr>
          <w:p>
            <w:pPr>
              <w:jc w:val="center"/>
              <w:ind w:right="1320"/>
              <w:spacing w:after="0"/>
              <w:rPr>
                <w:sz w:val="20"/>
                <w:szCs w:val="20"/>
                <w:color w:val="auto"/>
              </w:rPr>
            </w:pPr>
            <w:r>
              <w:rPr>
                <w:rFonts w:ascii="Arial" w:cs="Arial" w:eastAsia="Arial" w:hAnsi="Arial"/>
                <w:sz w:val="18"/>
                <w:szCs w:val="18"/>
                <w:b w:val="1"/>
                <w:bCs w:val="1"/>
                <w:color w:val="auto"/>
                <w:w w:val="89"/>
              </w:rPr>
              <w:t>List of Subsidiaries of</w:t>
            </w:r>
          </w:p>
        </w:tc>
        <w:tc>
          <w:tcPr>
            <w:tcW w:w="0" w:type="dxa"/>
            <w:vAlign w:val="bottom"/>
          </w:tcPr>
          <w:p>
            <w:pPr>
              <w:spacing w:after="0"/>
              <w:rPr>
                <w:sz w:val="1"/>
                <w:szCs w:val="1"/>
                <w:color w:val="auto"/>
              </w:rPr>
            </w:pPr>
          </w:p>
        </w:tc>
      </w:tr>
      <w:tr>
        <w:trPr>
          <w:trHeight w:val="234"/>
        </w:trPr>
        <w:tc>
          <w:tcPr>
            <w:tcW w:w="360" w:type="dxa"/>
            <w:vAlign w:val="bottom"/>
          </w:tcPr>
          <w:p>
            <w:pPr>
              <w:spacing w:after="0"/>
              <w:rPr>
                <w:sz w:val="20"/>
                <w:szCs w:val="20"/>
                <w:color w:val="auto"/>
              </w:rPr>
            </w:pPr>
          </w:p>
        </w:tc>
        <w:tc>
          <w:tcPr>
            <w:tcW w:w="3500" w:type="dxa"/>
            <w:vAlign w:val="bottom"/>
          </w:tcPr>
          <w:p>
            <w:pPr>
              <w:spacing w:after="0"/>
              <w:rPr>
                <w:sz w:val="20"/>
                <w:szCs w:val="20"/>
                <w:color w:val="auto"/>
              </w:rPr>
            </w:pPr>
          </w:p>
        </w:tc>
        <w:tc>
          <w:tcPr>
            <w:tcW w:w="5040" w:type="dxa"/>
            <w:vAlign w:val="bottom"/>
            <w:gridSpan w:val="3"/>
          </w:tcPr>
          <w:p>
            <w:pPr>
              <w:jc w:val="center"/>
              <w:ind w:right="1320"/>
              <w:spacing w:after="0"/>
              <w:rPr>
                <w:sz w:val="20"/>
                <w:szCs w:val="20"/>
                <w:color w:val="auto"/>
              </w:rPr>
            </w:pPr>
            <w:r>
              <w:rPr>
                <w:rFonts w:ascii="Arial" w:cs="Arial" w:eastAsia="Arial" w:hAnsi="Arial"/>
                <w:sz w:val="18"/>
                <w:szCs w:val="18"/>
                <w:b w:val="1"/>
                <w:bCs w:val="1"/>
                <w:color w:val="auto"/>
                <w:w w:val="89"/>
              </w:rPr>
              <w:t>Restoration Robotics, Inc.</w:t>
            </w:r>
          </w:p>
        </w:tc>
        <w:tc>
          <w:tcPr>
            <w:tcW w:w="0" w:type="dxa"/>
            <w:vAlign w:val="bottom"/>
          </w:tcPr>
          <w:p>
            <w:pPr>
              <w:spacing w:after="0"/>
              <w:rPr>
                <w:sz w:val="1"/>
                <w:szCs w:val="1"/>
                <w:color w:val="auto"/>
              </w:rPr>
            </w:pPr>
          </w:p>
        </w:tc>
      </w:tr>
      <w:tr>
        <w:trPr>
          <w:trHeight w:val="621"/>
        </w:trPr>
        <w:tc>
          <w:tcPr>
            <w:tcW w:w="3860" w:type="dxa"/>
            <w:vAlign w:val="bottom"/>
            <w:gridSpan w:val="2"/>
          </w:tcPr>
          <w:p>
            <w:pPr>
              <w:spacing w:after="0"/>
              <w:rPr>
                <w:sz w:val="20"/>
                <w:szCs w:val="20"/>
                <w:color w:val="auto"/>
              </w:rPr>
            </w:pPr>
            <w:r>
              <w:rPr>
                <w:rFonts w:ascii="Arial" w:cs="Arial" w:eastAsia="Arial" w:hAnsi="Arial"/>
                <w:sz w:val="14"/>
                <w:szCs w:val="14"/>
                <w:b w:val="1"/>
                <w:bCs w:val="1"/>
                <w:color w:val="auto"/>
              </w:rPr>
              <w:t>Name</w:t>
            </w:r>
          </w:p>
        </w:tc>
        <w:tc>
          <w:tcPr>
            <w:tcW w:w="2200" w:type="dxa"/>
            <w:vAlign w:val="bottom"/>
          </w:tcPr>
          <w:p>
            <w:pPr>
              <w:spacing w:after="0"/>
              <w:rPr>
                <w:sz w:val="24"/>
                <w:szCs w:val="24"/>
                <w:color w:val="auto"/>
              </w:rPr>
            </w:pPr>
          </w:p>
        </w:tc>
        <w:tc>
          <w:tcPr>
            <w:tcW w:w="2840" w:type="dxa"/>
            <w:vAlign w:val="bottom"/>
            <w:gridSpan w:val="2"/>
          </w:tcPr>
          <w:p>
            <w:pPr>
              <w:spacing w:after="0"/>
              <w:rPr>
                <w:sz w:val="20"/>
                <w:szCs w:val="20"/>
                <w:color w:val="auto"/>
              </w:rPr>
            </w:pPr>
            <w:r>
              <w:rPr>
                <w:rFonts w:ascii="Arial" w:cs="Arial" w:eastAsia="Arial" w:hAnsi="Arial"/>
                <w:sz w:val="14"/>
                <w:szCs w:val="14"/>
                <w:b w:val="1"/>
                <w:bCs w:val="1"/>
                <w:color w:val="auto"/>
                <w:w w:val="94"/>
              </w:rPr>
              <w:t>Jurisdiction of Incorporation or Organization</w:t>
            </w:r>
          </w:p>
        </w:tc>
        <w:tc>
          <w:tcPr>
            <w:tcW w:w="0" w:type="dxa"/>
            <w:vAlign w:val="bottom"/>
          </w:tcPr>
          <w:p>
            <w:pPr>
              <w:spacing w:after="0"/>
              <w:rPr>
                <w:sz w:val="1"/>
                <w:szCs w:val="1"/>
                <w:color w:val="auto"/>
              </w:rPr>
            </w:pPr>
          </w:p>
        </w:tc>
      </w:tr>
      <w:tr>
        <w:trPr>
          <w:trHeight w:val="20"/>
        </w:trPr>
        <w:tc>
          <w:tcPr>
            <w:tcW w:w="360" w:type="dxa"/>
            <w:vAlign w:val="bottom"/>
            <w:shd w:val="clear" w:color="auto" w:fill="000000"/>
          </w:tcPr>
          <w:p>
            <w:pPr>
              <w:spacing w:after="0" w:line="20" w:lineRule="exact"/>
              <w:rPr>
                <w:sz w:val="1"/>
                <w:szCs w:val="1"/>
                <w:color w:val="auto"/>
              </w:rPr>
            </w:pPr>
          </w:p>
        </w:tc>
        <w:tc>
          <w:tcPr>
            <w:tcW w:w="3500" w:type="dxa"/>
            <w:vAlign w:val="bottom"/>
          </w:tcPr>
          <w:p>
            <w:pPr>
              <w:spacing w:after="0" w:line="20" w:lineRule="exact"/>
              <w:rPr>
                <w:sz w:val="1"/>
                <w:szCs w:val="1"/>
                <w:color w:val="auto"/>
              </w:rPr>
            </w:pPr>
          </w:p>
        </w:tc>
        <w:tc>
          <w:tcPr>
            <w:tcW w:w="2200" w:type="dxa"/>
            <w:vAlign w:val="bottom"/>
            <w:vMerge w:val="restart"/>
          </w:tcPr>
          <w:p>
            <w:pPr>
              <w:spacing w:after="0" w:line="20" w:lineRule="exact"/>
              <w:rPr>
                <w:sz w:val="1"/>
                <w:szCs w:val="1"/>
                <w:color w:val="auto"/>
              </w:rPr>
            </w:pPr>
          </w:p>
        </w:tc>
        <w:tc>
          <w:tcPr>
            <w:tcW w:w="2820" w:type="dxa"/>
            <w:vAlign w:val="bottom"/>
            <w:shd w:val="clear" w:color="auto" w:fill="000000"/>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5"/>
        </w:trPr>
        <w:tc>
          <w:tcPr>
            <w:tcW w:w="3860" w:type="dxa"/>
            <w:vAlign w:val="bottom"/>
            <w:gridSpan w:val="2"/>
          </w:tcPr>
          <w:p>
            <w:pPr>
              <w:spacing w:after="0" w:line="195" w:lineRule="exact"/>
              <w:rPr>
                <w:sz w:val="20"/>
                <w:szCs w:val="20"/>
                <w:color w:val="auto"/>
              </w:rPr>
            </w:pPr>
            <w:r>
              <w:rPr>
                <w:rFonts w:ascii="Arial" w:cs="Arial" w:eastAsia="Arial" w:hAnsi="Arial"/>
                <w:sz w:val="18"/>
                <w:szCs w:val="18"/>
                <w:color w:val="auto"/>
              </w:rPr>
              <w:t>Restoration Robotics, Inc. Limited</w:t>
            </w:r>
          </w:p>
        </w:tc>
        <w:tc>
          <w:tcPr>
            <w:tcW w:w="2200" w:type="dxa"/>
            <w:vAlign w:val="bottom"/>
            <w:vMerge w:val="continue"/>
          </w:tcPr>
          <w:p>
            <w:pPr>
              <w:spacing w:after="0"/>
              <w:rPr>
                <w:sz w:val="16"/>
                <w:szCs w:val="16"/>
                <w:color w:val="auto"/>
              </w:rPr>
            </w:pPr>
          </w:p>
        </w:tc>
        <w:tc>
          <w:tcPr>
            <w:tcW w:w="2820" w:type="dxa"/>
            <w:vAlign w:val="bottom"/>
          </w:tcPr>
          <w:p>
            <w:pPr>
              <w:spacing w:after="0" w:line="195" w:lineRule="exact"/>
              <w:rPr>
                <w:sz w:val="20"/>
                <w:szCs w:val="20"/>
                <w:color w:val="auto"/>
              </w:rPr>
            </w:pPr>
            <w:r>
              <w:rPr>
                <w:rFonts w:ascii="Arial" w:cs="Arial" w:eastAsia="Arial" w:hAnsi="Arial"/>
                <w:sz w:val="18"/>
                <w:szCs w:val="18"/>
                <w:color w:val="auto"/>
              </w:rPr>
              <w:t>Hong Kong</w:t>
            </w:r>
          </w:p>
        </w:tc>
        <w:tc>
          <w:tcPr>
            <w:tcW w:w="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3860" w:type="dxa"/>
            <w:vAlign w:val="bottom"/>
            <w:gridSpan w:val="2"/>
          </w:tcPr>
          <w:p>
            <w:pPr>
              <w:spacing w:after="0"/>
              <w:rPr>
                <w:sz w:val="20"/>
                <w:szCs w:val="20"/>
                <w:color w:val="auto"/>
              </w:rPr>
            </w:pPr>
            <w:r>
              <w:rPr>
                <w:rFonts w:ascii="Arial" w:cs="Arial" w:eastAsia="Arial" w:hAnsi="Arial"/>
                <w:sz w:val="18"/>
                <w:szCs w:val="18"/>
                <w:color w:val="auto"/>
              </w:rPr>
              <w:t>Restoration Robotics Europe Limited</w:t>
            </w:r>
          </w:p>
        </w:tc>
        <w:tc>
          <w:tcPr>
            <w:tcW w:w="2200" w:type="dxa"/>
            <w:vAlign w:val="bottom"/>
          </w:tcPr>
          <w:p>
            <w:pPr>
              <w:spacing w:after="0"/>
              <w:rPr>
                <w:sz w:val="18"/>
                <w:szCs w:val="18"/>
                <w:color w:val="auto"/>
              </w:rPr>
            </w:pPr>
          </w:p>
        </w:tc>
        <w:tc>
          <w:tcPr>
            <w:tcW w:w="2840" w:type="dxa"/>
            <w:vAlign w:val="bottom"/>
            <w:gridSpan w:val="2"/>
          </w:tcPr>
          <w:p>
            <w:pPr>
              <w:spacing w:after="0"/>
              <w:rPr>
                <w:sz w:val="20"/>
                <w:szCs w:val="20"/>
                <w:color w:val="auto"/>
              </w:rPr>
            </w:pPr>
            <w:r>
              <w:rPr>
                <w:rFonts w:ascii="Arial" w:cs="Arial" w:eastAsia="Arial" w:hAnsi="Arial"/>
                <w:sz w:val="18"/>
                <w:szCs w:val="18"/>
                <w:color w:val="auto"/>
              </w:rPr>
              <w:t>United Kingdom</w:t>
            </w:r>
          </w:p>
        </w:tc>
        <w:tc>
          <w:tcPr>
            <w:tcW w:w="0" w:type="dxa"/>
            <w:vAlign w:val="bottom"/>
          </w:tcPr>
          <w:p>
            <w:pPr>
              <w:spacing w:after="0"/>
              <w:rPr>
                <w:sz w:val="1"/>
                <w:szCs w:val="1"/>
                <w:color w:val="auto"/>
              </w:rPr>
            </w:pPr>
          </w:p>
        </w:tc>
      </w:tr>
      <w:tr>
        <w:trPr>
          <w:trHeight w:val="216"/>
        </w:trPr>
        <w:tc>
          <w:tcPr>
            <w:tcW w:w="3860" w:type="dxa"/>
            <w:vAlign w:val="bottom"/>
            <w:gridSpan w:val="2"/>
          </w:tcPr>
          <w:p>
            <w:pPr>
              <w:spacing w:after="0"/>
              <w:rPr>
                <w:sz w:val="20"/>
                <w:szCs w:val="20"/>
                <w:color w:val="auto"/>
              </w:rPr>
            </w:pPr>
            <w:r>
              <w:rPr>
                <w:rFonts w:ascii="Arial" w:cs="Arial" w:eastAsia="Arial" w:hAnsi="Arial"/>
                <w:sz w:val="18"/>
                <w:szCs w:val="18"/>
                <w:color w:val="auto"/>
              </w:rPr>
              <w:t>Restoration Robotics Korea Yuhan Hoesa</w:t>
            </w:r>
          </w:p>
        </w:tc>
        <w:tc>
          <w:tcPr>
            <w:tcW w:w="2200" w:type="dxa"/>
            <w:vAlign w:val="bottom"/>
          </w:tcPr>
          <w:p>
            <w:pPr>
              <w:spacing w:after="0"/>
              <w:rPr>
                <w:sz w:val="18"/>
                <w:szCs w:val="18"/>
                <w:color w:val="auto"/>
              </w:rPr>
            </w:pPr>
          </w:p>
        </w:tc>
        <w:tc>
          <w:tcPr>
            <w:tcW w:w="2840" w:type="dxa"/>
            <w:vAlign w:val="bottom"/>
            <w:gridSpan w:val="2"/>
          </w:tcPr>
          <w:p>
            <w:pPr>
              <w:spacing w:after="0"/>
              <w:rPr>
                <w:sz w:val="20"/>
                <w:szCs w:val="20"/>
                <w:color w:val="auto"/>
              </w:rPr>
            </w:pPr>
            <w:r>
              <w:rPr>
                <w:rFonts w:ascii="Arial" w:cs="Arial" w:eastAsia="Arial" w:hAnsi="Arial"/>
                <w:sz w:val="18"/>
                <w:szCs w:val="18"/>
                <w:color w:val="auto"/>
              </w:rPr>
              <w:t>Republic of Korea</w:t>
            </w:r>
          </w:p>
        </w:tc>
        <w:tc>
          <w:tcPr>
            <w:tcW w:w="0" w:type="dxa"/>
            <w:vAlign w:val="bottom"/>
          </w:tcPr>
          <w:p>
            <w:pPr>
              <w:spacing w:after="0"/>
              <w:rPr>
                <w:sz w:val="1"/>
                <w:szCs w:val="1"/>
                <w:color w:val="auto"/>
              </w:rPr>
            </w:pPr>
          </w:p>
        </w:tc>
      </w:tr>
      <w:tr>
        <w:trPr>
          <w:trHeight w:val="230"/>
        </w:trPr>
        <w:tc>
          <w:tcPr>
            <w:tcW w:w="3860" w:type="dxa"/>
            <w:vAlign w:val="bottom"/>
            <w:gridSpan w:val="2"/>
          </w:tcPr>
          <w:p>
            <w:pPr>
              <w:spacing w:after="0"/>
              <w:rPr>
                <w:sz w:val="20"/>
                <w:szCs w:val="20"/>
                <w:color w:val="auto"/>
              </w:rPr>
            </w:pPr>
            <w:r>
              <w:rPr>
                <w:rFonts w:ascii="Arial" w:cs="Arial" w:eastAsia="Arial" w:hAnsi="Arial"/>
                <w:sz w:val="18"/>
                <w:szCs w:val="18"/>
                <w:color w:val="auto"/>
              </w:rPr>
              <w:t>Restoration Robotics Spain S.L.</w:t>
            </w:r>
          </w:p>
        </w:tc>
        <w:tc>
          <w:tcPr>
            <w:tcW w:w="2200" w:type="dxa"/>
            <w:vAlign w:val="bottom"/>
          </w:tcPr>
          <w:p>
            <w:pPr>
              <w:spacing w:after="0"/>
              <w:rPr>
                <w:sz w:val="20"/>
                <w:szCs w:val="20"/>
                <w:color w:val="auto"/>
              </w:rPr>
            </w:pPr>
          </w:p>
        </w:tc>
        <w:tc>
          <w:tcPr>
            <w:tcW w:w="2840" w:type="dxa"/>
            <w:vAlign w:val="bottom"/>
            <w:gridSpan w:val="2"/>
          </w:tcPr>
          <w:p>
            <w:pPr>
              <w:spacing w:after="0"/>
              <w:rPr>
                <w:sz w:val="20"/>
                <w:szCs w:val="20"/>
                <w:color w:val="auto"/>
              </w:rPr>
            </w:pPr>
            <w:r>
              <w:rPr>
                <w:rFonts w:ascii="Arial" w:cs="Arial" w:eastAsia="Arial" w:hAnsi="Arial"/>
                <w:sz w:val="18"/>
                <w:szCs w:val="18"/>
                <w:color w:val="auto"/>
              </w:rPr>
              <w:t>Spain</w:t>
            </w:r>
          </w:p>
        </w:tc>
        <w:tc>
          <w:tcPr>
            <w:tcW w:w="0" w:type="dxa"/>
            <w:vAlign w:val="bottom"/>
          </w:tcPr>
          <w:p>
            <w:pPr>
              <w:spacing w:after="0"/>
              <w:rPr>
                <w:sz w:val="1"/>
                <w:szCs w:val="1"/>
                <w:color w:val="auto"/>
              </w:rPr>
            </w:pPr>
          </w:p>
        </w:tc>
      </w:tr>
    </w:tbl>
    <w:p>
      <w:pPr>
        <w:sectPr>
          <w:pgSz w:w="11900" w:h="16838" w:orient="portrait"/>
          <w:cols w:equalWidth="0" w:num="1">
            <w:col w:w="11420"/>
          </w:cols>
          <w:pgMar w:left="240" w:top="121" w:right="239" w:bottom="1440" w:gutter="0" w:footer="0" w:header="0"/>
        </w:sectPr>
      </w:pPr>
    </w:p>
    <w:bookmarkStart w:id="109" w:name="page110"/>
    <w:bookmarkEnd w:id="109"/>
    <w:p>
      <w:pPr>
        <w:jc w:val="right"/>
        <w:spacing w:after="0"/>
        <w:rPr>
          <w:sz w:val="20"/>
          <w:szCs w:val="20"/>
          <w:color w:val="auto"/>
        </w:rPr>
      </w:pPr>
      <w:r>
        <w:rPr>
          <w:rFonts w:ascii="Arial" w:cs="Arial" w:eastAsia="Arial" w:hAnsi="Arial"/>
          <w:sz w:val="18"/>
          <w:szCs w:val="18"/>
          <w:b w:val="1"/>
          <w:bCs w:val="1"/>
          <w:color w:val="auto"/>
        </w:rPr>
        <w:t>Exhibit 23.1</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CONSENT OF INDEPENDENT REGISTERED PUBLIC ACCOUNTING FIRM</w:t>
      </w:r>
    </w:p>
    <w:p>
      <w:pPr>
        <w:spacing w:after="0" w:line="121" w:lineRule="exact"/>
        <w:rPr>
          <w:sz w:val="20"/>
          <w:szCs w:val="20"/>
          <w:color w:val="auto"/>
        </w:rPr>
      </w:pPr>
    </w:p>
    <w:p>
      <w:pPr>
        <w:ind w:right="120"/>
        <w:spacing w:after="0" w:line="264" w:lineRule="auto"/>
        <w:rPr>
          <w:sz w:val="20"/>
          <w:szCs w:val="20"/>
          <w:color w:val="auto"/>
        </w:rPr>
      </w:pPr>
      <w:r>
        <w:rPr>
          <w:rFonts w:ascii="Arial" w:cs="Arial" w:eastAsia="Arial" w:hAnsi="Arial"/>
          <w:sz w:val="18"/>
          <w:szCs w:val="18"/>
          <w:color w:val="auto"/>
        </w:rPr>
        <w:t>We have issued our report dated March 5, 2018, with respect to the consolidated financial statements included in the Annual Report of Restoration Robotics, Inc. on Form 10-K for the year ended December 31, 2017. We consent to the incorporation by reference of said report in the Registration Statement of Restoration Robotics, Inc. on Form S-8 (File No. 333- 220993).</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color w:val="auto"/>
        </w:rPr>
        <w:t>/s/ GRANT THORNTON LLP</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Denver, Colorado</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March 5, 2018</w:t>
      </w:r>
    </w:p>
    <w:p>
      <w:pPr>
        <w:spacing w:after="0" w:line="222" w:lineRule="exact"/>
        <w:rPr>
          <w:sz w:val="20"/>
          <w:szCs w:val="20"/>
          <w:color w:val="auto"/>
        </w:rPr>
      </w:pPr>
    </w:p>
    <w:p>
      <w:pPr>
        <w:spacing w:after="0"/>
        <w:rPr>
          <w:sz w:val="20"/>
          <w:szCs w:val="20"/>
          <w:color w:val="auto"/>
        </w:rPr>
      </w:pPr>
      <w:r>
        <w:rPr>
          <w:rFonts w:ascii="Arial" w:cs="Arial" w:eastAsia="Arial" w:hAnsi="Arial"/>
          <w:sz w:val="10"/>
          <w:szCs w:val="10"/>
          <w:b w:val="1"/>
          <w:bCs w:val="1"/>
          <w:color w:val="auto"/>
        </w:rPr>
        <w:t>Grant Thornton LLP</w:t>
      </w:r>
    </w:p>
    <w:p>
      <w:pPr>
        <w:spacing w:after="0" w:line="11" w:lineRule="exact"/>
        <w:rPr>
          <w:sz w:val="20"/>
          <w:szCs w:val="20"/>
          <w:color w:val="auto"/>
        </w:rPr>
      </w:pPr>
    </w:p>
    <w:p>
      <w:pPr>
        <w:spacing w:after="0"/>
        <w:rPr>
          <w:sz w:val="20"/>
          <w:szCs w:val="20"/>
          <w:color w:val="auto"/>
        </w:rPr>
      </w:pPr>
      <w:r>
        <w:rPr>
          <w:rFonts w:ascii="Arial" w:cs="Arial" w:eastAsia="Arial" w:hAnsi="Arial"/>
          <w:sz w:val="12"/>
          <w:szCs w:val="12"/>
          <w:b w:val="1"/>
          <w:bCs w:val="1"/>
          <w:color w:val="747678"/>
        </w:rPr>
        <w:t>U.S. member firm of Grant Thornton International Ltd</w:t>
      </w:r>
    </w:p>
    <w:p>
      <w:pPr>
        <w:sectPr>
          <w:pgSz w:w="11900" w:h="16838" w:orient="portrait"/>
          <w:cols w:equalWidth="0" w:num="1">
            <w:col w:w="11420"/>
          </w:cols>
          <w:pgMar w:left="240" w:top="270" w:right="239" w:bottom="1440" w:gutter="0" w:footer="0" w:header="0"/>
        </w:sectPr>
      </w:pPr>
    </w:p>
    <w:bookmarkStart w:id="110" w:name="page111"/>
    <w:bookmarkEnd w:id="110"/>
    <w:p>
      <w:pPr>
        <w:jc w:val="right"/>
        <w:spacing w:after="0"/>
        <w:rPr>
          <w:sz w:val="20"/>
          <w:szCs w:val="20"/>
          <w:color w:val="auto"/>
        </w:rPr>
      </w:pPr>
      <w:r>
        <w:rPr>
          <w:rFonts w:ascii="Arial" w:cs="Arial" w:eastAsia="Arial" w:hAnsi="Arial"/>
          <w:sz w:val="18"/>
          <w:szCs w:val="18"/>
          <w:b w:val="1"/>
          <w:bCs w:val="1"/>
          <w:color w:val="auto"/>
        </w:rPr>
        <w:t>Exhibit 31.1</w:t>
      </w:r>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PRESIDENT AND CHIEF EXECUTIVE OFFICER</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 SECTION 302 OF THE SARBANES-OXLEY ACT OF 2002</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I, Ryan Rhodes, certify that:</w:t>
      </w:r>
    </w:p>
    <w:p>
      <w:pPr>
        <w:spacing w:after="0" w:line="225" w:lineRule="exact"/>
        <w:rPr>
          <w:sz w:val="20"/>
          <w:szCs w:val="20"/>
          <w:color w:val="auto"/>
        </w:rPr>
      </w:pPr>
    </w:p>
    <w:p>
      <w:pPr>
        <w:ind w:left="520" w:hanging="512"/>
        <w:spacing w:after="0"/>
        <w:tabs>
          <w:tab w:leader="none" w:pos="520" w:val="left"/>
        </w:tabs>
        <w:numPr>
          <w:ilvl w:val="0"/>
          <w:numId w:val="59"/>
        </w:numPr>
        <w:rPr>
          <w:rFonts w:ascii="Arial" w:cs="Arial" w:eastAsia="Arial" w:hAnsi="Arial"/>
          <w:sz w:val="18"/>
          <w:szCs w:val="18"/>
          <w:color w:val="auto"/>
        </w:rPr>
      </w:pPr>
      <w:r>
        <w:rPr>
          <w:rFonts w:ascii="Arial" w:cs="Arial" w:eastAsia="Arial" w:hAnsi="Arial"/>
          <w:sz w:val="18"/>
          <w:szCs w:val="18"/>
          <w:color w:val="auto"/>
        </w:rPr>
        <w:t>I have reviewed this quarterly report on Form 10-K of Restoration Robotics, Inc.;</w:t>
      </w:r>
    </w:p>
    <w:p>
      <w:pPr>
        <w:spacing w:after="0" w:line="225" w:lineRule="exact"/>
        <w:rPr>
          <w:rFonts w:ascii="Arial" w:cs="Arial" w:eastAsia="Arial" w:hAnsi="Arial"/>
          <w:sz w:val="18"/>
          <w:szCs w:val="18"/>
          <w:color w:val="auto"/>
        </w:rPr>
      </w:pPr>
    </w:p>
    <w:p>
      <w:pPr>
        <w:jc w:val="both"/>
        <w:ind w:left="520" w:right="420" w:hanging="512"/>
        <w:spacing w:after="0" w:line="264" w:lineRule="auto"/>
        <w:tabs>
          <w:tab w:leader="none" w:pos="520" w:val="left"/>
        </w:tabs>
        <w:numPr>
          <w:ilvl w:val="0"/>
          <w:numId w:val="59"/>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81" w:lineRule="exact"/>
        <w:rPr>
          <w:rFonts w:ascii="Arial" w:cs="Arial" w:eastAsia="Arial" w:hAnsi="Arial"/>
          <w:sz w:val="18"/>
          <w:szCs w:val="18"/>
          <w:color w:val="auto"/>
        </w:rPr>
      </w:pPr>
    </w:p>
    <w:p>
      <w:pPr>
        <w:ind w:left="520" w:right="400" w:hanging="512"/>
        <w:spacing w:after="0" w:line="308" w:lineRule="auto"/>
        <w:tabs>
          <w:tab w:leader="none" w:pos="520" w:val="left"/>
        </w:tabs>
        <w:numPr>
          <w:ilvl w:val="0"/>
          <w:numId w:val="59"/>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46" w:lineRule="exact"/>
        <w:rPr>
          <w:rFonts w:ascii="Arial" w:cs="Arial" w:eastAsia="Arial" w:hAnsi="Arial"/>
          <w:sz w:val="17"/>
          <w:szCs w:val="17"/>
          <w:color w:val="auto"/>
        </w:rPr>
      </w:pPr>
    </w:p>
    <w:p>
      <w:pPr>
        <w:ind w:left="520" w:right="620" w:hanging="512"/>
        <w:spacing w:after="0" w:line="277" w:lineRule="auto"/>
        <w:tabs>
          <w:tab w:leader="none" w:pos="520" w:val="left"/>
        </w:tabs>
        <w:numPr>
          <w:ilvl w:val="0"/>
          <w:numId w:val="59"/>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for the registrant and have:</w:t>
      </w:r>
    </w:p>
    <w:p>
      <w:pPr>
        <w:spacing w:after="0" w:line="170" w:lineRule="exact"/>
        <w:rPr>
          <w:rFonts w:ascii="Arial" w:cs="Arial" w:eastAsia="Arial" w:hAnsi="Arial"/>
          <w:sz w:val="18"/>
          <w:szCs w:val="18"/>
          <w:color w:val="auto"/>
        </w:rPr>
      </w:pPr>
    </w:p>
    <w:p>
      <w:pPr>
        <w:ind w:left="1040" w:right="180" w:hanging="519"/>
        <w:spacing w:after="0" w:line="264" w:lineRule="auto"/>
        <w:tabs>
          <w:tab w:leader="none" w:pos="1040" w:val="left"/>
        </w:tabs>
        <w:numPr>
          <w:ilvl w:val="1"/>
          <w:numId w:val="59"/>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81" w:lineRule="exact"/>
        <w:rPr>
          <w:rFonts w:ascii="Arial" w:cs="Arial" w:eastAsia="Arial" w:hAnsi="Arial"/>
          <w:sz w:val="18"/>
          <w:szCs w:val="18"/>
          <w:color w:val="auto"/>
        </w:rPr>
      </w:pPr>
    </w:p>
    <w:p>
      <w:pPr>
        <w:jc w:val="both"/>
        <w:ind w:left="1040" w:right="660" w:hanging="519"/>
        <w:spacing w:after="0" w:line="342" w:lineRule="auto"/>
        <w:tabs>
          <w:tab w:leader="none" w:pos="1040" w:val="left"/>
        </w:tabs>
        <w:numPr>
          <w:ilvl w:val="1"/>
          <w:numId w:val="59"/>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23" w:lineRule="exact"/>
        <w:rPr>
          <w:rFonts w:ascii="Arial" w:cs="Arial" w:eastAsia="Arial" w:hAnsi="Arial"/>
          <w:sz w:val="16"/>
          <w:szCs w:val="16"/>
          <w:color w:val="auto"/>
        </w:rPr>
      </w:pPr>
    </w:p>
    <w:p>
      <w:pPr>
        <w:ind w:left="1040" w:right="200" w:hanging="519"/>
        <w:spacing w:after="0" w:line="264" w:lineRule="auto"/>
        <w:tabs>
          <w:tab w:leader="none" w:pos="1040" w:val="left"/>
        </w:tabs>
        <w:numPr>
          <w:ilvl w:val="1"/>
          <w:numId w:val="59"/>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1" w:lineRule="exact"/>
        <w:rPr>
          <w:rFonts w:ascii="Arial" w:cs="Arial" w:eastAsia="Arial" w:hAnsi="Arial"/>
          <w:sz w:val="18"/>
          <w:szCs w:val="18"/>
          <w:color w:val="auto"/>
        </w:rPr>
      </w:pPr>
    </w:p>
    <w:p>
      <w:pPr>
        <w:ind w:left="520" w:right="340" w:hanging="512"/>
        <w:spacing w:after="0" w:line="308" w:lineRule="auto"/>
        <w:tabs>
          <w:tab w:leader="none" w:pos="520" w:val="left"/>
        </w:tabs>
        <w:numPr>
          <w:ilvl w:val="0"/>
          <w:numId w:val="59"/>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46" w:lineRule="exact"/>
        <w:rPr>
          <w:rFonts w:ascii="Arial" w:cs="Arial" w:eastAsia="Arial" w:hAnsi="Arial"/>
          <w:sz w:val="17"/>
          <w:szCs w:val="17"/>
          <w:color w:val="auto"/>
        </w:rPr>
      </w:pPr>
    </w:p>
    <w:p>
      <w:pPr>
        <w:ind w:left="1040" w:right="80" w:hanging="519"/>
        <w:spacing w:after="0" w:line="277" w:lineRule="auto"/>
        <w:tabs>
          <w:tab w:leader="none" w:pos="1040" w:val="left"/>
        </w:tabs>
        <w:numPr>
          <w:ilvl w:val="1"/>
          <w:numId w:val="59"/>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70" w:lineRule="exact"/>
        <w:rPr>
          <w:rFonts w:ascii="Arial" w:cs="Arial" w:eastAsia="Arial" w:hAnsi="Arial"/>
          <w:sz w:val="18"/>
          <w:szCs w:val="18"/>
          <w:color w:val="auto"/>
        </w:rPr>
      </w:pPr>
    </w:p>
    <w:p>
      <w:pPr>
        <w:ind w:left="1040" w:right="60" w:hanging="519"/>
        <w:spacing w:after="0" w:line="277" w:lineRule="auto"/>
        <w:tabs>
          <w:tab w:leader="none" w:pos="1040" w:val="left"/>
        </w:tabs>
        <w:numPr>
          <w:ilvl w:val="1"/>
          <w:numId w:val="59"/>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11" w:lineRule="exact"/>
        <w:rPr>
          <w:sz w:val="20"/>
          <w:szCs w:val="20"/>
          <w:color w:val="auto"/>
        </w:rPr>
      </w:pPr>
    </w:p>
    <w:p>
      <w:pPr>
        <w:spacing w:after="0"/>
        <w:tabs>
          <w:tab w:leader="none" w:pos="5760" w:val="left"/>
          <w:tab w:leader="none" w:pos="8020" w:val="left"/>
        </w:tabs>
        <w:rPr>
          <w:sz w:val="20"/>
          <w:szCs w:val="20"/>
          <w:color w:val="auto"/>
        </w:rPr>
      </w:pPr>
      <w:r>
        <w:rPr>
          <w:rFonts w:ascii="Arial" w:cs="Arial" w:eastAsia="Arial" w:hAnsi="Arial"/>
          <w:sz w:val="18"/>
          <w:szCs w:val="18"/>
          <w:color w:val="auto"/>
        </w:rPr>
        <w:t>Date: March 5, 2018</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RYAN RHODES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3890010</wp:posOffset>
            </wp:positionH>
            <wp:positionV relativeFrom="paragraph">
              <wp:posOffset>14605</wp:posOffset>
            </wp:positionV>
            <wp:extent cx="3361690" cy="8890"/>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81">
                      <a:extLst>
                        <a:ext uri="{28A0092B-C50C-407E-A947-70E740481C1C}"/>
                      </a:extLst>
                    </a:blip>
                    <a:srcRect/>
                    <a:stretch>
                      <a:fillRect/>
                    </a:stretch>
                  </pic:blipFill>
                  <pic:spPr bwMode="auto">
                    <a:xfrm>
                      <a:off x="0" y="0"/>
                      <a:ext cx="3361690" cy="8890"/>
                    </a:xfrm>
                    <a:prstGeom prst="rect">
                      <a:avLst/>
                    </a:prstGeom>
                    <a:noFill/>
                  </pic:spPr>
                </pic:pic>
              </a:graphicData>
            </a:graphic>
          </wp:anchor>
        </w:drawing>
      </w:r>
    </w:p>
    <w:p>
      <w:pPr>
        <w:spacing w:after="0" w:line="12" w:lineRule="exact"/>
        <w:rPr>
          <w:sz w:val="20"/>
          <w:szCs w:val="20"/>
          <w:color w:val="auto"/>
        </w:rPr>
      </w:pPr>
    </w:p>
    <w:p>
      <w:pPr>
        <w:ind w:left="7980"/>
        <w:spacing w:after="0"/>
        <w:rPr>
          <w:sz w:val="20"/>
          <w:szCs w:val="20"/>
          <w:color w:val="auto"/>
        </w:rPr>
      </w:pPr>
      <w:r>
        <w:rPr>
          <w:rFonts w:ascii="Arial" w:cs="Arial" w:eastAsia="Arial" w:hAnsi="Arial"/>
          <w:sz w:val="18"/>
          <w:szCs w:val="18"/>
          <w:b w:val="1"/>
          <w:bCs w:val="1"/>
          <w:color w:val="auto"/>
        </w:rPr>
        <w:t>Name: Ryan Rhodes</w:t>
      </w:r>
    </w:p>
    <w:p>
      <w:pPr>
        <w:spacing w:after="0" w:line="27" w:lineRule="exact"/>
        <w:rPr>
          <w:sz w:val="20"/>
          <w:szCs w:val="20"/>
          <w:color w:val="auto"/>
        </w:rPr>
      </w:pPr>
    </w:p>
    <w:p>
      <w:pPr>
        <w:ind w:left="7460"/>
        <w:spacing w:after="0"/>
        <w:rPr>
          <w:sz w:val="20"/>
          <w:szCs w:val="20"/>
          <w:color w:val="auto"/>
        </w:rPr>
      </w:pPr>
      <w:r>
        <w:rPr>
          <w:rFonts w:ascii="Arial" w:cs="Arial" w:eastAsia="Arial" w:hAnsi="Arial"/>
          <w:sz w:val="18"/>
          <w:szCs w:val="18"/>
          <w:b w:val="1"/>
          <w:bCs w:val="1"/>
          <w:color w:val="auto"/>
        </w:rPr>
        <w:t>President, Chief Executive Officer</w:t>
      </w:r>
    </w:p>
    <w:p>
      <w:pPr>
        <w:spacing w:after="0" w:line="23" w:lineRule="exact"/>
        <w:rPr>
          <w:sz w:val="20"/>
          <w:szCs w:val="20"/>
          <w:color w:val="auto"/>
        </w:rPr>
      </w:pPr>
    </w:p>
    <w:p>
      <w:pPr>
        <w:ind w:left="7660"/>
        <w:spacing w:after="0"/>
        <w:rPr>
          <w:sz w:val="20"/>
          <w:szCs w:val="20"/>
          <w:color w:val="auto"/>
        </w:rPr>
      </w:pPr>
      <w:r>
        <w:rPr>
          <w:rFonts w:ascii="Arial" w:cs="Arial" w:eastAsia="Arial" w:hAnsi="Arial"/>
          <w:sz w:val="18"/>
          <w:szCs w:val="18"/>
          <w:b w:val="1"/>
          <w:bCs w:val="1"/>
          <w:color w:val="auto"/>
        </w:rPr>
        <w:t>(Principal Executive Officer)</w:t>
      </w:r>
    </w:p>
    <w:p>
      <w:pPr>
        <w:sectPr>
          <w:pgSz w:w="11900" w:h="16838" w:orient="portrait"/>
          <w:cols w:equalWidth="0" w:num="1">
            <w:col w:w="11420"/>
          </w:cols>
          <w:pgMar w:left="240" w:top="351" w:right="239" w:bottom="1440" w:gutter="0" w:footer="0" w:header="0"/>
        </w:sectPr>
      </w:pPr>
    </w:p>
    <w:bookmarkStart w:id="111" w:name="page112"/>
    <w:bookmarkEnd w:id="111"/>
    <w:p>
      <w:pPr>
        <w:jc w:val="right"/>
        <w:spacing w:after="0"/>
        <w:rPr>
          <w:sz w:val="20"/>
          <w:szCs w:val="20"/>
          <w:color w:val="auto"/>
        </w:rPr>
      </w:pPr>
      <w:r>
        <w:rPr>
          <w:rFonts w:ascii="Arial" w:cs="Arial" w:eastAsia="Arial" w:hAnsi="Arial"/>
          <w:sz w:val="18"/>
          <w:szCs w:val="18"/>
          <w:b w:val="1"/>
          <w:bCs w:val="1"/>
          <w:color w:val="auto"/>
        </w:rPr>
        <w:t>Exhibit 31.2</w:t>
      </w:r>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CHIEF FINANCIAL OFFICER</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 SECTION 302 OF THE SARBANES-OXLEY ACT OF 2002</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I, Mark Hair, certify that:</w:t>
      </w:r>
    </w:p>
    <w:p>
      <w:pPr>
        <w:spacing w:after="0" w:line="225" w:lineRule="exact"/>
        <w:rPr>
          <w:sz w:val="20"/>
          <w:szCs w:val="20"/>
          <w:color w:val="auto"/>
        </w:rPr>
      </w:pPr>
    </w:p>
    <w:p>
      <w:pPr>
        <w:ind w:left="520" w:hanging="512"/>
        <w:spacing w:after="0"/>
        <w:tabs>
          <w:tab w:leader="none" w:pos="520" w:val="left"/>
        </w:tabs>
        <w:numPr>
          <w:ilvl w:val="0"/>
          <w:numId w:val="60"/>
        </w:numPr>
        <w:rPr>
          <w:rFonts w:ascii="Arial" w:cs="Arial" w:eastAsia="Arial" w:hAnsi="Arial"/>
          <w:sz w:val="18"/>
          <w:szCs w:val="18"/>
          <w:color w:val="auto"/>
        </w:rPr>
      </w:pPr>
      <w:r>
        <w:rPr>
          <w:rFonts w:ascii="Arial" w:cs="Arial" w:eastAsia="Arial" w:hAnsi="Arial"/>
          <w:sz w:val="18"/>
          <w:szCs w:val="18"/>
          <w:color w:val="auto"/>
        </w:rPr>
        <w:t>I have reviewed this quarterly report on Form 10-K of Restoration Robotics, Inc.;</w:t>
      </w:r>
    </w:p>
    <w:p>
      <w:pPr>
        <w:spacing w:after="0" w:line="225" w:lineRule="exact"/>
        <w:rPr>
          <w:rFonts w:ascii="Arial" w:cs="Arial" w:eastAsia="Arial" w:hAnsi="Arial"/>
          <w:sz w:val="18"/>
          <w:szCs w:val="18"/>
          <w:color w:val="auto"/>
        </w:rPr>
      </w:pPr>
    </w:p>
    <w:p>
      <w:pPr>
        <w:jc w:val="both"/>
        <w:ind w:left="520" w:right="420" w:hanging="512"/>
        <w:spacing w:after="0" w:line="264" w:lineRule="auto"/>
        <w:tabs>
          <w:tab w:leader="none" w:pos="520" w:val="left"/>
        </w:tabs>
        <w:numPr>
          <w:ilvl w:val="0"/>
          <w:numId w:val="60"/>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81" w:lineRule="exact"/>
        <w:rPr>
          <w:rFonts w:ascii="Arial" w:cs="Arial" w:eastAsia="Arial" w:hAnsi="Arial"/>
          <w:sz w:val="18"/>
          <w:szCs w:val="18"/>
          <w:color w:val="auto"/>
        </w:rPr>
      </w:pPr>
    </w:p>
    <w:p>
      <w:pPr>
        <w:ind w:left="520" w:right="400" w:hanging="512"/>
        <w:spacing w:after="0" w:line="308" w:lineRule="auto"/>
        <w:tabs>
          <w:tab w:leader="none" w:pos="520" w:val="left"/>
        </w:tabs>
        <w:numPr>
          <w:ilvl w:val="0"/>
          <w:numId w:val="60"/>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46" w:lineRule="exact"/>
        <w:rPr>
          <w:rFonts w:ascii="Arial" w:cs="Arial" w:eastAsia="Arial" w:hAnsi="Arial"/>
          <w:sz w:val="17"/>
          <w:szCs w:val="17"/>
          <w:color w:val="auto"/>
        </w:rPr>
      </w:pPr>
    </w:p>
    <w:p>
      <w:pPr>
        <w:ind w:left="520" w:right="640" w:hanging="512"/>
        <w:spacing w:after="0" w:line="277" w:lineRule="auto"/>
        <w:tabs>
          <w:tab w:leader="none" w:pos="520" w:val="left"/>
        </w:tabs>
        <w:numPr>
          <w:ilvl w:val="0"/>
          <w:numId w:val="60"/>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for the registrant and have:</w:t>
      </w:r>
    </w:p>
    <w:p>
      <w:pPr>
        <w:spacing w:after="0" w:line="170" w:lineRule="exact"/>
        <w:rPr>
          <w:rFonts w:ascii="Arial" w:cs="Arial" w:eastAsia="Arial" w:hAnsi="Arial"/>
          <w:sz w:val="18"/>
          <w:szCs w:val="18"/>
          <w:color w:val="auto"/>
        </w:rPr>
      </w:pPr>
    </w:p>
    <w:p>
      <w:pPr>
        <w:ind w:left="1040" w:right="180" w:hanging="519"/>
        <w:spacing w:after="0" w:line="264" w:lineRule="auto"/>
        <w:tabs>
          <w:tab w:leader="none" w:pos="1040" w:val="left"/>
        </w:tabs>
        <w:numPr>
          <w:ilvl w:val="1"/>
          <w:numId w:val="60"/>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81" w:lineRule="exact"/>
        <w:rPr>
          <w:rFonts w:ascii="Arial" w:cs="Arial" w:eastAsia="Arial" w:hAnsi="Arial"/>
          <w:sz w:val="18"/>
          <w:szCs w:val="18"/>
          <w:color w:val="auto"/>
        </w:rPr>
      </w:pPr>
    </w:p>
    <w:p>
      <w:pPr>
        <w:jc w:val="both"/>
        <w:ind w:left="1040" w:right="660" w:hanging="519"/>
        <w:spacing w:after="0" w:line="342" w:lineRule="auto"/>
        <w:tabs>
          <w:tab w:leader="none" w:pos="1040" w:val="left"/>
        </w:tabs>
        <w:numPr>
          <w:ilvl w:val="1"/>
          <w:numId w:val="60"/>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23" w:lineRule="exact"/>
        <w:rPr>
          <w:rFonts w:ascii="Arial" w:cs="Arial" w:eastAsia="Arial" w:hAnsi="Arial"/>
          <w:sz w:val="16"/>
          <w:szCs w:val="16"/>
          <w:color w:val="auto"/>
        </w:rPr>
      </w:pPr>
    </w:p>
    <w:p>
      <w:pPr>
        <w:ind w:left="1040" w:right="200" w:hanging="519"/>
        <w:spacing w:after="0" w:line="264" w:lineRule="auto"/>
        <w:tabs>
          <w:tab w:leader="none" w:pos="1040" w:val="left"/>
        </w:tabs>
        <w:numPr>
          <w:ilvl w:val="1"/>
          <w:numId w:val="60"/>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1" w:lineRule="exact"/>
        <w:rPr>
          <w:rFonts w:ascii="Arial" w:cs="Arial" w:eastAsia="Arial" w:hAnsi="Arial"/>
          <w:sz w:val="18"/>
          <w:szCs w:val="18"/>
          <w:color w:val="auto"/>
        </w:rPr>
      </w:pPr>
    </w:p>
    <w:p>
      <w:pPr>
        <w:ind w:left="520" w:right="340" w:hanging="512"/>
        <w:spacing w:after="0" w:line="308" w:lineRule="auto"/>
        <w:tabs>
          <w:tab w:leader="none" w:pos="520" w:val="left"/>
        </w:tabs>
        <w:numPr>
          <w:ilvl w:val="0"/>
          <w:numId w:val="60"/>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46" w:lineRule="exact"/>
        <w:rPr>
          <w:rFonts w:ascii="Arial" w:cs="Arial" w:eastAsia="Arial" w:hAnsi="Arial"/>
          <w:sz w:val="17"/>
          <w:szCs w:val="17"/>
          <w:color w:val="auto"/>
        </w:rPr>
      </w:pPr>
    </w:p>
    <w:p>
      <w:pPr>
        <w:ind w:left="1040" w:right="80" w:hanging="519"/>
        <w:spacing w:after="0" w:line="277" w:lineRule="auto"/>
        <w:tabs>
          <w:tab w:leader="none" w:pos="1040" w:val="left"/>
        </w:tabs>
        <w:numPr>
          <w:ilvl w:val="1"/>
          <w:numId w:val="60"/>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70" w:lineRule="exact"/>
        <w:rPr>
          <w:rFonts w:ascii="Arial" w:cs="Arial" w:eastAsia="Arial" w:hAnsi="Arial"/>
          <w:sz w:val="18"/>
          <w:szCs w:val="18"/>
          <w:color w:val="auto"/>
        </w:rPr>
      </w:pPr>
    </w:p>
    <w:p>
      <w:pPr>
        <w:ind w:left="1040" w:right="60" w:hanging="519"/>
        <w:spacing w:after="0" w:line="277" w:lineRule="auto"/>
        <w:tabs>
          <w:tab w:leader="none" w:pos="1040" w:val="left"/>
        </w:tabs>
        <w:numPr>
          <w:ilvl w:val="1"/>
          <w:numId w:val="60"/>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11" w:lineRule="exact"/>
        <w:rPr>
          <w:sz w:val="20"/>
          <w:szCs w:val="20"/>
          <w:color w:val="auto"/>
        </w:rPr>
      </w:pPr>
    </w:p>
    <w:p>
      <w:pPr>
        <w:spacing w:after="0"/>
        <w:tabs>
          <w:tab w:leader="none" w:pos="5760" w:val="left"/>
          <w:tab w:leader="none" w:pos="8120" w:val="left"/>
        </w:tabs>
        <w:rPr>
          <w:sz w:val="20"/>
          <w:szCs w:val="20"/>
          <w:color w:val="auto"/>
        </w:rPr>
      </w:pPr>
      <w:r>
        <w:rPr>
          <w:rFonts w:ascii="Arial" w:cs="Arial" w:eastAsia="Arial" w:hAnsi="Arial"/>
          <w:sz w:val="18"/>
          <w:szCs w:val="18"/>
          <w:color w:val="auto"/>
        </w:rPr>
        <w:t>Date: March 5, 2018</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7"/>
          <w:szCs w:val="17"/>
          <w:color w:val="auto"/>
        </w:rPr>
        <w:t>/s/ MARK HAIR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3890010</wp:posOffset>
            </wp:positionH>
            <wp:positionV relativeFrom="paragraph">
              <wp:posOffset>14605</wp:posOffset>
            </wp:positionV>
            <wp:extent cx="3361690" cy="8890"/>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82">
                      <a:extLst>
                        <a:ext uri="{28A0092B-C50C-407E-A947-70E740481C1C}"/>
                      </a:extLst>
                    </a:blip>
                    <a:srcRect/>
                    <a:stretch>
                      <a:fillRect/>
                    </a:stretch>
                  </pic:blipFill>
                  <pic:spPr bwMode="auto">
                    <a:xfrm>
                      <a:off x="0" y="0"/>
                      <a:ext cx="3361690" cy="8890"/>
                    </a:xfrm>
                    <a:prstGeom prst="rect">
                      <a:avLst/>
                    </a:prstGeom>
                    <a:noFill/>
                  </pic:spPr>
                </pic:pic>
              </a:graphicData>
            </a:graphic>
          </wp:anchor>
        </w:drawing>
      </w:r>
    </w:p>
    <w:p>
      <w:pPr>
        <w:spacing w:after="0" w:line="12" w:lineRule="exact"/>
        <w:rPr>
          <w:sz w:val="20"/>
          <w:szCs w:val="20"/>
          <w:color w:val="auto"/>
        </w:rPr>
      </w:pPr>
    </w:p>
    <w:p>
      <w:pPr>
        <w:ind w:left="8060"/>
        <w:spacing w:after="0"/>
        <w:rPr>
          <w:sz w:val="20"/>
          <w:szCs w:val="20"/>
          <w:color w:val="auto"/>
        </w:rPr>
      </w:pPr>
      <w:r>
        <w:rPr>
          <w:rFonts w:ascii="Arial" w:cs="Arial" w:eastAsia="Arial" w:hAnsi="Arial"/>
          <w:sz w:val="18"/>
          <w:szCs w:val="18"/>
          <w:b w:val="1"/>
          <w:bCs w:val="1"/>
          <w:color w:val="auto"/>
        </w:rPr>
        <w:t>Name: Mark Hair</w:t>
      </w:r>
    </w:p>
    <w:p>
      <w:pPr>
        <w:spacing w:after="0" w:line="27" w:lineRule="exact"/>
        <w:rPr>
          <w:sz w:val="20"/>
          <w:szCs w:val="20"/>
          <w:color w:val="auto"/>
        </w:rPr>
      </w:pPr>
    </w:p>
    <w:p>
      <w:pPr>
        <w:ind w:left="7880"/>
        <w:spacing w:after="0"/>
        <w:rPr>
          <w:sz w:val="20"/>
          <w:szCs w:val="20"/>
          <w:color w:val="auto"/>
        </w:rPr>
      </w:pPr>
      <w:r>
        <w:rPr>
          <w:rFonts w:ascii="Arial" w:cs="Arial" w:eastAsia="Arial" w:hAnsi="Arial"/>
          <w:sz w:val="18"/>
          <w:szCs w:val="18"/>
          <w:b w:val="1"/>
          <w:bCs w:val="1"/>
          <w:color w:val="auto"/>
        </w:rPr>
        <w:t>Chief Financial Officer</w:t>
      </w:r>
    </w:p>
    <w:p>
      <w:pPr>
        <w:spacing w:after="0" w:line="23" w:lineRule="exact"/>
        <w:rPr>
          <w:sz w:val="20"/>
          <w:szCs w:val="20"/>
          <w:color w:val="auto"/>
        </w:rPr>
      </w:pPr>
    </w:p>
    <w:p>
      <w:pPr>
        <w:ind w:left="7680"/>
        <w:spacing w:after="0"/>
        <w:rPr>
          <w:sz w:val="20"/>
          <w:szCs w:val="20"/>
          <w:color w:val="auto"/>
        </w:rPr>
      </w:pPr>
      <w:r>
        <w:rPr>
          <w:rFonts w:ascii="Arial" w:cs="Arial" w:eastAsia="Arial" w:hAnsi="Arial"/>
          <w:sz w:val="18"/>
          <w:szCs w:val="18"/>
          <w:b w:val="1"/>
          <w:bCs w:val="1"/>
          <w:color w:val="auto"/>
        </w:rPr>
        <w:t>(Principal Financial Officer)</w:t>
      </w:r>
    </w:p>
    <w:p>
      <w:pPr>
        <w:sectPr>
          <w:pgSz w:w="11900" w:h="16838" w:orient="portrait"/>
          <w:cols w:equalWidth="0" w:num="1">
            <w:col w:w="11420"/>
          </w:cols>
          <w:pgMar w:left="240" w:top="351" w:right="239" w:bottom="1440" w:gutter="0" w:footer="0" w:header="0"/>
        </w:sectPr>
      </w:pPr>
    </w:p>
    <w:bookmarkStart w:id="112" w:name="page113"/>
    <w:bookmarkEnd w:id="112"/>
    <w:p>
      <w:pPr>
        <w:jc w:val="right"/>
        <w:spacing w:after="0"/>
        <w:rPr>
          <w:sz w:val="20"/>
          <w:szCs w:val="20"/>
          <w:color w:val="auto"/>
        </w:rPr>
      </w:pPr>
      <w:r>
        <w:rPr>
          <w:rFonts w:ascii="Arial" w:cs="Arial" w:eastAsia="Arial" w:hAnsi="Arial"/>
          <w:sz w:val="18"/>
          <w:szCs w:val="18"/>
          <w:b w:val="1"/>
          <w:bCs w:val="1"/>
          <w:color w:val="auto"/>
        </w:rPr>
        <w:t>Exhibit 32.1</w:t>
      </w:r>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27" w:lineRule="exact"/>
        <w:rPr>
          <w:sz w:val="20"/>
          <w:szCs w:val="20"/>
          <w:color w:val="auto"/>
        </w:rPr>
      </w:pPr>
    </w:p>
    <w:p>
      <w:pPr>
        <w:ind w:left="3440"/>
        <w:spacing w:after="0"/>
        <w:rPr>
          <w:sz w:val="20"/>
          <w:szCs w:val="20"/>
          <w:color w:val="auto"/>
        </w:rPr>
      </w:pPr>
      <w:r>
        <w:rPr>
          <w:rFonts w:ascii="Arial" w:cs="Arial" w:eastAsia="Arial" w:hAnsi="Arial"/>
          <w:sz w:val="18"/>
          <w:szCs w:val="18"/>
          <w:b w:val="1"/>
          <w:bCs w:val="1"/>
          <w:color w:val="auto"/>
        </w:rPr>
        <w:t>18 U.S.C. SECTION 1350, AS ADOPTED PURSUANT TO</w:t>
      </w:r>
    </w:p>
    <w:p>
      <w:pPr>
        <w:spacing w:after="0" w:line="9" w:lineRule="exact"/>
        <w:rPr>
          <w:sz w:val="20"/>
          <w:szCs w:val="20"/>
          <w:color w:val="auto"/>
        </w:rPr>
      </w:pPr>
    </w:p>
    <w:p>
      <w:pPr>
        <w:ind w:left="3380"/>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211" w:lineRule="exact"/>
        <w:rPr>
          <w:sz w:val="20"/>
          <w:szCs w:val="20"/>
          <w:color w:val="auto"/>
        </w:rPr>
      </w:pPr>
    </w:p>
    <w:p>
      <w:pPr>
        <w:jc w:val="both"/>
        <w:ind w:right="40" w:firstLine="518"/>
        <w:spacing w:after="0" w:line="264" w:lineRule="auto"/>
        <w:rPr>
          <w:sz w:val="20"/>
          <w:szCs w:val="20"/>
          <w:color w:val="auto"/>
        </w:rPr>
      </w:pPr>
      <w:r>
        <w:rPr>
          <w:rFonts w:ascii="Arial" w:cs="Arial" w:eastAsia="Arial" w:hAnsi="Arial"/>
          <w:sz w:val="18"/>
          <w:szCs w:val="18"/>
          <w:color w:val="auto"/>
        </w:rPr>
        <w:t>In connection with the quarterly report of Restoration Robotics, Inc. (the “Company”) on Form 10-K for the period ending December 31, 2017 as filed with the Securities and Exchange Commission on the date hereof (the “Report”), I certify, pursuant to 18 U.S.C. Section 1350, as adopted pursuant to Section 906 of the Sarbanes-Oxley Act of 2002, that:</w:t>
      </w:r>
    </w:p>
    <w:p>
      <w:pPr>
        <w:spacing w:after="0" w:line="181" w:lineRule="exact"/>
        <w:rPr>
          <w:sz w:val="20"/>
          <w:szCs w:val="20"/>
          <w:color w:val="auto"/>
        </w:rPr>
      </w:pPr>
    </w:p>
    <w:p>
      <w:pPr>
        <w:ind w:left="1040" w:hanging="519"/>
        <w:spacing w:after="0"/>
        <w:tabs>
          <w:tab w:leader="none" w:pos="1040" w:val="left"/>
        </w:tabs>
        <w:numPr>
          <w:ilvl w:val="0"/>
          <w:numId w:val="61"/>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225" w:lineRule="exact"/>
        <w:rPr>
          <w:rFonts w:ascii="Arial" w:cs="Arial" w:eastAsia="Arial" w:hAnsi="Arial"/>
          <w:sz w:val="18"/>
          <w:szCs w:val="18"/>
          <w:color w:val="auto"/>
        </w:rPr>
      </w:pPr>
    </w:p>
    <w:p>
      <w:pPr>
        <w:ind w:left="1040" w:hanging="519"/>
        <w:spacing w:after="0"/>
        <w:tabs>
          <w:tab w:leader="none" w:pos="1040" w:val="left"/>
        </w:tabs>
        <w:numPr>
          <w:ilvl w:val="0"/>
          <w:numId w:val="61"/>
        </w:numPr>
        <w:rPr>
          <w:rFonts w:ascii="Arial" w:cs="Arial" w:eastAsia="Arial" w:hAnsi="Arial"/>
          <w:sz w:val="16"/>
          <w:szCs w:val="16"/>
          <w:color w:val="auto"/>
        </w:rPr>
      </w:pPr>
      <w:r>
        <w:rPr>
          <w:rFonts w:ascii="Arial" w:cs="Arial" w:eastAsia="Arial" w:hAnsi="Arial"/>
          <w:sz w:val="16"/>
          <w:szCs w:val="16"/>
          <w:color w:val="auto"/>
        </w:rPr>
        <w:t>The information contained in the Report fairly presents, in all material respects, the financial condition and result of operations of the Company.</w:t>
      </w:r>
    </w:p>
    <w:p>
      <w:pPr>
        <w:spacing w:after="0" w:line="289" w:lineRule="exact"/>
        <w:rPr>
          <w:sz w:val="20"/>
          <w:szCs w:val="20"/>
          <w:color w:val="auto"/>
        </w:rPr>
      </w:pPr>
    </w:p>
    <w:p>
      <w:pPr>
        <w:spacing w:after="0"/>
        <w:tabs>
          <w:tab w:leader="none" w:pos="5760" w:val="left"/>
          <w:tab w:leader="none" w:pos="8020" w:val="left"/>
        </w:tabs>
        <w:rPr>
          <w:sz w:val="20"/>
          <w:szCs w:val="20"/>
          <w:color w:val="auto"/>
        </w:rPr>
      </w:pPr>
      <w:r>
        <w:rPr>
          <w:rFonts w:ascii="Arial" w:cs="Arial" w:eastAsia="Arial" w:hAnsi="Arial"/>
          <w:sz w:val="18"/>
          <w:szCs w:val="18"/>
          <w:color w:val="auto"/>
        </w:rPr>
        <w:t>Date: March 5, 2018</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RYAN RHODES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3890010</wp:posOffset>
            </wp:positionH>
            <wp:positionV relativeFrom="paragraph">
              <wp:posOffset>14605</wp:posOffset>
            </wp:positionV>
            <wp:extent cx="3361690" cy="8890"/>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83">
                      <a:extLst>
                        <a:ext uri="{28A0092B-C50C-407E-A947-70E740481C1C}"/>
                      </a:extLst>
                    </a:blip>
                    <a:srcRect/>
                    <a:stretch>
                      <a:fillRect/>
                    </a:stretch>
                  </pic:blipFill>
                  <pic:spPr bwMode="auto">
                    <a:xfrm>
                      <a:off x="0" y="0"/>
                      <a:ext cx="3361690" cy="8890"/>
                    </a:xfrm>
                    <a:prstGeom prst="rect">
                      <a:avLst/>
                    </a:prstGeom>
                    <a:noFill/>
                  </pic:spPr>
                </pic:pic>
              </a:graphicData>
            </a:graphic>
          </wp:anchor>
        </w:drawing>
      </w:r>
    </w:p>
    <w:p>
      <w:pPr>
        <w:spacing w:after="0" w:line="12" w:lineRule="exact"/>
        <w:rPr>
          <w:sz w:val="20"/>
          <w:szCs w:val="20"/>
          <w:color w:val="auto"/>
        </w:rPr>
      </w:pPr>
    </w:p>
    <w:p>
      <w:pPr>
        <w:ind w:left="7980"/>
        <w:spacing w:after="0"/>
        <w:rPr>
          <w:sz w:val="20"/>
          <w:szCs w:val="20"/>
          <w:color w:val="auto"/>
        </w:rPr>
      </w:pPr>
      <w:r>
        <w:rPr>
          <w:rFonts w:ascii="Arial" w:cs="Arial" w:eastAsia="Arial" w:hAnsi="Arial"/>
          <w:sz w:val="18"/>
          <w:szCs w:val="18"/>
          <w:b w:val="1"/>
          <w:bCs w:val="1"/>
          <w:color w:val="auto"/>
        </w:rPr>
        <w:t>Name: Ryan Rhodes</w:t>
      </w:r>
    </w:p>
    <w:p>
      <w:pPr>
        <w:spacing w:after="0" w:line="27" w:lineRule="exact"/>
        <w:rPr>
          <w:sz w:val="20"/>
          <w:szCs w:val="20"/>
          <w:color w:val="auto"/>
        </w:rPr>
      </w:pPr>
    </w:p>
    <w:p>
      <w:pPr>
        <w:ind w:left="7460"/>
        <w:spacing w:after="0"/>
        <w:rPr>
          <w:sz w:val="20"/>
          <w:szCs w:val="20"/>
          <w:color w:val="auto"/>
        </w:rPr>
      </w:pPr>
      <w:r>
        <w:rPr>
          <w:rFonts w:ascii="Arial" w:cs="Arial" w:eastAsia="Arial" w:hAnsi="Arial"/>
          <w:sz w:val="18"/>
          <w:szCs w:val="18"/>
          <w:b w:val="1"/>
          <w:bCs w:val="1"/>
          <w:color w:val="auto"/>
        </w:rPr>
        <w:t>President, Chief Executive Officer</w:t>
      </w:r>
    </w:p>
    <w:p>
      <w:pPr>
        <w:spacing w:after="0" w:line="23" w:lineRule="exact"/>
        <w:rPr>
          <w:sz w:val="20"/>
          <w:szCs w:val="20"/>
          <w:color w:val="auto"/>
        </w:rPr>
      </w:pPr>
    </w:p>
    <w:p>
      <w:pPr>
        <w:ind w:left="7660"/>
        <w:spacing w:after="0"/>
        <w:rPr>
          <w:sz w:val="20"/>
          <w:szCs w:val="20"/>
          <w:color w:val="auto"/>
        </w:rPr>
      </w:pPr>
      <w:r>
        <w:rPr>
          <w:rFonts w:ascii="Arial" w:cs="Arial" w:eastAsia="Arial" w:hAnsi="Arial"/>
          <w:sz w:val="18"/>
          <w:szCs w:val="18"/>
          <w:b w:val="1"/>
          <w:bCs w:val="1"/>
          <w:color w:val="auto"/>
        </w:rPr>
        <w:t>(Principal Executive Officer)</w:t>
      </w:r>
    </w:p>
    <w:p>
      <w:pPr>
        <w:sectPr>
          <w:pgSz w:w="11900" w:h="16838" w:orient="portrait"/>
          <w:cols w:equalWidth="0" w:num="1">
            <w:col w:w="11420"/>
          </w:cols>
          <w:pgMar w:left="240" w:top="351" w:right="239" w:bottom="1440" w:gutter="0" w:footer="0" w:header="0"/>
        </w:sectPr>
      </w:pPr>
    </w:p>
    <w:bookmarkStart w:id="113" w:name="page114"/>
    <w:bookmarkEnd w:id="113"/>
    <w:p>
      <w:pPr>
        <w:jc w:val="right"/>
        <w:spacing w:after="0"/>
        <w:rPr>
          <w:sz w:val="20"/>
          <w:szCs w:val="20"/>
          <w:color w:val="auto"/>
        </w:rPr>
      </w:pPr>
      <w:r>
        <w:rPr>
          <w:rFonts w:ascii="Arial" w:cs="Arial" w:eastAsia="Arial" w:hAnsi="Arial"/>
          <w:sz w:val="18"/>
          <w:szCs w:val="18"/>
          <w:b w:val="1"/>
          <w:bCs w:val="1"/>
          <w:color w:val="auto"/>
        </w:rPr>
        <w:t>Exhibit 32.2</w:t>
      </w:r>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27" w:lineRule="exact"/>
        <w:rPr>
          <w:sz w:val="20"/>
          <w:szCs w:val="20"/>
          <w:color w:val="auto"/>
        </w:rPr>
      </w:pPr>
    </w:p>
    <w:p>
      <w:pPr>
        <w:ind w:left="3440"/>
        <w:spacing w:after="0"/>
        <w:rPr>
          <w:sz w:val="20"/>
          <w:szCs w:val="20"/>
          <w:color w:val="auto"/>
        </w:rPr>
      </w:pPr>
      <w:r>
        <w:rPr>
          <w:rFonts w:ascii="Arial" w:cs="Arial" w:eastAsia="Arial" w:hAnsi="Arial"/>
          <w:sz w:val="18"/>
          <w:szCs w:val="18"/>
          <w:b w:val="1"/>
          <w:bCs w:val="1"/>
          <w:color w:val="auto"/>
        </w:rPr>
        <w:t>18 U.S.C. SECTION 1350, AS ADOPTED PURSUANT TO</w:t>
      </w:r>
    </w:p>
    <w:p>
      <w:pPr>
        <w:spacing w:after="0" w:line="9" w:lineRule="exact"/>
        <w:rPr>
          <w:sz w:val="20"/>
          <w:szCs w:val="20"/>
          <w:color w:val="auto"/>
        </w:rPr>
      </w:pPr>
    </w:p>
    <w:p>
      <w:pPr>
        <w:ind w:left="3380"/>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211" w:lineRule="exact"/>
        <w:rPr>
          <w:sz w:val="20"/>
          <w:szCs w:val="20"/>
          <w:color w:val="auto"/>
        </w:rPr>
      </w:pPr>
    </w:p>
    <w:p>
      <w:pPr>
        <w:jc w:val="both"/>
        <w:ind w:right="40" w:firstLine="518"/>
        <w:spacing w:after="0" w:line="264" w:lineRule="auto"/>
        <w:rPr>
          <w:sz w:val="20"/>
          <w:szCs w:val="20"/>
          <w:color w:val="auto"/>
        </w:rPr>
      </w:pPr>
      <w:r>
        <w:rPr>
          <w:rFonts w:ascii="Arial" w:cs="Arial" w:eastAsia="Arial" w:hAnsi="Arial"/>
          <w:sz w:val="18"/>
          <w:szCs w:val="18"/>
          <w:color w:val="auto"/>
        </w:rPr>
        <w:t>In connection with the quarterly report of Restoration Robotics, Inc. (the “Company”) on Form 10-K for the period ending December 31, 2017 as filed with the Securities and Exchange Commission on the date hereof (the “Report”), I certify, pursuant to 18 U.S.C. Section 1350, as adopted pursuant to Section 906 of the Sarbanes-Oxley Act of 2002, that:</w:t>
      </w:r>
    </w:p>
    <w:p>
      <w:pPr>
        <w:spacing w:after="0" w:line="181" w:lineRule="exact"/>
        <w:rPr>
          <w:sz w:val="20"/>
          <w:szCs w:val="20"/>
          <w:color w:val="auto"/>
        </w:rPr>
      </w:pPr>
    </w:p>
    <w:p>
      <w:pPr>
        <w:ind w:left="1040" w:hanging="519"/>
        <w:spacing w:after="0"/>
        <w:tabs>
          <w:tab w:leader="none" w:pos="1040" w:val="left"/>
        </w:tabs>
        <w:numPr>
          <w:ilvl w:val="0"/>
          <w:numId w:val="62"/>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225" w:lineRule="exact"/>
        <w:rPr>
          <w:rFonts w:ascii="Arial" w:cs="Arial" w:eastAsia="Arial" w:hAnsi="Arial"/>
          <w:sz w:val="18"/>
          <w:szCs w:val="18"/>
          <w:color w:val="auto"/>
        </w:rPr>
      </w:pPr>
    </w:p>
    <w:p>
      <w:pPr>
        <w:ind w:left="1040" w:hanging="519"/>
        <w:spacing w:after="0"/>
        <w:tabs>
          <w:tab w:leader="none" w:pos="1040" w:val="left"/>
        </w:tabs>
        <w:numPr>
          <w:ilvl w:val="0"/>
          <w:numId w:val="62"/>
        </w:numPr>
        <w:rPr>
          <w:rFonts w:ascii="Arial" w:cs="Arial" w:eastAsia="Arial" w:hAnsi="Arial"/>
          <w:sz w:val="16"/>
          <w:szCs w:val="16"/>
          <w:color w:val="auto"/>
        </w:rPr>
      </w:pPr>
      <w:r>
        <w:rPr>
          <w:rFonts w:ascii="Arial" w:cs="Arial" w:eastAsia="Arial" w:hAnsi="Arial"/>
          <w:sz w:val="16"/>
          <w:szCs w:val="16"/>
          <w:color w:val="auto"/>
        </w:rPr>
        <w:t>The information contained in the Report fairly presents, in all material respects, the financial condition and result of operations of the Company.</w:t>
      </w:r>
    </w:p>
    <w:p>
      <w:pPr>
        <w:spacing w:after="0" w:line="289" w:lineRule="exact"/>
        <w:rPr>
          <w:sz w:val="20"/>
          <w:szCs w:val="20"/>
          <w:color w:val="auto"/>
        </w:rPr>
      </w:pPr>
    </w:p>
    <w:p>
      <w:pPr>
        <w:spacing w:after="0"/>
        <w:tabs>
          <w:tab w:leader="none" w:pos="5760" w:val="left"/>
          <w:tab w:leader="none" w:pos="8120" w:val="left"/>
        </w:tabs>
        <w:rPr>
          <w:sz w:val="20"/>
          <w:szCs w:val="20"/>
          <w:color w:val="auto"/>
        </w:rPr>
      </w:pPr>
      <w:r>
        <w:rPr>
          <w:rFonts w:ascii="Arial" w:cs="Arial" w:eastAsia="Arial" w:hAnsi="Arial"/>
          <w:sz w:val="18"/>
          <w:szCs w:val="18"/>
          <w:color w:val="auto"/>
        </w:rPr>
        <w:t>Date: March 5, 2018</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7"/>
          <w:szCs w:val="17"/>
          <w:color w:val="auto"/>
        </w:rPr>
        <w:t>/s/ MARK HAIR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3890010</wp:posOffset>
            </wp:positionH>
            <wp:positionV relativeFrom="paragraph">
              <wp:posOffset>14605</wp:posOffset>
            </wp:positionV>
            <wp:extent cx="3361690" cy="8890"/>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84">
                      <a:extLst>
                        <a:ext uri="{28A0092B-C50C-407E-A947-70E740481C1C}"/>
                      </a:extLst>
                    </a:blip>
                    <a:srcRect/>
                    <a:stretch>
                      <a:fillRect/>
                    </a:stretch>
                  </pic:blipFill>
                  <pic:spPr bwMode="auto">
                    <a:xfrm>
                      <a:off x="0" y="0"/>
                      <a:ext cx="3361690" cy="8890"/>
                    </a:xfrm>
                    <a:prstGeom prst="rect">
                      <a:avLst/>
                    </a:prstGeom>
                    <a:noFill/>
                  </pic:spPr>
                </pic:pic>
              </a:graphicData>
            </a:graphic>
          </wp:anchor>
        </w:drawing>
      </w:r>
    </w:p>
    <w:p>
      <w:pPr>
        <w:spacing w:after="0" w:line="12" w:lineRule="exact"/>
        <w:rPr>
          <w:sz w:val="20"/>
          <w:szCs w:val="20"/>
          <w:color w:val="auto"/>
        </w:rPr>
      </w:pPr>
    </w:p>
    <w:p>
      <w:pPr>
        <w:ind w:left="8060"/>
        <w:spacing w:after="0"/>
        <w:rPr>
          <w:sz w:val="20"/>
          <w:szCs w:val="20"/>
          <w:color w:val="auto"/>
        </w:rPr>
      </w:pPr>
      <w:r>
        <w:rPr>
          <w:rFonts w:ascii="Arial" w:cs="Arial" w:eastAsia="Arial" w:hAnsi="Arial"/>
          <w:sz w:val="18"/>
          <w:szCs w:val="18"/>
          <w:b w:val="1"/>
          <w:bCs w:val="1"/>
          <w:color w:val="auto"/>
        </w:rPr>
        <w:t>Name: Mark Hair</w:t>
      </w:r>
    </w:p>
    <w:p>
      <w:pPr>
        <w:spacing w:after="0" w:line="27" w:lineRule="exact"/>
        <w:rPr>
          <w:sz w:val="20"/>
          <w:szCs w:val="20"/>
          <w:color w:val="auto"/>
        </w:rPr>
      </w:pPr>
    </w:p>
    <w:p>
      <w:pPr>
        <w:ind w:left="7880"/>
        <w:spacing w:after="0"/>
        <w:rPr>
          <w:sz w:val="20"/>
          <w:szCs w:val="20"/>
          <w:color w:val="auto"/>
        </w:rPr>
      </w:pPr>
      <w:r>
        <w:rPr>
          <w:rFonts w:ascii="Arial" w:cs="Arial" w:eastAsia="Arial" w:hAnsi="Arial"/>
          <w:sz w:val="18"/>
          <w:szCs w:val="18"/>
          <w:b w:val="1"/>
          <w:bCs w:val="1"/>
          <w:color w:val="auto"/>
        </w:rPr>
        <w:t>Chief Financial Officer</w:t>
      </w:r>
    </w:p>
    <w:p>
      <w:pPr>
        <w:spacing w:after="0" w:line="23" w:lineRule="exact"/>
        <w:rPr>
          <w:sz w:val="20"/>
          <w:szCs w:val="20"/>
          <w:color w:val="auto"/>
        </w:rPr>
      </w:pPr>
    </w:p>
    <w:p>
      <w:pPr>
        <w:ind w:left="7680"/>
        <w:spacing w:after="0"/>
        <w:rPr>
          <w:sz w:val="20"/>
          <w:szCs w:val="20"/>
          <w:color w:val="auto"/>
        </w:rPr>
      </w:pPr>
      <w:r>
        <w:rPr>
          <w:rFonts w:ascii="Arial" w:cs="Arial" w:eastAsia="Arial" w:hAnsi="Arial"/>
          <w:sz w:val="18"/>
          <w:szCs w:val="18"/>
          <w:b w:val="1"/>
          <w:bCs w:val="1"/>
          <w:color w:val="auto"/>
        </w:rPr>
        <w:t>(Principal Financial Officer)</w:t>
      </w:r>
    </w:p>
    <w:sectPr>
      <w:pgSz w:w="11900" w:h="16838" w:orient="portrait"/>
      <w:cols w:equalWidth="0" w:num="1">
        <w:col w:w="11420"/>
      </w:cols>
      <w:pgMar w:left="240" w:top="351"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37B8DDC"/>
    <w:multiLevelType w:val="hybridMultilevel"/>
    <w:lvl w:ilvl="0">
      <w:lvlJc w:val="left"/>
      <w:lvlText w:val="☒"/>
      <w:numFmt w:val="bullet"/>
      <w:start w:val="1"/>
    </w:lvl>
  </w:abstractNum>
  <w:abstractNum w:abstractNumId="1">
    <w:nsid w:val="6CEAF087"/>
    <w:multiLevelType w:val="hybridMultilevel"/>
    <w:lvl w:ilvl="0">
      <w:lvlJc w:val="left"/>
      <w:lvlText w:val="☐"/>
      <w:numFmt w:val="bullet"/>
      <w:start w:val="1"/>
    </w:lvl>
  </w:abstractNum>
  <w:abstractNum w:abstractNumId="2">
    <w:nsid w:val="22221A70"/>
    <w:multiLevelType w:val="hybridMultilevel"/>
    <w:lvl w:ilvl="0">
      <w:lvlJc w:val="left"/>
      <w:lvlText w:val="•"/>
      <w:numFmt w:val="bullet"/>
      <w:start w:val="1"/>
    </w:lvl>
  </w:abstractNum>
  <w:abstractNum w:abstractNumId="3">
    <w:nsid w:val="4516DDE9"/>
    <w:multiLevelType w:val="hybridMultilevel"/>
    <w:lvl w:ilvl="0">
      <w:lvlJc w:val="left"/>
      <w:lvlText w:val="•"/>
      <w:numFmt w:val="bullet"/>
      <w:start w:val="1"/>
    </w:lvl>
  </w:abstractNum>
  <w:abstractNum w:abstractNumId="4">
    <w:nsid w:val="3006C83E"/>
    <w:multiLevelType w:val="hybridMultilevel"/>
    <w:lvl w:ilvl="0">
      <w:lvlJc w:val="left"/>
      <w:lvlText w:val="•"/>
      <w:numFmt w:val="bullet"/>
      <w:start w:val="1"/>
    </w:lvl>
  </w:abstractNum>
  <w:abstractNum w:abstractNumId="5">
    <w:nsid w:val="614FD4A1"/>
    <w:multiLevelType w:val="hybridMultilevel"/>
    <w:lvl w:ilvl="0">
      <w:lvlJc w:val="left"/>
      <w:lvlText w:val="•"/>
      <w:numFmt w:val="bullet"/>
      <w:start w:val="1"/>
    </w:lvl>
  </w:abstractNum>
  <w:abstractNum w:abstractNumId="6">
    <w:nsid w:val="419AC241"/>
    <w:multiLevelType w:val="hybridMultilevel"/>
    <w:lvl w:ilvl="0">
      <w:lvlJc w:val="left"/>
      <w:lvlText w:val="•"/>
      <w:numFmt w:val="bullet"/>
      <w:start w:val="1"/>
    </w:lvl>
  </w:abstractNum>
  <w:abstractNum w:abstractNumId="7">
    <w:nsid w:val="5577F8E1"/>
    <w:multiLevelType w:val="hybridMultilevel"/>
    <w:lvl w:ilvl="0">
      <w:lvlJc w:val="left"/>
      <w:lvlText w:val="•"/>
      <w:numFmt w:val="bullet"/>
      <w:start w:val="1"/>
    </w:lvl>
  </w:abstractNum>
  <w:abstractNum w:abstractNumId="8">
    <w:nsid w:val="440BADFC"/>
    <w:multiLevelType w:val="hybridMultilevel"/>
    <w:lvl w:ilvl="0">
      <w:lvlJc w:val="left"/>
      <w:lvlText w:val="•"/>
      <w:numFmt w:val="bullet"/>
      <w:start w:val="1"/>
    </w:lvl>
  </w:abstractNum>
  <w:abstractNum w:abstractNumId="9">
    <w:nsid w:val="5072367"/>
    <w:multiLevelType w:val="hybridMultilevel"/>
    <w:lvl w:ilvl="0">
      <w:lvlJc w:val="left"/>
      <w:lvlText w:val="•"/>
      <w:numFmt w:val="bullet"/>
      <w:start w:val="1"/>
    </w:lvl>
  </w:abstractNum>
  <w:abstractNum w:abstractNumId="10">
    <w:nsid w:val="3804823E"/>
    <w:multiLevelType w:val="hybridMultilevel"/>
    <w:lvl w:ilvl="0">
      <w:lvlJc w:val="left"/>
      <w:lvlText w:val="•"/>
      <w:numFmt w:val="bullet"/>
      <w:start w:val="1"/>
    </w:lvl>
  </w:abstractNum>
  <w:abstractNum w:abstractNumId="11">
    <w:nsid w:val="77465F01"/>
    <w:multiLevelType w:val="hybridMultilevel"/>
    <w:lvl w:ilvl="0">
      <w:lvlJc w:val="left"/>
      <w:lvlText w:val="•"/>
      <w:numFmt w:val="bullet"/>
      <w:start w:val="1"/>
    </w:lvl>
  </w:abstractNum>
  <w:abstractNum w:abstractNumId="12">
    <w:nsid w:val="7724C67E"/>
    <w:multiLevelType w:val="hybridMultilevel"/>
    <w:lvl w:ilvl="0">
      <w:lvlJc w:val="left"/>
      <w:lvlText w:val="•"/>
      <w:numFmt w:val="bullet"/>
      <w:start w:val="1"/>
    </w:lvl>
  </w:abstractNum>
  <w:abstractNum w:abstractNumId="13">
    <w:nsid w:val="5C482A97"/>
    <w:multiLevelType w:val="hybridMultilevel"/>
    <w:lvl w:ilvl="0">
      <w:lvlJc w:val="left"/>
      <w:lvlText w:val="•"/>
      <w:numFmt w:val="bullet"/>
      <w:start w:val="1"/>
    </w:lvl>
  </w:abstractNum>
  <w:abstractNum w:abstractNumId="14">
    <w:nsid w:val="2463B9EA"/>
    <w:multiLevelType w:val="hybridMultilevel"/>
    <w:lvl w:ilvl="0">
      <w:lvlJc w:val="left"/>
      <w:lvlText w:val="•"/>
      <w:numFmt w:val="bullet"/>
      <w:start w:val="1"/>
    </w:lvl>
  </w:abstractNum>
  <w:abstractNum w:abstractNumId="15">
    <w:nsid w:val="5E884ADC"/>
    <w:multiLevelType w:val="hybridMultilevel"/>
    <w:lvl w:ilvl="0">
      <w:lvlJc w:val="left"/>
      <w:lvlText w:val="•"/>
      <w:numFmt w:val="bullet"/>
      <w:start w:val="1"/>
    </w:lvl>
  </w:abstractNum>
  <w:abstractNum w:abstractNumId="16">
    <w:nsid w:val="51EAD36B"/>
    <w:multiLevelType w:val="hybridMultilevel"/>
    <w:lvl w:ilvl="0">
      <w:lvlJc w:val="left"/>
      <w:lvlText w:val="•"/>
      <w:numFmt w:val="bullet"/>
      <w:start w:val="1"/>
    </w:lvl>
  </w:abstractNum>
  <w:abstractNum w:abstractNumId="17">
    <w:nsid w:val="2D517796"/>
    <w:multiLevelType w:val="hybridMultilevel"/>
    <w:lvl w:ilvl="0">
      <w:lvlJc w:val="left"/>
      <w:lvlText w:val="•"/>
      <w:numFmt w:val="bullet"/>
      <w:start w:val="1"/>
    </w:lvl>
  </w:abstractNum>
  <w:abstractNum w:abstractNumId="18">
    <w:nsid w:val="580BD78F"/>
    <w:multiLevelType w:val="hybridMultilevel"/>
    <w:lvl w:ilvl="0">
      <w:lvlJc w:val="left"/>
      <w:lvlText w:val="•"/>
      <w:numFmt w:val="bullet"/>
      <w:start w:val="1"/>
    </w:lvl>
  </w:abstractNum>
  <w:abstractNum w:abstractNumId="19">
    <w:nsid w:val="153EA438"/>
    <w:multiLevelType w:val="hybridMultilevel"/>
    <w:lvl w:ilvl="0">
      <w:lvlJc w:val="left"/>
      <w:lvlText w:val="•"/>
      <w:numFmt w:val="bullet"/>
      <w:start w:val="1"/>
    </w:lvl>
  </w:abstractNum>
  <w:abstractNum w:abstractNumId="20">
    <w:nsid w:val="3855585C"/>
    <w:multiLevelType w:val="hybridMultilevel"/>
    <w:lvl w:ilvl="0">
      <w:lvlJc w:val="left"/>
      <w:lvlText w:val="•"/>
      <w:numFmt w:val="bullet"/>
      <w:start w:val="1"/>
    </w:lvl>
  </w:abstractNum>
  <w:abstractNum w:abstractNumId="21">
    <w:nsid w:val="70A64E2A"/>
    <w:multiLevelType w:val="hybridMultilevel"/>
    <w:lvl w:ilvl="0">
      <w:lvlJc w:val="left"/>
      <w:lvlText w:val="•"/>
      <w:numFmt w:val="bullet"/>
      <w:start w:val="1"/>
    </w:lvl>
  </w:abstractNum>
  <w:abstractNum w:abstractNumId="22">
    <w:nsid w:val="6A2342EC"/>
    <w:multiLevelType w:val="hybridMultilevel"/>
    <w:lvl w:ilvl="0">
      <w:lvlJc w:val="left"/>
      <w:lvlText w:val="•"/>
      <w:numFmt w:val="bullet"/>
      <w:start w:val="1"/>
    </w:lvl>
  </w:abstractNum>
  <w:abstractNum w:abstractNumId="23">
    <w:nsid w:val="2A487CB0"/>
    <w:multiLevelType w:val="hybridMultilevel"/>
    <w:lvl w:ilvl="0">
      <w:lvlJc w:val="left"/>
      <w:lvlText w:val="•"/>
      <w:numFmt w:val="bullet"/>
      <w:start w:val="1"/>
    </w:lvl>
  </w:abstractNum>
  <w:abstractNum w:abstractNumId="24">
    <w:nsid w:val="1D4ED43B"/>
    <w:multiLevelType w:val="hybridMultilevel"/>
    <w:lvl w:ilvl="0">
      <w:lvlJc w:val="left"/>
      <w:lvlText w:val="•"/>
      <w:numFmt w:val="bullet"/>
      <w:start w:val="1"/>
    </w:lvl>
  </w:abstractNum>
  <w:abstractNum w:abstractNumId="25">
    <w:nsid w:val="725A06FB"/>
    <w:multiLevelType w:val="hybridMultilevel"/>
    <w:lvl w:ilvl="0">
      <w:lvlJc w:val="left"/>
      <w:lvlText w:val="•"/>
      <w:numFmt w:val="bullet"/>
      <w:start w:val="1"/>
    </w:lvl>
  </w:abstractNum>
  <w:abstractNum w:abstractNumId="26">
    <w:nsid w:val="2CD89A32"/>
    <w:multiLevelType w:val="hybridMultilevel"/>
    <w:lvl w:ilvl="0">
      <w:lvlJc w:val="left"/>
      <w:lvlText w:val="•"/>
      <w:numFmt w:val="bullet"/>
      <w:start w:val="1"/>
    </w:lvl>
  </w:abstractNum>
  <w:abstractNum w:abstractNumId="27">
    <w:nsid w:val="57E4CCAF"/>
    <w:multiLevelType w:val="hybridMultilevel"/>
    <w:lvl w:ilvl="0">
      <w:lvlJc w:val="left"/>
      <w:lvlText w:val="•"/>
      <w:numFmt w:val="bullet"/>
      <w:start w:val="1"/>
    </w:lvl>
  </w:abstractNum>
  <w:abstractNum w:abstractNumId="28">
    <w:nsid w:val="7A6D8D3C"/>
    <w:multiLevelType w:val="hybridMultilevel"/>
    <w:lvl w:ilvl="0">
      <w:lvlJc w:val="left"/>
      <w:lvlText w:val="•"/>
      <w:numFmt w:val="bullet"/>
      <w:start w:val="1"/>
    </w:lvl>
  </w:abstractNum>
  <w:abstractNum w:abstractNumId="29">
    <w:nsid w:val="4B588F54"/>
    <w:multiLevelType w:val="hybridMultilevel"/>
    <w:lvl w:ilvl="0">
      <w:lvlJc w:val="left"/>
      <w:lvlText w:val="•"/>
      <w:numFmt w:val="bullet"/>
      <w:start w:val="1"/>
    </w:lvl>
  </w:abstractNum>
  <w:abstractNum w:abstractNumId="30">
    <w:nsid w:val="542289EC"/>
    <w:multiLevelType w:val="hybridMultilevel"/>
    <w:lvl w:ilvl="0">
      <w:lvlJc w:val="left"/>
      <w:lvlText w:val="•"/>
      <w:numFmt w:val="bullet"/>
      <w:start w:val="1"/>
    </w:lvl>
  </w:abstractNum>
  <w:abstractNum w:abstractNumId="31">
    <w:nsid w:val="6DE91B18"/>
    <w:multiLevelType w:val="hybridMultilevel"/>
    <w:lvl w:ilvl="0">
      <w:lvlJc w:val="left"/>
      <w:lvlText w:val="•"/>
      <w:numFmt w:val="bullet"/>
      <w:start w:val="1"/>
    </w:lvl>
  </w:abstractNum>
  <w:abstractNum w:abstractNumId="32">
    <w:nsid w:val="38437FDB"/>
    <w:multiLevelType w:val="hybridMultilevel"/>
    <w:lvl w:ilvl="0">
      <w:lvlJc w:val="left"/>
      <w:lvlText w:val="•"/>
      <w:numFmt w:val="bullet"/>
      <w:start w:val="1"/>
    </w:lvl>
  </w:abstractNum>
  <w:abstractNum w:abstractNumId="33">
    <w:nsid w:val="7644A45C"/>
    <w:multiLevelType w:val="hybridMultilevel"/>
    <w:lvl w:ilvl="0">
      <w:lvlJc w:val="left"/>
      <w:lvlText w:val="•"/>
      <w:numFmt w:val="bullet"/>
      <w:start w:val="1"/>
    </w:lvl>
  </w:abstractNum>
  <w:abstractNum w:abstractNumId="34">
    <w:nsid w:val="32FFF902"/>
    <w:multiLevelType w:val="hybridMultilevel"/>
    <w:lvl w:ilvl="0">
      <w:lvlJc w:val="left"/>
      <w:lvlText w:val="•"/>
      <w:numFmt w:val="bullet"/>
      <w:start w:val="1"/>
    </w:lvl>
  </w:abstractNum>
  <w:abstractNum w:abstractNumId="35">
    <w:nsid w:val="684A481A"/>
    <w:multiLevelType w:val="hybridMultilevel"/>
    <w:lvl w:ilvl="0">
      <w:lvlJc w:val="left"/>
      <w:lvlText w:val="•"/>
      <w:numFmt w:val="bullet"/>
      <w:start w:val="1"/>
    </w:lvl>
  </w:abstractNum>
  <w:abstractNum w:abstractNumId="36">
    <w:nsid w:val="579478FE"/>
    <w:multiLevelType w:val="hybridMultilevel"/>
    <w:lvl w:ilvl="0">
      <w:lvlJc w:val="left"/>
      <w:lvlText w:val="•"/>
      <w:numFmt w:val="bullet"/>
      <w:start w:val="1"/>
    </w:lvl>
  </w:abstractNum>
  <w:abstractNum w:abstractNumId="37">
    <w:nsid w:val="749ABB43"/>
    <w:multiLevelType w:val="hybridMultilevel"/>
    <w:lvl w:ilvl="0">
      <w:lvlJc w:val="left"/>
      <w:lvlText w:val="•"/>
      <w:numFmt w:val="bullet"/>
      <w:start w:val="1"/>
    </w:lvl>
  </w:abstractNum>
  <w:abstractNum w:abstractNumId="38">
    <w:nsid w:val="3DC240FB"/>
    <w:multiLevelType w:val="hybridMultilevel"/>
    <w:lvl w:ilvl="0">
      <w:lvlJc w:val="left"/>
      <w:lvlText w:val="•"/>
      <w:numFmt w:val="bullet"/>
      <w:start w:val="1"/>
    </w:lvl>
  </w:abstractNum>
  <w:abstractNum w:abstractNumId="39">
    <w:nsid w:val="1BA026FA"/>
    <w:multiLevelType w:val="hybridMultilevel"/>
    <w:lvl w:ilvl="0">
      <w:lvlJc w:val="left"/>
      <w:lvlText w:val="•"/>
      <w:numFmt w:val="bullet"/>
      <w:start w:val="1"/>
    </w:lvl>
  </w:abstractNum>
  <w:abstractNum w:abstractNumId="40">
    <w:nsid w:val="79A1DEAA"/>
    <w:multiLevelType w:val="hybridMultilevel"/>
    <w:lvl w:ilvl="0">
      <w:lvlJc w:val="left"/>
      <w:lvlText w:val="•"/>
      <w:numFmt w:val="bullet"/>
      <w:start w:val="1"/>
    </w:lvl>
  </w:abstractNum>
  <w:abstractNum w:abstractNumId="41">
    <w:nsid w:val="75C6C33A"/>
    <w:multiLevelType w:val="hybridMultilevel"/>
    <w:lvl w:ilvl="0">
      <w:lvlJc w:val="left"/>
      <w:lvlText w:val="•"/>
      <w:numFmt w:val="bullet"/>
      <w:start w:val="1"/>
    </w:lvl>
  </w:abstractNum>
  <w:abstractNum w:abstractNumId="42">
    <w:nsid w:val="12E685FB"/>
    <w:multiLevelType w:val="hybridMultilevel"/>
    <w:lvl w:ilvl="0">
      <w:lvlJc w:val="left"/>
      <w:lvlText w:val="•"/>
      <w:numFmt w:val="bullet"/>
      <w:start w:val="1"/>
    </w:lvl>
  </w:abstractNum>
  <w:abstractNum w:abstractNumId="43">
    <w:nsid w:val="70C6A529"/>
    <w:multiLevelType w:val="hybridMultilevel"/>
    <w:lvl w:ilvl="0">
      <w:lvlJc w:val="left"/>
      <w:lvlText w:val="•"/>
      <w:numFmt w:val="bullet"/>
      <w:start w:val="1"/>
    </w:lvl>
  </w:abstractNum>
  <w:abstractNum w:abstractNumId="44">
    <w:nsid w:val="520EEDD1"/>
    <w:multiLevelType w:val="hybridMultilevel"/>
    <w:lvl w:ilvl="0">
      <w:lvlJc w:val="left"/>
      <w:lvlText w:val="(%1)"/>
      <w:numFmt w:val="decimal"/>
      <w:start w:val="1"/>
    </w:lvl>
  </w:abstractNum>
  <w:abstractNum w:abstractNumId="45">
    <w:nsid w:val="374A3FE6"/>
    <w:multiLevelType w:val="hybridMultilevel"/>
    <w:lvl w:ilvl="0">
      <w:lvlJc w:val="left"/>
      <w:lvlText w:val="(%1)"/>
      <w:numFmt w:val="decimal"/>
      <w:start w:val="2"/>
    </w:lvl>
  </w:abstractNum>
  <w:abstractNum w:abstractNumId="46">
    <w:nsid w:val="4F4EF005"/>
    <w:multiLevelType w:val="hybridMultilevel"/>
    <w:lvl w:ilvl="0">
      <w:lvlJc w:val="left"/>
      <w:lvlText w:val="•"/>
      <w:numFmt w:val="bullet"/>
      <w:start w:val="1"/>
    </w:lvl>
  </w:abstractNum>
  <w:abstractNum w:abstractNumId="47">
    <w:nsid w:val="23F9C13C"/>
    <w:multiLevelType w:val="hybridMultilevel"/>
    <w:lvl w:ilvl="0">
      <w:lvlJc w:val="left"/>
      <w:lvlText w:val="•"/>
      <w:numFmt w:val="bullet"/>
      <w:start w:val="1"/>
    </w:lvl>
  </w:abstractNum>
  <w:abstractNum w:abstractNumId="48">
    <w:nsid w:val="649BB77C"/>
    <w:multiLevelType w:val="hybridMultilevel"/>
    <w:lvl w:ilvl="0">
      <w:lvlJc w:val="left"/>
      <w:lvlText w:val="•"/>
      <w:numFmt w:val="bullet"/>
      <w:start w:val="1"/>
    </w:lvl>
  </w:abstractNum>
  <w:abstractNum w:abstractNumId="49">
    <w:nsid w:val="275AC794"/>
    <w:multiLevelType w:val="hybridMultilevel"/>
    <w:lvl w:ilvl="0">
      <w:lvlJc w:val="left"/>
      <w:lvlText w:val="•"/>
      <w:numFmt w:val="bullet"/>
      <w:start w:val="1"/>
    </w:lvl>
  </w:abstractNum>
  <w:abstractNum w:abstractNumId="50">
    <w:nsid w:val="39386575"/>
    <w:multiLevelType w:val="hybridMultilevel"/>
    <w:lvl w:ilvl="0">
      <w:lvlJc w:val="left"/>
      <w:lvlText w:val="•"/>
      <w:numFmt w:val="bullet"/>
      <w:start w:val="1"/>
    </w:lvl>
  </w:abstractNum>
  <w:abstractNum w:abstractNumId="51">
    <w:nsid w:val="1CF10FD8"/>
    <w:multiLevelType w:val="hybridMultilevel"/>
    <w:lvl w:ilvl="0">
      <w:lvlJc w:val="left"/>
      <w:lvlText w:val="(%1)"/>
      <w:numFmt w:val="decimal"/>
      <w:start w:val="1"/>
    </w:lvl>
  </w:abstractNum>
  <w:abstractNum w:abstractNumId="52">
    <w:nsid w:val="180115BE"/>
    <w:multiLevelType w:val="hybridMultilevel"/>
    <w:lvl w:ilvl="0">
      <w:lvlJc w:val="left"/>
      <w:lvlText w:val="•"/>
      <w:numFmt w:val="bullet"/>
      <w:start w:val="1"/>
    </w:lvl>
  </w:abstractNum>
  <w:abstractNum w:abstractNumId="53">
    <w:nsid w:val="235BA861"/>
    <w:multiLevelType w:val="hybridMultilevel"/>
    <w:lvl w:ilvl="0">
      <w:lvlJc w:val="left"/>
      <w:lvlText w:val="*"/>
      <w:numFmt w:val="bullet"/>
      <w:start w:val="1"/>
    </w:lvl>
  </w:abstractNum>
  <w:abstractNum w:abstractNumId="54">
    <w:nsid w:val="47398C89"/>
    <w:multiLevelType w:val="hybridMultilevel"/>
    <w:lvl w:ilvl="0">
      <w:lvlJc w:val="left"/>
      <w:lvlText w:val="(%1)"/>
      <w:numFmt w:val="lowerLetter"/>
      <w:start w:val="1"/>
    </w:lvl>
  </w:abstractNum>
  <w:abstractNum w:abstractNumId="55">
    <w:nsid w:val="354FE9F9"/>
    <w:multiLevelType w:val="hybridMultilevel"/>
    <w:lvl w:ilvl="0">
      <w:lvlJc w:val="left"/>
      <w:lvlText w:val="#"/>
      <w:numFmt w:val="bullet"/>
      <w:start w:val="1"/>
    </w:lvl>
  </w:abstractNum>
  <w:abstractNum w:abstractNumId="56">
    <w:nsid w:val="15B5AF5C"/>
    <w:multiLevelType w:val="hybridMultilevel"/>
    <w:lvl w:ilvl="0">
      <w:lvlJc w:val="left"/>
      <w:lvlText w:val="†"/>
      <w:numFmt w:val="bullet"/>
      <w:start w:val="1"/>
    </w:lvl>
  </w:abstractNum>
  <w:abstractNum w:abstractNumId="57">
    <w:nsid w:val="741226BB"/>
    <w:multiLevelType w:val="hybridMultilevel"/>
    <w:lvl w:ilvl="0">
      <w:lvlJc w:val="left"/>
      <w:lvlText w:val="*"/>
      <w:numFmt w:val="bullet"/>
      <w:start w:val="1"/>
    </w:lvl>
  </w:abstractNum>
  <w:abstractNum w:abstractNumId="58">
    <w:nsid w:val="D34B6A8"/>
    <w:multiLevelType w:val="hybridMultilevel"/>
    <w:lvl w:ilvl="0">
      <w:lvlJc w:val="left"/>
      <w:lvlText w:val="%1."/>
      <w:numFmt w:val="decimal"/>
      <w:start w:val="1"/>
    </w:lvl>
    <w:lvl w:ilvl="1">
      <w:lvlJc w:val="left"/>
      <w:lvlText w:val="(%2)"/>
      <w:numFmt w:val="lowerLetter"/>
      <w:start w:val="1"/>
    </w:lvl>
  </w:abstractNum>
  <w:abstractNum w:abstractNumId="59">
    <w:nsid w:val="10233C99"/>
    <w:multiLevelType w:val="hybridMultilevel"/>
    <w:lvl w:ilvl="0">
      <w:lvlJc w:val="left"/>
      <w:lvlText w:val="%1."/>
      <w:numFmt w:val="decimal"/>
      <w:start w:val="1"/>
    </w:lvl>
    <w:lvl w:ilvl="1">
      <w:lvlJc w:val="left"/>
      <w:lvlText w:val="(%2)"/>
      <w:numFmt w:val="lowerLetter"/>
      <w:start w:val="1"/>
    </w:lvl>
  </w:abstractNum>
  <w:abstractNum w:abstractNumId="60">
    <w:nsid w:val="3F6AB60F"/>
    <w:multiLevelType w:val="hybridMultilevel"/>
    <w:lvl w:ilvl="0">
      <w:lvlJc w:val="left"/>
      <w:lvlText w:val="(%1)"/>
      <w:numFmt w:val="decimal"/>
      <w:start w:val="1"/>
    </w:lvl>
  </w:abstractNum>
  <w:abstractNum w:abstractNumId="61">
    <w:nsid w:val="61574095"/>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jpe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jpe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jpeg"/><Relationship Id="rId30" Type="http://schemas.openxmlformats.org/officeDocument/2006/relationships/image" Target="media/image23.png"/><Relationship Id="rId31" Type="http://schemas.openxmlformats.org/officeDocument/2006/relationships/image" Target="media/image24.jpeg"/><Relationship Id="rId32" Type="http://schemas.openxmlformats.org/officeDocument/2006/relationships/image" Target="media/image25.jpeg"/><Relationship Id="rId33" Type="http://schemas.openxmlformats.org/officeDocument/2006/relationships/image" Target="media/image26.png"/><Relationship Id="rId34" Type="http://schemas.openxmlformats.org/officeDocument/2006/relationships/image" Target="media/image27.jpe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jpe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51" Type="http://schemas.openxmlformats.org/officeDocument/2006/relationships/image" Target="media/image128.png"/><Relationship Id="rId172" Type="http://schemas.openxmlformats.org/officeDocument/2006/relationships/image" Target="media/image129.png"/><Relationship Id="rId177" Type="http://schemas.openxmlformats.org/officeDocument/2006/relationships/image" Target="media/image130.png"/><Relationship Id="rId178" Type="http://schemas.openxmlformats.org/officeDocument/2006/relationships/image" Target="media/image131.png"/><Relationship Id="rId179" Type="http://schemas.openxmlformats.org/officeDocument/2006/relationships/image" Target="media/image132.png"/><Relationship Id="rId180" Type="http://schemas.openxmlformats.org/officeDocument/2006/relationships/image" Target="media/image133.png"/><Relationship Id="rId181" Type="http://schemas.openxmlformats.org/officeDocument/2006/relationships/image" Target="media/image134.png"/><Relationship Id="rId182" Type="http://schemas.openxmlformats.org/officeDocument/2006/relationships/image" Target="media/image135.png"/><Relationship Id="rId183" Type="http://schemas.openxmlformats.org/officeDocument/2006/relationships/image" Target="media/image136.png"/><Relationship Id="rId184" Type="http://schemas.openxmlformats.org/officeDocument/2006/relationships/image" Target="media/image137.png"/><Relationship Id="rId135" Type="http://schemas.openxmlformats.org/officeDocument/2006/relationships/hyperlink" Target="http://www.sec.gov/Archives/edgar/data/1409269/000119312517311810/d448597dex31.htm" TargetMode="External"/><Relationship Id="rId136" Type="http://schemas.openxmlformats.org/officeDocument/2006/relationships/hyperlink" Target="http://www.sec.gov/Archives/edgar/data/1409269/000119312517311810/d448597dex32.htm" TargetMode="External"/><Relationship Id="rId137" Type="http://schemas.openxmlformats.org/officeDocument/2006/relationships/hyperlink" Target="http://www.sec.gov/Archives/edgar/data/1409269/000119312517286792/d412930dex42.htm" TargetMode="External"/><Relationship Id="rId138" Type="http://schemas.openxmlformats.org/officeDocument/2006/relationships/hyperlink" Target="http://www.sec.gov/Archives/edgar/data/1409269/000119312517275553/d412930dex1010.htm" TargetMode="External"/><Relationship Id="rId139" Type="http://schemas.openxmlformats.org/officeDocument/2006/relationships/hyperlink" Target="http://www.sec.gov/Archives/edgar/data/1409269/000119312517275553/d412930dex1011.htm" TargetMode="External"/><Relationship Id="rId140" Type="http://schemas.openxmlformats.org/officeDocument/2006/relationships/hyperlink" Target="http://www.sec.gov/Archives/edgar/data/1409269/000119312517275553/d412930dex1012.htm" TargetMode="External"/><Relationship Id="rId141" Type="http://schemas.openxmlformats.org/officeDocument/2006/relationships/hyperlink" Target="http://www.sec.gov/Archives/edgar/data/1409269/000119312517275553/d412930dex1013.htm" TargetMode="External"/><Relationship Id="rId142" Type="http://schemas.openxmlformats.org/officeDocument/2006/relationships/hyperlink" Target="http://www.sec.gov/Archives/edgar/data/1409269/000119312517275553/d412930dex1014.htm" TargetMode="External"/><Relationship Id="rId143" Type="http://schemas.openxmlformats.org/officeDocument/2006/relationships/hyperlink" Target="http://www.sec.gov/Archives/edgar/data/1409269/000119312517275553/d412930dex1015.htm" TargetMode="External"/><Relationship Id="rId144" Type="http://schemas.openxmlformats.org/officeDocument/2006/relationships/hyperlink" Target="http://www.sec.gov/Archives/edgar/data/1409269/000119312517275553/d412930dex1016.htm" TargetMode="External"/><Relationship Id="rId145" Type="http://schemas.openxmlformats.org/officeDocument/2006/relationships/hyperlink" Target="http://www.sec.gov/Archives/edgar/data/1409269/000119312517275553/d412930dex1017.htm" TargetMode="External"/><Relationship Id="rId146" Type="http://schemas.openxmlformats.org/officeDocument/2006/relationships/hyperlink" Target="http://www.sec.gov/Archives/edgar/data/1409269/000119312517275553/d412930dex1018.htm" TargetMode="External"/><Relationship Id="rId147" Type="http://schemas.openxmlformats.org/officeDocument/2006/relationships/hyperlink" Target="http://www.sec.gov/Archives/edgar/data/1409269/000119312517275553/d412930dex101.htm" TargetMode="External"/><Relationship Id="rId148" Type="http://schemas.openxmlformats.org/officeDocument/2006/relationships/hyperlink" Target="http://www.sec.gov/Archives/edgar/data/1409269/000119312517275553/d412930dex102.htm" TargetMode="External"/><Relationship Id="rId149" Type="http://schemas.openxmlformats.org/officeDocument/2006/relationships/hyperlink" Target="http://www.sec.gov/Archives/edgar/data/1409269/000119312517275553/d412930dex103.htm" TargetMode="External"/><Relationship Id="rId150" Type="http://schemas.openxmlformats.org/officeDocument/2006/relationships/hyperlink" Target="http://www.sec.gov/Archives/edgar/data/1409269/000119312517275553/d412930dex104.htm" TargetMode="External"/><Relationship Id="rId152" Type="http://schemas.openxmlformats.org/officeDocument/2006/relationships/hyperlink" Target="http://www.sec.gov/Archives/edgar/data/1409269/000119312517275553/d412930dex105.htm" TargetMode="External"/><Relationship Id="rId153" Type="http://schemas.openxmlformats.org/officeDocument/2006/relationships/hyperlink" Target="http://www.sec.gov/Archives/edgar/data/1409269/000119312517275553/d412930dex106.htm" TargetMode="External"/><Relationship Id="rId154" Type="http://schemas.openxmlformats.org/officeDocument/2006/relationships/hyperlink" Target="http://www.sec.gov/Archives/edgar/data/1409269/000119312517291521/d412930dex107.htm" TargetMode="External"/><Relationship Id="rId155" Type="http://schemas.openxmlformats.org/officeDocument/2006/relationships/hyperlink" Target="http://www.sec.gov/Archives/edgar/data/1409269/000119312517291521/d412930dex108.htm" TargetMode="External"/><Relationship Id="rId156" Type="http://schemas.openxmlformats.org/officeDocument/2006/relationships/hyperlink" Target="http://www.sec.gov/Archives/edgar/data/1409269/000119312517291521/d412930dex109.htm" TargetMode="External"/><Relationship Id="rId157" Type="http://schemas.openxmlformats.org/officeDocument/2006/relationships/hyperlink" Target="http://www.sec.gov/Archives/edgar/data/1409269/000119312517311891/d468785dex991.htm" TargetMode="External"/><Relationship Id="rId158" Type="http://schemas.openxmlformats.org/officeDocument/2006/relationships/hyperlink" Target="http://www.sec.gov/Archives/edgar/data/1409269/000119312517275553/d412930dex1020.htm" TargetMode="External"/><Relationship Id="rId159" Type="http://schemas.openxmlformats.org/officeDocument/2006/relationships/hyperlink" Target="http://www.sec.gov/Archives/edgar/data/1409269/000119312517275553/d412930dex1021.htm" TargetMode="External"/><Relationship Id="rId160" Type="http://schemas.openxmlformats.org/officeDocument/2006/relationships/hyperlink" Target="http://www.sec.gov/Archives/edgar/data/1409269/000119312517311891/d468785dex994.htm" TargetMode="External"/><Relationship Id="rId161" Type="http://schemas.openxmlformats.org/officeDocument/2006/relationships/hyperlink" Target="http://www.sec.gov/Archives/edgar/data/1409269/000119312517275553/d412930dex1023.htm" TargetMode="External"/><Relationship Id="rId162" Type="http://schemas.openxmlformats.org/officeDocument/2006/relationships/hyperlink" Target="http://www.sec.gov/Archives/edgar/data/1409269/000119312517275553/d412930dex1024.htm" TargetMode="External"/><Relationship Id="rId163" Type="http://schemas.openxmlformats.org/officeDocument/2006/relationships/hyperlink" Target="http://www.sec.gov/Archives/edgar/data/1409269/000119312517311891/d468785dex997.htm" TargetMode="External"/><Relationship Id="rId164" Type="http://schemas.openxmlformats.org/officeDocument/2006/relationships/hyperlink" Target="http://www.sec.gov/Archives/edgar/data/1409269/000119312517286792/d412930dex1026.htm" TargetMode="External"/><Relationship Id="rId165" Type="http://schemas.openxmlformats.org/officeDocument/2006/relationships/hyperlink" Target="http://www.sec.gov/Archives/edgar/data/1409269/000119312517286792/d412930dex1027.htm" TargetMode="External"/><Relationship Id="rId166" Type="http://schemas.openxmlformats.org/officeDocument/2006/relationships/hyperlink" Target="http://www.sec.gov/Archives/edgar/data/1409269/000119312517286792/d412930dex1028.htm" TargetMode="External"/><Relationship Id="rId167" Type="http://schemas.openxmlformats.org/officeDocument/2006/relationships/hyperlink" Target="http://www.sec.gov/Archives/edgar/data/1409269/000119312517311891/d468785dex9911.htm" TargetMode="External"/><Relationship Id="rId168" Type="http://schemas.openxmlformats.org/officeDocument/2006/relationships/hyperlink" Target="http://www.sec.gov/Archives/edgar/data/1409269/000119312517275553/d412930dex1030.htm" TargetMode="External"/><Relationship Id="rId169" Type="http://schemas.openxmlformats.org/officeDocument/2006/relationships/hyperlink" Target="http://www.sec.gov/Archives/edgar/data/1409269/000119312517275553/d412930dex1031.htm" TargetMode="External"/><Relationship Id="rId170" Type="http://schemas.openxmlformats.org/officeDocument/2006/relationships/hyperlink" Target="http://www.sec.gov/Archives/edgar/data/1409269/000119312517275553/d412930dex1032.htm" TargetMode="External"/><Relationship Id="rId171" Type="http://schemas.openxmlformats.org/officeDocument/2006/relationships/hyperlink" Target="http://www.sec.gov/Archives/edgar/data/1409269/000119312517275553/d412930dex1033.htm" TargetMode="External"/><Relationship Id="rId173" Type="http://schemas.openxmlformats.org/officeDocument/2006/relationships/hyperlink" Target="http://www.sec.gov/Archives/edgar/data/1409269/000119312517275553/d412930dex1034.htm" TargetMode="External"/><Relationship Id="rId174" Type="http://schemas.openxmlformats.org/officeDocument/2006/relationships/hyperlink" Target="http://www.sec.gov/Archives/edgar/data/1409269/000119312517366367/d506279dex101.htm" TargetMode="External"/><Relationship Id="rId175" Type="http://schemas.openxmlformats.org/officeDocument/2006/relationships/hyperlink" Target="http://www.sec.gov/Archives/edgar/data/1409269/000119312517286792/d412930dex1035.htm" TargetMode="External"/><Relationship Id="rId176" Type="http://schemas.openxmlformats.org/officeDocument/2006/relationships/hyperlink" Target="http://www.sec.gov/Archives/edgar/data/1409269/000119312517286792/d412930dex1036.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2019-12-29T01:22:26Z</dcterms:created>
  <dcterms:modified xsi:type="dcterms:W3CDTF">2019-12-29T01:22:26Z</dcterms:modified>
</cp:coreProperties>
</file>