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186055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5"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36195</wp:posOffset>
            </wp:positionV>
            <wp:extent cx="14401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64"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56515</wp:posOffset>
            </wp:positionV>
            <wp:extent cx="14401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104" w:lineRule="exact"/>
        <w:rPr>
          <w:sz w:val="24"/>
          <w:szCs w:val="24"/>
          <w:color w:val="auto"/>
        </w:rPr>
      </w:pPr>
    </w:p>
    <w:p>
      <w:pPr>
        <w:ind w:left="8"/>
        <w:spacing w:after="0"/>
        <w:rPr>
          <w:sz w:val="20"/>
          <w:szCs w:val="20"/>
          <w:color w:val="auto"/>
        </w:rPr>
      </w:pPr>
      <w:r>
        <w:rPr>
          <w:rFonts w:ascii="Arial" w:cs="Arial" w:eastAsia="Arial" w:hAnsi="Arial"/>
          <w:sz w:val="10"/>
          <w:szCs w:val="10"/>
          <w:b w:val="1"/>
          <w:bCs w:val="1"/>
          <w:color w:val="auto"/>
        </w:rPr>
        <w:t>(Mark One)</w:t>
      </w:r>
    </w:p>
    <w:p>
      <w:pPr>
        <w:ind w:left="508" w:hanging="508"/>
        <w:spacing w:after="0"/>
        <w:tabs>
          <w:tab w:leader="none" w:pos="508"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57785" cy="584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785" cy="5842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left="508" w:hanging="508"/>
        <w:spacing w:after="0"/>
        <w:tabs>
          <w:tab w:leader="none" w:pos="508" w:val="left"/>
        </w:tabs>
        <w:numPr>
          <w:ilvl w:val="0"/>
          <w:numId w:val="2"/>
        </w:numPr>
        <w:rPr>
          <w:rFonts w:ascii="MS PGothic" w:cs="MS PGothic" w:eastAsia="MS PGothic" w:hAnsi="MS PGothic"/>
          <w:sz w:val="12"/>
          <w:szCs w:val="12"/>
          <w:color w:val="auto"/>
        </w:rPr>
      </w:pPr>
      <w:r>
        <w:rPr>
          <w:rFonts w:ascii="Arial" w:cs="Arial" w:eastAsia="Arial" w:hAnsi="Arial"/>
          <w:sz w:val="12"/>
          <w:szCs w:val="1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785" cy="58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785" cy="58420"/>
                    </a:xfrm>
                    <a:prstGeom prst="rect">
                      <a:avLst/>
                    </a:prstGeom>
                    <a:noFill/>
                  </pic:spPr>
                </pic:pic>
              </a:graphicData>
            </a:graphic>
          </wp:anchor>
        </w:drawing>
      </w:r>
    </w:p>
    <w:p>
      <w:pPr>
        <w:spacing w:after="0" w:line="31" w:lineRule="exact"/>
        <w:rPr>
          <w:sz w:val="24"/>
          <w:szCs w:val="24"/>
          <w:color w:val="auto"/>
        </w:rPr>
      </w:pPr>
    </w:p>
    <w:tbl>
      <w:tblPr>
        <w:tblLayout w:type="fixed"/>
        <w:tblInd w:w="8" w:type="dxa"/>
        <w:tblCellMar>
          <w:top w:w="0" w:type="dxa"/>
          <w:left w:w="0" w:type="dxa"/>
          <w:bottom w:w="0" w:type="dxa"/>
          <w:right w:w="0" w:type="dxa"/>
        </w:tblCellMar>
      </w:tblPr>
      <w:tr>
        <w:trPr>
          <w:trHeight w:val="157"/>
        </w:trPr>
        <w:tc>
          <w:tcPr>
            <w:tcW w:w="3480" w:type="dxa"/>
            <w:vAlign w:val="bottom"/>
          </w:tcPr>
          <w:p>
            <w:pPr>
              <w:spacing w:after="0"/>
              <w:rPr>
                <w:sz w:val="13"/>
                <w:szCs w:val="13"/>
                <w:color w:val="auto"/>
              </w:rPr>
            </w:pPr>
          </w:p>
        </w:tc>
        <w:tc>
          <w:tcPr>
            <w:tcW w:w="4340" w:type="dxa"/>
            <w:vAlign w:val="bottom"/>
            <w:gridSpan w:val="7"/>
          </w:tcPr>
          <w:p>
            <w:pPr>
              <w:jc w:val="center"/>
              <w:spacing w:after="0"/>
              <w:rPr>
                <w:sz w:val="20"/>
                <w:szCs w:val="20"/>
                <w:color w:val="auto"/>
              </w:rPr>
            </w:pPr>
            <w:r>
              <w:rPr>
                <w:rFonts w:ascii="Arial" w:cs="Arial" w:eastAsia="Arial" w:hAnsi="Arial"/>
                <w:sz w:val="12"/>
                <w:szCs w:val="12"/>
                <w:b w:val="1"/>
                <w:bCs w:val="1"/>
                <w:color w:val="auto"/>
                <w:w w:val="90"/>
              </w:rPr>
              <w:t>For the transition period from ____________ to ____________</w:t>
            </w:r>
          </w:p>
        </w:tc>
        <w:tc>
          <w:tcPr>
            <w:tcW w:w="3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80" w:type="dxa"/>
            <w:vAlign w:val="bottom"/>
            <w:gridSpan w:val="4"/>
          </w:tcPr>
          <w:p>
            <w:pPr>
              <w:jc w:val="center"/>
              <w:ind w:right="1160"/>
              <w:spacing w:after="0"/>
              <w:rPr>
                <w:sz w:val="20"/>
                <w:szCs w:val="20"/>
                <w:color w:val="auto"/>
              </w:rPr>
            </w:pPr>
            <w:r>
              <w:rPr>
                <w:rFonts w:ascii="Arial" w:cs="Arial" w:eastAsia="Arial" w:hAnsi="Arial"/>
                <w:sz w:val="12"/>
                <w:szCs w:val="12"/>
                <w:b w:val="1"/>
                <w:bCs w:val="1"/>
                <w:color w:val="auto"/>
                <w:w w:val="90"/>
              </w:rPr>
              <w:t>Commission File Number: 001-38238</w:t>
            </w: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34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40" w:type="dxa"/>
            <w:vAlign w:val="bottom"/>
          </w:tcPr>
          <w:p>
            <w:pPr>
              <w:spacing w:after="0"/>
              <w:rPr>
                <w:sz w:val="6"/>
                <w:szCs w:val="6"/>
                <w:color w:val="auto"/>
              </w:rPr>
            </w:pPr>
          </w:p>
        </w:tc>
        <w:tc>
          <w:tcPr>
            <w:tcW w:w="3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4"/>
        </w:trPr>
        <w:tc>
          <w:tcPr>
            <w:tcW w:w="3480" w:type="dxa"/>
            <w:vAlign w:val="bottom"/>
          </w:tcPr>
          <w:p>
            <w:pPr>
              <w:spacing w:after="0"/>
              <w:rPr>
                <w:sz w:val="24"/>
                <w:szCs w:val="24"/>
                <w:color w:val="auto"/>
              </w:rPr>
            </w:pPr>
          </w:p>
        </w:tc>
        <w:tc>
          <w:tcPr>
            <w:tcW w:w="4340" w:type="dxa"/>
            <w:vAlign w:val="bottom"/>
            <w:gridSpan w:val="7"/>
          </w:tcPr>
          <w:p>
            <w:pPr>
              <w:jc w:val="center"/>
              <w:spacing w:after="0"/>
              <w:rPr>
                <w:sz w:val="20"/>
                <w:szCs w:val="20"/>
                <w:color w:val="auto"/>
              </w:rPr>
            </w:pPr>
            <w:r>
              <w:rPr>
                <w:rFonts w:ascii="Arial" w:cs="Arial" w:eastAsia="Arial" w:hAnsi="Arial"/>
                <w:sz w:val="29"/>
                <w:szCs w:val="29"/>
                <w:b w:val="1"/>
                <w:bCs w:val="1"/>
                <w:color w:val="auto"/>
                <w:w w:val="88"/>
              </w:rPr>
              <w:t>Venus Concept Inc.</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480" w:type="dxa"/>
            <w:vAlign w:val="bottom"/>
          </w:tcPr>
          <w:p>
            <w:pPr>
              <w:spacing w:after="0"/>
              <w:rPr>
                <w:sz w:val="13"/>
                <w:szCs w:val="13"/>
                <w:color w:val="auto"/>
              </w:rPr>
            </w:pPr>
          </w:p>
        </w:tc>
        <w:tc>
          <w:tcPr>
            <w:tcW w:w="4340" w:type="dxa"/>
            <w:vAlign w:val="bottom"/>
            <w:gridSpan w:val="7"/>
          </w:tcPr>
          <w:p>
            <w:pPr>
              <w:jc w:val="center"/>
              <w:ind w:right="20"/>
              <w:spacing w:after="0"/>
              <w:rPr>
                <w:sz w:val="20"/>
                <w:szCs w:val="20"/>
                <w:color w:val="auto"/>
              </w:rPr>
            </w:pPr>
            <w:r>
              <w:rPr>
                <w:rFonts w:ascii="Arial" w:cs="Arial" w:eastAsia="Arial" w:hAnsi="Arial"/>
                <w:sz w:val="12"/>
                <w:szCs w:val="12"/>
                <w:b w:val="1"/>
                <w:bCs w:val="1"/>
                <w:color w:val="auto"/>
                <w:w w:val="90"/>
              </w:rPr>
              <w:t>(Exact Name of Registrant as Specified in its Charter)</w:t>
            </w:r>
          </w:p>
        </w:tc>
        <w:tc>
          <w:tcPr>
            <w:tcW w:w="3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3480" w:type="dxa"/>
            <w:vAlign w:val="bottom"/>
            <w:vMerge w:val="restart"/>
          </w:tcPr>
          <w:p>
            <w:pPr>
              <w:jc w:val="center"/>
              <w:ind w:left="2110"/>
              <w:spacing w:after="0"/>
              <w:rPr>
                <w:sz w:val="20"/>
                <w:szCs w:val="20"/>
                <w:color w:val="auto"/>
              </w:rPr>
            </w:pPr>
            <w:r>
              <w:rPr>
                <w:rFonts w:ascii="Arial" w:cs="Arial" w:eastAsia="Arial" w:hAnsi="Arial"/>
                <w:sz w:val="12"/>
                <w:szCs w:val="12"/>
                <w:b w:val="1"/>
                <w:bCs w:val="1"/>
                <w:color w:val="auto"/>
                <w:w w:val="91"/>
              </w:rPr>
              <w:t>Delaware</w:t>
            </w: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Pr>
          <w:p>
            <w:pPr>
              <w:spacing w:after="0"/>
              <w:rPr>
                <w:sz w:val="5"/>
                <w:szCs w:val="5"/>
                <w:color w:val="auto"/>
              </w:rPr>
            </w:pPr>
          </w:p>
        </w:tc>
        <w:tc>
          <w:tcPr>
            <w:tcW w:w="3480" w:type="dxa"/>
            <w:vAlign w:val="bottom"/>
            <w:vMerge w:val="restart"/>
          </w:tcPr>
          <w:p>
            <w:pPr>
              <w:jc w:val="center"/>
              <w:ind w:right="2128"/>
              <w:spacing w:after="0"/>
              <w:rPr>
                <w:sz w:val="20"/>
                <w:szCs w:val="20"/>
                <w:color w:val="auto"/>
              </w:rPr>
            </w:pPr>
            <w:r>
              <w:rPr>
                <w:rFonts w:ascii="Arial" w:cs="Arial" w:eastAsia="Arial" w:hAnsi="Arial"/>
                <w:sz w:val="12"/>
                <w:szCs w:val="12"/>
                <w:b w:val="1"/>
                <w:bCs w:val="1"/>
                <w:color w:val="auto"/>
                <w:w w:val="90"/>
              </w:rPr>
              <w:t>06-1681204</w:t>
            </w:r>
          </w:p>
        </w:tc>
        <w:tc>
          <w:tcPr>
            <w:tcW w:w="0" w:type="dxa"/>
            <w:vAlign w:val="bottom"/>
          </w:tcPr>
          <w:p>
            <w:pPr>
              <w:spacing w:after="0"/>
              <w:rPr>
                <w:sz w:val="1"/>
                <w:szCs w:val="1"/>
                <w:color w:val="auto"/>
              </w:rPr>
            </w:pPr>
          </w:p>
        </w:tc>
      </w:tr>
      <w:tr>
        <w:trPr>
          <w:trHeight w:val="176"/>
        </w:trPr>
        <w:tc>
          <w:tcPr>
            <w:tcW w:w="348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3480" w:type="dxa"/>
            <w:vAlign w:val="bottom"/>
          </w:tcPr>
          <w:p>
            <w:pPr>
              <w:jc w:val="center"/>
              <w:ind w:left="2110"/>
              <w:spacing w:after="0" w:line="90" w:lineRule="exact"/>
              <w:rPr>
                <w:sz w:val="20"/>
                <w:szCs w:val="20"/>
                <w:color w:val="auto"/>
              </w:rPr>
            </w:pPr>
            <w:r>
              <w:rPr>
                <w:rFonts w:ascii="Arial" w:cs="Arial" w:eastAsia="Arial" w:hAnsi="Arial"/>
                <w:sz w:val="8"/>
                <w:szCs w:val="8"/>
                <w:b w:val="1"/>
                <w:bCs w:val="1"/>
                <w:color w:val="auto"/>
                <w:w w:val="94"/>
              </w:rPr>
              <w:t>(State or other jurisdiction of</w:t>
            </w: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480" w:type="dxa"/>
            <w:vAlign w:val="bottom"/>
          </w:tcPr>
          <w:p>
            <w:pPr>
              <w:jc w:val="center"/>
              <w:ind w:right="2128"/>
              <w:spacing w:after="0" w:line="90" w:lineRule="exact"/>
              <w:rPr>
                <w:sz w:val="20"/>
                <w:szCs w:val="20"/>
                <w:color w:val="auto"/>
              </w:rPr>
            </w:pPr>
            <w:r>
              <w:rPr>
                <w:rFonts w:ascii="Arial" w:cs="Arial" w:eastAsia="Arial" w:hAnsi="Arial"/>
                <w:sz w:val="8"/>
                <w:szCs w:val="8"/>
                <w:b w:val="1"/>
                <w:bCs w:val="1"/>
                <w:color w:val="auto"/>
              </w:rPr>
              <w:t>(I.R.S. Employer</w:t>
            </w:r>
          </w:p>
        </w:tc>
        <w:tc>
          <w:tcPr>
            <w:tcW w:w="0" w:type="dxa"/>
            <w:vAlign w:val="bottom"/>
          </w:tcPr>
          <w:p>
            <w:pPr>
              <w:spacing w:after="0"/>
              <w:rPr>
                <w:sz w:val="1"/>
                <w:szCs w:val="1"/>
                <w:color w:val="auto"/>
              </w:rPr>
            </w:pPr>
          </w:p>
        </w:tc>
      </w:tr>
      <w:tr>
        <w:trPr>
          <w:trHeight w:val="107"/>
        </w:trPr>
        <w:tc>
          <w:tcPr>
            <w:tcW w:w="3480" w:type="dxa"/>
            <w:vAlign w:val="bottom"/>
          </w:tcPr>
          <w:p>
            <w:pPr>
              <w:jc w:val="center"/>
              <w:ind w:left="2110"/>
              <w:spacing w:after="0"/>
              <w:rPr>
                <w:sz w:val="20"/>
                <w:szCs w:val="20"/>
                <w:color w:val="auto"/>
              </w:rPr>
            </w:pPr>
            <w:r>
              <w:rPr>
                <w:rFonts w:ascii="Arial" w:cs="Arial" w:eastAsia="Arial" w:hAnsi="Arial"/>
                <w:sz w:val="8"/>
                <w:szCs w:val="8"/>
                <w:b w:val="1"/>
                <w:bCs w:val="1"/>
                <w:color w:val="auto"/>
                <w:w w:val="94"/>
              </w:rPr>
              <w:t>incorporation or organization)</w:t>
            </w: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80" w:type="dxa"/>
            <w:vAlign w:val="bottom"/>
          </w:tcPr>
          <w:p>
            <w:pPr>
              <w:jc w:val="center"/>
              <w:ind w:right="2128"/>
              <w:spacing w:after="0"/>
              <w:rPr>
                <w:sz w:val="20"/>
                <w:szCs w:val="20"/>
                <w:color w:val="auto"/>
              </w:rPr>
            </w:pPr>
            <w:r>
              <w:rPr>
                <w:rFonts w:ascii="Arial" w:cs="Arial" w:eastAsia="Arial" w:hAnsi="Arial"/>
                <w:sz w:val="8"/>
                <w:szCs w:val="8"/>
                <w:b w:val="1"/>
                <w:bCs w:val="1"/>
                <w:color w:val="auto"/>
                <w:w w:val="97"/>
              </w:rPr>
              <w:t>Identification No.)</w:t>
            </w:r>
          </w:p>
        </w:tc>
        <w:tc>
          <w:tcPr>
            <w:tcW w:w="0" w:type="dxa"/>
            <w:vAlign w:val="bottom"/>
          </w:tcPr>
          <w:p>
            <w:pPr>
              <w:spacing w:after="0"/>
              <w:rPr>
                <w:sz w:val="1"/>
                <w:szCs w:val="1"/>
                <w:color w:val="auto"/>
              </w:rPr>
            </w:pPr>
          </w:p>
        </w:tc>
      </w:tr>
      <w:tr>
        <w:trPr>
          <w:trHeight w:val="179"/>
        </w:trPr>
        <w:tc>
          <w:tcPr>
            <w:tcW w:w="3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80" w:type="dxa"/>
            <w:vAlign w:val="bottom"/>
            <w:gridSpan w:val="4"/>
          </w:tcPr>
          <w:p>
            <w:pPr>
              <w:jc w:val="center"/>
              <w:ind w:right="1180"/>
              <w:spacing w:after="0"/>
              <w:rPr>
                <w:sz w:val="20"/>
                <w:szCs w:val="20"/>
                <w:color w:val="auto"/>
              </w:rPr>
            </w:pPr>
            <w:r>
              <w:rPr>
                <w:rFonts w:ascii="Arial" w:cs="Arial" w:eastAsia="Arial" w:hAnsi="Arial"/>
                <w:sz w:val="12"/>
                <w:szCs w:val="12"/>
                <w:b w:val="1"/>
                <w:bCs w:val="1"/>
                <w:color w:val="auto"/>
                <w:w w:val="91"/>
              </w:rPr>
              <w:t>235 Yorkland Blvd., Suite 900</w:t>
            </w:r>
          </w:p>
        </w:tc>
        <w:tc>
          <w:tcPr>
            <w:tcW w:w="3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80" w:type="dxa"/>
            <w:vAlign w:val="bottom"/>
            <w:gridSpan w:val="4"/>
          </w:tcPr>
          <w:p>
            <w:pPr>
              <w:jc w:val="center"/>
              <w:ind w:right="1160"/>
              <w:spacing w:after="0"/>
              <w:rPr>
                <w:sz w:val="20"/>
                <w:szCs w:val="20"/>
                <w:color w:val="auto"/>
              </w:rPr>
            </w:pPr>
            <w:r>
              <w:rPr>
                <w:rFonts w:ascii="Arial" w:cs="Arial" w:eastAsia="Arial" w:hAnsi="Arial"/>
                <w:sz w:val="12"/>
                <w:szCs w:val="12"/>
                <w:b w:val="1"/>
                <w:bCs w:val="1"/>
                <w:color w:val="auto"/>
                <w:w w:val="94"/>
              </w:rPr>
              <w:t>Toronto, Ontario M2J 4Y8</w:t>
            </w:r>
          </w:p>
        </w:tc>
        <w:tc>
          <w:tcPr>
            <w:tcW w:w="3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480" w:type="dxa"/>
            <w:vAlign w:val="bottom"/>
          </w:tcPr>
          <w:p>
            <w:pPr>
              <w:spacing w:after="0"/>
              <w:rPr>
                <w:sz w:val="12"/>
                <w:szCs w:val="12"/>
                <w:color w:val="auto"/>
              </w:rPr>
            </w:pPr>
          </w:p>
        </w:tc>
        <w:tc>
          <w:tcPr>
            <w:tcW w:w="2960" w:type="dxa"/>
            <w:vAlign w:val="bottom"/>
            <w:gridSpan w:val="4"/>
          </w:tcPr>
          <w:p>
            <w:pPr>
              <w:jc w:val="center"/>
              <w:ind w:left="1287"/>
              <w:spacing w:after="0"/>
              <w:rPr>
                <w:sz w:val="20"/>
                <w:szCs w:val="20"/>
                <w:color w:val="auto"/>
              </w:rPr>
            </w:pPr>
            <w:r>
              <w:rPr>
                <w:rFonts w:ascii="Arial" w:cs="Arial" w:eastAsia="Arial" w:hAnsi="Arial"/>
                <w:sz w:val="12"/>
                <w:szCs w:val="12"/>
                <w:b w:val="1"/>
                <w:bCs w:val="1"/>
                <w:color w:val="auto"/>
                <w:w w:val="92"/>
              </w:rPr>
              <w:t>(877) 848-8430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3480" w:type="dxa"/>
            <w:vAlign w:val="bottom"/>
          </w:tcPr>
          <w:p>
            <w:pPr>
              <w:spacing w:after="0"/>
              <w:rPr>
                <w:sz w:val="9"/>
                <w:szCs w:val="9"/>
                <w:color w:val="auto"/>
              </w:rPr>
            </w:pPr>
          </w:p>
        </w:tc>
        <w:tc>
          <w:tcPr>
            <w:tcW w:w="4340" w:type="dxa"/>
            <w:vAlign w:val="bottom"/>
            <w:gridSpan w:val="7"/>
          </w:tcPr>
          <w:p>
            <w:pPr>
              <w:jc w:val="center"/>
              <w:ind w:right="20"/>
              <w:spacing w:after="0"/>
              <w:rPr>
                <w:sz w:val="20"/>
                <w:szCs w:val="20"/>
                <w:color w:val="auto"/>
              </w:rPr>
            </w:pPr>
            <w:r>
              <w:rPr>
                <w:rFonts w:ascii="Arial" w:cs="Arial" w:eastAsia="Arial" w:hAnsi="Arial"/>
                <w:sz w:val="8"/>
                <w:szCs w:val="8"/>
                <w:b w:val="1"/>
                <w:bCs w:val="1"/>
                <w:color w:val="auto"/>
                <w:w w:val="93"/>
              </w:rPr>
              <w:t>(Address including zip code, and telephone number including area code, of registrant’s principal executive offices)</w:t>
            </w:r>
          </w:p>
        </w:tc>
        <w:tc>
          <w:tcPr>
            <w:tcW w:w="3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34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Pr>
          <w:p>
            <w:pPr>
              <w:spacing w:after="0"/>
              <w:rPr>
                <w:sz w:val="5"/>
                <w:szCs w:val="5"/>
                <w:color w:val="auto"/>
              </w:rPr>
            </w:pPr>
          </w:p>
        </w:tc>
        <w:tc>
          <w:tcPr>
            <w:tcW w:w="3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3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20" w:type="dxa"/>
            <w:vAlign w:val="bottom"/>
            <w:gridSpan w:val="5"/>
          </w:tcPr>
          <w:p>
            <w:pPr>
              <w:ind w:left="80"/>
              <w:spacing w:after="0"/>
              <w:rPr>
                <w:sz w:val="20"/>
                <w:szCs w:val="20"/>
                <w:color w:val="auto"/>
              </w:rPr>
            </w:pPr>
            <w:r>
              <w:rPr>
                <w:rFonts w:ascii="Arial" w:cs="Arial" w:eastAsia="Arial" w:hAnsi="Arial"/>
                <w:sz w:val="11"/>
                <w:szCs w:val="11"/>
                <w:b w:val="1"/>
                <w:bCs w:val="1"/>
                <w:color w:val="auto"/>
              </w:rPr>
              <w:t>Securities registered pursuant to Section 12(b) of the Act:</w:t>
            </w: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480" w:type="dxa"/>
            <w:vAlign w:val="bottom"/>
          </w:tcPr>
          <w:p>
            <w:pPr>
              <w:jc w:val="center"/>
              <w:ind w:left="950"/>
              <w:spacing w:after="0"/>
              <w:rPr>
                <w:sz w:val="20"/>
                <w:szCs w:val="20"/>
                <w:color w:val="auto"/>
              </w:rPr>
            </w:pPr>
            <w:r>
              <w:rPr>
                <w:rFonts w:ascii="Arial" w:cs="Arial" w:eastAsia="Arial" w:hAnsi="Arial"/>
                <w:sz w:val="11"/>
                <w:szCs w:val="11"/>
                <w:b w:val="1"/>
                <w:bCs w:val="1"/>
                <w:color w:val="auto"/>
                <w:w w:val="84"/>
              </w:rPr>
              <w:t>Title of each class</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gridSpan w:val="4"/>
          </w:tcPr>
          <w:p>
            <w:pPr>
              <w:jc w:val="center"/>
              <w:ind w:right="1380"/>
              <w:spacing w:after="0"/>
              <w:rPr>
                <w:sz w:val="20"/>
                <w:szCs w:val="20"/>
                <w:color w:val="auto"/>
              </w:rPr>
            </w:pPr>
            <w:r>
              <w:rPr>
                <w:rFonts w:ascii="Arial" w:cs="Arial" w:eastAsia="Arial" w:hAnsi="Arial"/>
                <w:sz w:val="11"/>
                <w:szCs w:val="11"/>
                <w:b w:val="1"/>
                <w:bCs w:val="1"/>
                <w:color w:val="auto"/>
                <w:w w:val="91"/>
              </w:rPr>
              <w:t>Trading Symbol</w:t>
            </w:r>
          </w:p>
        </w:tc>
        <w:tc>
          <w:tcPr>
            <w:tcW w:w="3480" w:type="dxa"/>
            <w:vAlign w:val="bottom"/>
          </w:tcPr>
          <w:p>
            <w:pPr>
              <w:ind w:left="120"/>
              <w:spacing w:after="0"/>
              <w:rPr>
                <w:sz w:val="20"/>
                <w:szCs w:val="20"/>
                <w:color w:val="auto"/>
              </w:rPr>
            </w:pPr>
            <w:r>
              <w:rPr>
                <w:rFonts w:ascii="Arial" w:cs="Arial" w:eastAsia="Arial" w:hAnsi="Arial"/>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22"/>
        </w:trPr>
        <w:tc>
          <w:tcPr>
            <w:tcW w:w="3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3480" w:type="dxa"/>
            <w:vAlign w:val="bottom"/>
          </w:tcPr>
          <w:p>
            <w:pPr>
              <w:jc w:val="center"/>
              <w:ind w:left="950"/>
              <w:spacing w:after="0"/>
              <w:rPr>
                <w:sz w:val="20"/>
                <w:szCs w:val="20"/>
                <w:color w:val="auto"/>
              </w:rPr>
            </w:pPr>
            <w:r>
              <w:rPr>
                <w:rFonts w:ascii="Arial" w:cs="Arial" w:eastAsia="Arial" w:hAnsi="Arial"/>
                <w:sz w:val="11"/>
                <w:szCs w:val="11"/>
                <w:color w:val="auto"/>
                <w:w w:val="87"/>
              </w:rPr>
              <w:t>Common Stock, $0.0001 par value per share</w:t>
            </w: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80" w:type="dxa"/>
            <w:vAlign w:val="bottom"/>
            <w:gridSpan w:val="4"/>
          </w:tcPr>
          <w:p>
            <w:pPr>
              <w:jc w:val="center"/>
              <w:ind w:right="1380"/>
              <w:spacing w:after="0"/>
              <w:rPr>
                <w:sz w:val="20"/>
                <w:szCs w:val="20"/>
                <w:color w:val="auto"/>
              </w:rPr>
            </w:pPr>
            <w:r>
              <w:rPr>
                <w:rFonts w:ascii="Arial" w:cs="Arial" w:eastAsia="Arial" w:hAnsi="Arial"/>
                <w:sz w:val="11"/>
                <w:szCs w:val="11"/>
                <w:color w:val="auto"/>
                <w:w w:val="89"/>
              </w:rPr>
              <w:t>VERO</w:t>
            </w:r>
          </w:p>
        </w:tc>
        <w:tc>
          <w:tcPr>
            <w:tcW w:w="3480" w:type="dxa"/>
            <w:vAlign w:val="bottom"/>
          </w:tcPr>
          <w:p>
            <w:pPr>
              <w:ind w:left="460"/>
              <w:spacing w:after="0"/>
              <w:rPr>
                <w:sz w:val="20"/>
                <w:szCs w:val="20"/>
                <w:color w:val="auto"/>
              </w:rPr>
            </w:pPr>
            <w:r>
              <w:rPr>
                <w:rFonts w:ascii="Arial" w:cs="Arial" w:eastAsia="Arial" w:hAnsi="Arial"/>
                <w:sz w:val="12"/>
                <w:szCs w:val="12"/>
                <w:color w:val="auto"/>
              </w:rPr>
              <w:t>The Nasdaq Global Market</w:t>
            </w:r>
          </w:p>
        </w:tc>
        <w:tc>
          <w:tcPr>
            <w:tcW w:w="0" w:type="dxa"/>
            <w:vAlign w:val="bottom"/>
          </w:tcPr>
          <w:p>
            <w:pPr>
              <w:spacing w:after="0"/>
              <w:rPr>
                <w:sz w:val="1"/>
                <w:szCs w:val="1"/>
                <w:color w:val="auto"/>
              </w:rPr>
            </w:pPr>
          </w:p>
        </w:tc>
      </w:tr>
    </w:tbl>
    <w:p>
      <w:pPr>
        <w:spacing w:after="0" w:line="67" w:lineRule="exact"/>
        <w:rPr>
          <w:sz w:val="24"/>
          <w:szCs w:val="24"/>
          <w:color w:val="auto"/>
        </w:rPr>
      </w:pPr>
    </w:p>
    <w:p>
      <w:pPr>
        <w:jc w:val="both"/>
        <w:ind w:left="8" w:right="20" w:firstLine="513"/>
        <w:spacing w:after="0" w:line="14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37" w:lineRule="exact"/>
        <w:rPr>
          <w:sz w:val="24"/>
          <w:szCs w:val="24"/>
          <w:color w:val="auto"/>
        </w:rPr>
      </w:pPr>
    </w:p>
    <w:p>
      <w:pPr>
        <w:ind w:left="8" w:right="140" w:firstLine="513"/>
        <w:spacing w:after="0" w:line="149"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28" w:lineRule="exact"/>
        <w:rPr>
          <w:sz w:val="24"/>
          <w:szCs w:val="24"/>
          <w:color w:val="auto"/>
        </w:rPr>
      </w:pPr>
    </w:p>
    <w:p>
      <w:pPr>
        <w:ind w:left="8" w:right="240" w:firstLine="513"/>
        <w:spacing w:after="0" w:line="274"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8" w:type="dxa"/>
        <w:tblCellMar>
          <w:top w:w="0" w:type="dxa"/>
          <w:left w:w="0" w:type="dxa"/>
          <w:bottom w:w="0" w:type="dxa"/>
          <w:right w:w="0" w:type="dxa"/>
        </w:tblCellMar>
      </w:tblPr>
      <w:tr>
        <w:trPr>
          <w:trHeight w:val="168"/>
        </w:trPr>
        <w:tc>
          <w:tcPr>
            <w:tcW w:w="160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3900" w:type="dxa"/>
            <w:vAlign w:val="bottom"/>
          </w:tcPr>
          <w:p>
            <w:pPr>
              <w:ind w:left="640"/>
              <w:spacing w:after="0" w:line="111" w:lineRule="exact"/>
              <w:rPr>
                <w:sz w:val="20"/>
                <w:szCs w:val="20"/>
                <w:color w:val="auto"/>
              </w:rPr>
            </w:pPr>
            <w:r>
              <w:rPr>
                <w:rFonts w:ascii="MS PGothic" w:cs="MS PGothic" w:eastAsia="MS PGothic" w:hAnsi="MS PGothic"/>
                <w:sz w:val="11"/>
                <w:szCs w:val="11"/>
                <w:color w:val="auto"/>
              </w:rPr>
              <w:t>☐</w:t>
            </w:r>
          </w:p>
        </w:tc>
        <w:tc>
          <w:tcPr>
            <w:tcW w:w="4960" w:type="dxa"/>
            <w:vAlign w:val="bottom"/>
          </w:tcPr>
          <w:p>
            <w:pPr>
              <w:ind w:left="3180"/>
              <w:spacing w:after="0"/>
              <w:rPr>
                <w:sz w:val="20"/>
                <w:szCs w:val="20"/>
                <w:color w:val="auto"/>
              </w:rPr>
            </w:pPr>
            <w:r>
              <w:rPr>
                <w:rFonts w:ascii="Arial" w:cs="Arial" w:eastAsia="Arial" w:hAnsi="Arial"/>
                <w:sz w:val="11"/>
                <w:szCs w:val="11"/>
                <w:color w:val="auto"/>
              </w:rPr>
              <w:t>Accelerated filer</w:t>
            </w:r>
          </w:p>
        </w:tc>
        <w:tc>
          <w:tcPr>
            <w:tcW w:w="680" w:type="dxa"/>
            <w:vAlign w:val="bottom"/>
          </w:tcPr>
          <w:p>
            <w:pPr>
              <w:ind w:left="600"/>
              <w:spacing w:after="0" w:line="81" w:lineRule="exact"/>
              <w:rPr>
                <w:sz w:val="20"/>
                <w:szCs w:val="20"/>
                <w:color w:val="auto"/>
              </w:rPr>
            </w:pPr>
            <w:r>
              <w:rPr>
                <w:rFonts w:ascii="MS PGothic" w:cs="MS PGothic" w:eastAsia="MS PGothic" w:hAnsi="MS PGothic"/>
                <w:sz w:val="8"/>
                <w:szCs w:val="8"/>
                <w:color w:val="auto"/>
                <w:w w:val="74"/>
              </w:rPr>
              <w:t>☐</w:t>
            </w:r>
          </w:p>
        </w:tc>
      </w:tr>
      <w:tr>
        <w:trPr>
          <w:trHeight w:val="174"/>
        </w:trPr>
        <w:tc>
          <w:tcPr>
            <w:tcW w:w="1600" w:type="dxa"/>
            <w:vAlign w:val="bottom"/>
          </w:tcPr>
          <w:p>
            <w:pPr>
              <w:spacing w:after="0"/>
              <w:rPr>
                <w:sz w:val="20"/>
                <w:szCs w:val="20"/>
                <w:color w:val="auto"/>
              </w:rPr>
            </w:pPr>
            <w:r>
              <w:rPr>
                <w:rFonts w:ascii="Arial" w:cs="Arial" w:eastAsia="Arial" w:hAnsi="Arial"/>
                <w:sz w:val="11"/>
                <w:szCs w:val="11"/>
                <w:color w:val="auto"/>
              </w:rPr>
              <w:t>Non-accelerated filer</w:t>
            </w:r>
          </w:p>
        </w:tc>
        <w:tc>
          <w:tcPr>
            <w:tcW w:w="3900" w:type="dxa"/>
            <w:vAlign w:val="bottom"/>
          </w:tcPr>
          <w:p>
            <w:pPr>
              <w:ind w:left="640"/>
              <w:spacing w:after="0" w:line="111" w:lineRule="exact"/>
              <w:rPr>
                <w:sz w:val="20"/>
                <w:szCs w:val="20"/>
                <w:color w:val="auto"/>
              </w:rPr>
            </w:pPr>
            <w:r>
              <w:rPr>
                <w:rFonts w:ascii="MS PGothic" w:cs="MS PGothic" w:eastAsia="MS PGothic" w:hAnsi="MS PGothic"/>
                <w:sz w:val="11"/>
                <w:szCs w:val="11"/>
                <w:color w:val="auto"/>
              </w:rPr>
              <w:t>☒</w:t>
            </w:r>
          </w:p>
        </w:tc>
        <w:tc>
          <w:tcPr>
            <w:tcW w:w="4960" w:type="dxa"/>
            <w:vAlign w:val="bottom"/>
          </w:tcPr>
          <w:p>
            <w:pPr>
              <w:ind w:left="3180"/>
              <w:spacing w:after="0"/>
              <w:rPr>
                <w:sz w:val="20"/>
                <w:szCs w:val="20"/>
                <w:color w:val="auto"/>
              </w:rPr>
            </w:pPr>
            <w:r>
              <w:rPr>
                <w:rFonts w:ascii="Arial" w:cs="Arial" w:eastAsia="Arial" w:hAnsi="Arial"/>
                <w:sz w:val="11"/>
                <w:szCs w:val="11"/>
                <w:color w:val="auto"/>
              </w:rPr>
              <w:t>Smaller reporting company</w:t>
            </w:r>
          </w:p>
        </w:tc>
        <w:tc>
          <w:tcPr>
            <w:tcW w:w="680" w:type="dxa"/>
            <w:vAlign w:val="bottom"/>
          </w:tcPr>
          <w:p>
            <w:pPr>
              <w:ind w:left="600"/>
              <w:spacing w:after="0" w:line="81" w:lineRule="exact"/>
              <w:rPr>
                <w:sz w:val="20"/>
                <w:szCs w:val="20"/>
                <w:color w:val="auto"/>
              </w:rPr>
            </w:pPr>
            <w:r>
              <w:rPr>
                <w:rFonts w:ascii="MS PGothic" w:cs="MS PGothic" w:eastAsia="MS PGothic" w:hAnsi="MS PGothic"/>
                <w:sz w:val="8"/>
                <w:szCs w:val="8"/>
                <w:color w:val="auto"/>
                <w:w w:val="74"/>
              </w:rPr>
              <w:t>☒</w:t>
            </w:r>
          </w:p>
        </w:tc>
      </w:tr>
      <w:tr>
        <w:trPr>
          <w:trHeight w:val="168"/>
        </w:trPr>
        <w:tc>
          <w:tcPr>
            <w:tcW w:w="16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960" w:type="dxa"/>
            <w:vAlign w:val="bottom"/>
          </w:tcPr>
          <w:p>
            <w:pPr>
              <w:ind w:left="3180"/>
              <w:spacing w:after="0"/>
              <w:rPr>
                <w:sz w:val="20"/>
                <w:szCs w:val="20"/>
                <w:color w:val="auto"/>
              </w:rPr>
            </w:pPr>
            <w:r>
              <w:rPr>
                <w:rFonts w:ascii="Arial" w:cs="Arial" w:eastAsia="Arial" w:hAnsi="Arial"/>
                <w:sz w:val="11"/>
                <w:szCs w:val="11"/>
                <w:color w:val="auto"/>
              </w:rPr>
              <w:t>Emerging growth company</w:t>
            </w:r>
          </w:p>
        </w:tc>
        <w:tc>
          <w:tcPr>
            <w:tcW w:w="680" w:type="dxa"/>
            <w:vAlign w:val="bottom"/>
          </w:tcPr>
          <w:p>
            <w:pPr>
              <w:ind w:left="600"/>
              <w:spacing w:after="0" w:line="81" w:lineRule="exact"/>
              <w:rPr>
                <w:sz w:val="20"/>
                <w:szCs w:val="20"/>
                <w:color w:val="auto"/>
              </w:rPr>
            </w:pPr>
            <w:r>
              <w:rPr>
                <w:rFonts w:ascii="MS PGothic" w:cs="MS PGothic" w:eastAsia="MS PGothic" w:hAnsi="MS PGothic"/>
                <w:sz w:val="8"/>
                <w:szCs w:val="8"/>
                <w:color w:val="auto"/>
                <w:w w:val="74"/>
              </w:rPr>
              <w:t>☒</w:t>
            </w:r>
          </w:p>
        </w:tc>
      </w:tr>
    </w:tbl>
    <w:p>
      <w:pPr>
        <w:spacing w:after="0" w:line="41" w:lineRule="exact"/>
        <w:rPr>
          <w:sz w:val="24"/>
          <w:szCs w:val="24"/>
          <w:color w:val="auto"/>
        </w:rPr>
      </w:pPr>
    </w:p>
    <w:p>
      <w:pPr>
        <w:ind w:left="508"/>
        <w:spacing w:after="0"/>
        <w:rPr>
          <w:sz w:val="20"/>
          <w:szCs w:val="20"/>
          <w:color w:val="auto"/>
        </w:rPr>
      </w:pPr>
      <w:r>
        <w:rPr>
          <w:rFonts w:ascii="Arial" w:cs="Arial" w:eastAsia="Arial" w:hAnsi="Arial"/>
          <w:sz w:val="9"/>
          <w:szCs w:val="9"/>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33" w:lineRule="exact"/>
        <w:rPr>
          <w:sz w:val="24"/>
          <w:szCs w:val="24"/>
          <w:color w:val="auto"/>
        </w:rPr>
      </w:pPr>
    </w:p>
    <w:p>
      <w:pPr>
        <w:ind w:left="8"/>
        <w:spacing w:after="0" w:line="127" w:lineRule="exact"/>
        <w:rPr>
          <w:sz w:val="20"/>
          <w:szCs w:val="20"/>
          <w:color w:val="auto"/>
        </w:rPr>
      </w:pPr>
      <w:r>
        <w:rPr>
          <w:rFonts w:ascii="Arial" w:cs="Arial" w:eastAsia="Arial" w:hAnsi="Arial"/>
          <w:sz w:val="11"/>
          <w:szCs w:val="11"/>
          <w:color w:val="auto"/>
        </w:rPr>
        <w:t xml:space="preserve">Act. </w:t>
      </w:r>
      <w:r>
        <w:rPr>
          <w:rFonts w:ascii="MS PGothic" w:cs="MS PGothic" w:eastAsia="MS PGothic" w:hAnsi="MS PGothic"/>
          <w:sz w:val="11"/>
          <w:szCs w:val="11"/>
          <w:color w:val="auto"/>
        </w:rPr>
        <w:t>☐</w:t>
      </w:r>
    </w:p>
    <w:p>
      <w:pPr>
        <w:spacing w:after="0" w:line="26" w:lineRule="exact"/>
        <w:rPr>
          <w:sz w:val="24"/>
          <w:szCs w:val="24"/>
          <w:color w:val="auto"/>
        </w:rPr>
      </w:pPr>
    </w:p>
    <w:p>
      <w:pPr>
        <w:ind w:left="508" w:right="5080"/>
        <w:spacing w:after="0" w:line="181" w:lineRule="exact"/>
        <w:rPr>
          <w:sz w:val="20"/>
          <w:szCs w:val="20"/>
          <w:color w:val="auto"/>
        </w:rPr>
      </w:pPr>
      <w:r>
        <w:rPr>
          <w:rFonts w:ascii="Arial" w:cs="Arial" w:eastAsia="Arial" w:hAnsi="Arial"/>
          <w:sz w:val="10"/>
          <w:szCs w:val="10"/>
          <w:color w:val="auto"/>
        </w:rPr>
        <w:t xml:space="preserve">Indicate by check mark whether the registrant is a shell company (as defined in Rule 12b-2 of the Exchange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r>
        <w:rPr>
          <w:rFonts w:ascii="Arial" w:cs="Arial" w:eastAsia="Arial" w:hAnsi="Arial"/>
          <w:sz w:val="10"/>
          <w:szCs w:val="10"/>
          <w:color w:val="auto"/>
        </w:rPr>
        <w:t xml:space="preserve"> As of May 8, 2020, the registrant had 32,210,142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53975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259715</wp:posOffset>
            </wp:positionV>
            <wp:extent cx="718947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328"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57"/>
        </w:trPr>
        <w:tc>
          <w:tcPr>
            <w:tcW w:w="940" w:type="dxa"/>
            <w:vAlign w:val="bottom"/>
          </w:tcPr>
          <w:p>
            <w:pPr>
              <w:spacing w:after="0"/>
              <w:rPr>
                <w:sz w:val="13"/>
                <w:szCs w:val="13"/>
                <w:color w:val="auto"/>
              </w:rPr>
            </w:pPr>
          </w:p>
        </w:tc>
        <w:tc>
          <w:tcPr>
            <w:tcW w:w="9680" w:type="dxa"/>
            <w:vAlign w:val="bottom"/>
          </w:tcPr>
          <w:p>
            <w:pPr>
              <w:ind w:left="4260"/>
              <w:spacing w:after="0"/>
              <w:rPr>
                <w:sz w:val="20"/>
                <w:szCs w:val="20"/>
                <w:color w:val="auto"/>
              </w:rPr>
            </w:pPr>
            <w:r>
              <w:rPr>
                <w:rFonts w:ascii="Arial" w:cs="Arial" w:eastAsia="Arial" w:hAnsi="Arial"/>
                <w:sz w:val="12"/>
                <w:szCs w:val="12"/>
                <w:b w:val="1"/>
                <w:bCs w:val="1"/>
                <w:color w:val="auto"/>
              </w:rPr>
              <w:t>Table of Contents</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940" w:type="dxa"/>
            <w:vAlign w:val="bottom"/>
            <w:vMerge w:val="restart"/>
          </w:tcPr>
          <w:p>
            <w:pPr>
              <w:spacing w:after="0"/>
              <w:rPr>
                <w:sz w:val="20"/>
                <w:szCs w:val="20"/>
                <w:color w:val="auto"/>
              </w:rPr>
            </w:pPr>
            <w:r>
              <w:rPr>
                <w:rFonts w:ascii="Arial" w:cs="Arial" w:eastAsia="Arial" w:hAnsi="Arial"/>
                <w:sz w:val="12"/>
                <w:szCs w:val="12"/>
                <w:b w:val="1"/>
                <w:bCs w:val="1"/>
                <w:color w:val="auto"/>
              </w:rPr>
              <w:t>Part I.</w:t>
            </w:r>
          </w:p>
        </w:tc>
        <w:tc>
          <w:tcPr>
            <w:tcW w:w="9680" w:type="dxa"/>
            <w:vAlign w:val="bottom"/>
            <w:vMerge w:val="restart"/>
          </w:tcPr>
          <w:p>
            <w:pPr>
              <w:ind w:left="42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Financial Information</w:t>
              </w:r>
            </w:hyperlink>
          </w:p>
        </w:tc>
        <w:tc>
          <w:tcPr>
            <w:tcW w:w="700" w:type="dxa"/>
            <w:vAlign w:val="bottom"/>
            <w:gridSpan w:val="2"/>
          </w:tcPr>
          <w:p>
            <w:pPr>
              <w:ind w:left="240"/>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9680" w:type="dxa"/>
            <w:vAlign w:val="bottom"/>
            <w:vMerge w:val="continue"/>
          </w:tcPr>
          <w:p>
            <w:pPr>
              <w:spacing w:after="0"/>
              <w:rPr>
                <w:sz w:val="10"/>
                <w:szCs w:val="10"/>
                <w:color w:val="auto"/>
              </w:rPr>
            </w:pPr>
          </w:p>
        </w:tc>
        <w:tc>
          <w:tcPr>
            <w:tcW w:w="68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2"/>
                <w:szCs w:val="12"/>
                <w:color w:val="auto"/>
              </w:rPr>
              <w:t>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20"/>
                <w:szCs w:val="20"/>
                <w:color w:val="auto"/>
              </w:rPr>
            </w:pPr>
            <w:r>
              <w:rPr>
                <w:rFonts w:ascii="Arial" w:cs="Arial" w:eastAsia="Arial" w:hAnsi="Arial"/>
                <w:sz w:val="12"/>
                <w:szCs w:val="12"/>
                <w:b w:val="1"/>
                <w:bCs w:val="1"/>
                <w:color w:val="auto"/>
              </w:rPr>
              <w:t>Item 1.</w:t>
            </w:r>
          </w:p>
        </w:tc>
        <w:tc>
          <w:tcPr>
            <w:tcW w:w="9680" w:type="dxa"/>
            <w:vAlign w:val="bottom"/>
          </w:tcPr>
          <w:p>
            <w:pPr>
              <w:ind w:left="42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Condensed Consolidated Financial Statements (unaudited)</w:t>
              </w:r>
            </w:hyperlink>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9680" w:type="dxa"/>
            <w:vAlign w:val="bottom"/>
          </w:tcPr>
          <w:p>
            <w:pPr>
              <w:ind w:left="42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Condensed Consolidated Balance Sheets</w:t>
              </w:r>
            </w:hyperlink>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9680" w:type="dxa"/>
            <w:vAlign w:val="bottom"/>
          </w:tcPr>
          <w:p>
            <w:pPr>
              <w:ind w:left="420"/>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Condensed Consolidated Statements of Operations</w:t>
              </w:r>
            </w:hyperlink>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9680" w:type="dxa"/>
            <w:vAlign w:val="bottom"/>
          </w:tcPr>
          <w:p>
            <w:pPr>
              <w:ind w:left="420"/>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Condensed Consolidated Statements of Comprehensive Loss</w:t>
              </w:r>
            </w:hyperlink>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9680" w:type="dxa"/>
            <w:vAlign w:val="bottom"/>
          </w:tcPr>
          <w:p>
            <w:pPr>
              <w:ind w:left="420"/>
              <w:spacing w:after="0"/>
              <w:rPr>
                <w:rFonts w:ascii="Arial" w:cs="Arial" w:eastAsia="Arial" w:hAnsi="Arial"/>
                <w:sz w:val="12"/>
                <w:szCs w:val="12"/>
                <w:u w:val="single" w:color="auto"/>
                <w:color w:val="0000EE"/>
              </w:rPr>
            </w:pPr>
            <w:hyperlink w:anchor="page6">
              <w:r>
                <w:rPr>
                  <w:rFonts w:ascii="Arial" w:cs="Arial" w:eastAsia="Arial" w:hAnsi="Arial"/>
                  <w:sz w:val="12"/>
                  <w:szCs w:val="12"/>
                  <w:u w:val="single" w:color="auto"/>
                  <w:color w:val="0000EE"/>
                </w:rPr>
                <w:t>Condensed Consolidated Statements of Stockholders’ Equity</w:t>
              </w:r>
            </w:hyperlink>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9680" w:type="dxa"/>
            <w:vAlign w:val="bottom"/>
          </w:tcPr>
          <w:p>
            <w:pPr>
              <w:ind w:left="420"/>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Condensed Consolidated Statements of Cash Flows</w:t>
              </w:r>
            </w:hyperlink>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9680" w:type="dxa"/>
            <w:vAlign w:val="bottom"/>
          </w:tcPr>
          <w:p>
            <w:pPr>
              <w:ind w:left="420"/>
              <w:spacing w:after="0"/>
              <w:rPr>
                <w:rFonts w:ascii="Arial" w:cs="Arial" w:eastAsia="Arial" w:hAnsi="Arial"/>
                <w:sz w:val="12"/>
                <w:szCs w:val="12"/>
                <w:u w:val="single" w:color="auto"/>
                <w:color w:val="0000EE"/>
              </w:rPr>
            </w:pPr>
            <w:hyperlink w:anchor="page8">
              <w:r>
                <w:rPr>
                  <w:rFonts w:ascii="Arial" w:cs="Arial" w:eastAsia="Arial" w:hAnsi="Arial"/>
                  <w:sz w:val="12"/>
                  <w:szCs w:val="12"/>
                  <w:u w:val="single" w:color="auto"/>
                  <w:color w:val="0000EE"/>
                </w:rPr>
                <w:t>Notes to the Condensed Consolidated Financial Statements</w:t>
              </w:r>
            </w:hyperlink>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20"/>
                <w:szCs w:val="20"/>
                <w:color w:val="auto"/>
              </w:rPr>
            </w:pPr>
            <w:r>
              <w:rPr>
                <w:rFonts w:ascii="Arial" w:cs="Arial" w:eastAsia="Arial" w:hAnsi="Arial"/>
                <w:sz w:val="12"/>
                <w:szCs w:val="12"/>
                <w:b w:val="1"/>
                <w:bCs w:val="1"/>
                <w:color w:val="auto"/>
              </w:rPr>
              <w:t>Item 2.</w:t>
            </w:r>
          </w:p>
        </w:tc>
        <w:tc>
          <w:tcPr>
            <w:tcW w:w="9680" w:type="dxa"/>
            <w:vAlign w:val="bottom"/>
          </w:tcPr>
          <w:p>
            <w:pPr>
              <w:ind w:left="420"/>
              <w:spacing w:after="0"/>
              <w:rPr>
                <w:rFonts w:ascii="Arial" w:cs="Arial" w:eastAsia="Arial" w:hAnsi="Arial"/>
                <w:sz w:val="12"/>
                <w:szCs w:val="12"/>
                <w:b w:val="1"/>
                <w:bCs w:val="1"/>
                <w:u w:val="single" w:color="auto"/>
                <w:color w:val="0000EE"/>
              </w:rPr>
            </w:pPr>
            <w:hyperlink w:anchor="page28">
              <w:r>
                <w:rPr>
                  <w:rFonts w:ascii="Arial" w:cs="Arial" w:eastAsia="Arial" w:hAnsi="Arial"/>
                  <w:sz w:val="12"/>
                  <w:szCs w:val="12"/>
                  <w:b w:val="1"/>
                  <w:bCs w:val="1"/>
                  <w:u w:val="single" w:color="auto"/>
                  <w:color w:val="0000EE"/>
                </w:rPr>
                <w:t>Management’s Discussion and Analysis of Financial Condition and Results of Operations</w:t>
              </w:r>
            </w:hyperlink>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20"/>
                <w:szCs w:val="20"/>
                <w:color w:val="auto"/>
              </w:rPr>
            </w:pPr>
            <w:r>
              <w:rPr>
                <w:rFonts w:ascii="Arial" w:cs="Arial" w:eastAsia="Arial" w:hAnsi="Arial"/>
                <w:sz w:val="12"/>
                <w:szCs w:val="12"/>
                <w:b w:val="1"/>
                <w:bCs w:val="1"/>
                <w:color w:val="auto"/>
              </w:rPr>
              <w:t>Item 3.</w:t>
            </w:r>
          </w:p>
        </w:tc>
        <w:tc>
          <w:tcPr>
            <w:tcW w:w="9680" w:type="dxa"/>
            <w:vAlign w:val="bottom"/>
          </w:tcPr>
          <w:p>
            <w:pPr>
              <w:ind w:left="420"/>
              <w:spacing w:after="0"/>
              <w:rPr>
                <w:rFonts w:ascii="Arial" w:cs="Arial" w:eastAsia="Arial" w:hAnsi="Arial"/>
                <w:sz w:val="12"/>
                <w:szCs w:val="12"/>
                <w:b w:val="1"/>
                <w:bCs w:val="1"/>
                <w:u w:val="single" w:color="auto"/>
                <w:color w:val="0000EE"/>
              </w:rPr>
            </w:pPr>
            <w:hyperlink w:anchor="page45">
              <w:r>
                <w:rPr>
                  <w:rFonts w:ascii="Arial" w:cs="Arial" w:eastAsia="Arial" w:hAnsi="Arial"/>
                  <w:sz w:val="12"/>
                  <w:szCs w:val="12"/>
                  <w:b w:val="1"/>
                  <w:bCs w:val="1"/>
                  <w:u w:val="single" w:color="auto"/>
                  <w:color w:val="0000EE"/>
                </w:rPr>
                <w:t>Quantitative and Qualitative Disclosures About Market Risk</w:t>
              </w:r>
            </w:hyperlink>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20"/>
                <w:szCs w:val="20"/>
                <w:color w:val="auto"/>
              </w:rPr>
            </w:pPr>
            <w:r>
              <w:rPr>
                <w:rFonts w:ascii="Arial" w:cs="Arial" w:eastAsia="Arial" w:hAnsi="Arial"/>
                <w:sz w:val="12"/>
                <w:szCs w:val="12"/>
                <w:b w:val="1"/>
                <w:bCs w:val="1"/>
                <w:color w:val="auto"/>
              </w:rPr>
              <w:t>Item 4.</w:t>
            </w:r>
          </w:p>
        </w:tc>
        <w:tc>
          <w:tcPr>
            <w:tcW w:w="9680" w:type="dxa"/>
            <w:vAlign w:val="bottom"/>
          </w:tcPr>
          <w:p>
            <w:pPr>
              <w:ind w:left="420"/>
              <w:spacing w:after="0"/>
              <w:rPr>
                <w:rFonts w:ascii="Arial" w:cs="Arial" w:eastAsia="Arial" w:hAnsi="Arial"/>
                <w:sz w:val="12"/>
                <w:szCs w:val="12"/>
                <w:b w:val="1"/>
                <w:bCs w:val="1"/>
                <w:u w:val="single" w:color="auto"/>
                <w:color w:val="0000EE"/>
              </w:rPr>
            </w:pPr>
            <w:hyperlink w:anchor="page45">
              <w:r>
                <w:rPr>
                  <w:rFonts w:ascii="Arial" w:cs="Arial" w:eastAsia="Arial" w:hAnsi="Arial"/>
                  <w:sz w:val="12"/>
                  <w:szCs w:val="12"/>
                  <w:b w:val="1"/>
                  <w:bCs w:val="1"/>
                  <w:u w:val="single" w:color="auto"/>
                  <w:color w:val="0000EE"/>
                </w:rPr>
                <w:t>Controls and Procedures</w:t>
              </w:r>
            </w:hyperlink>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20"/>
                <w:szCs w:val="20"/>
                <w:color w:val="auto"/>
              </w:rPr>
            </w:pPr>
            <w:r>
              <w:rPr>
                <w:rFonts w:ascii="Arial" w:cs="Arial" w:eastAsia="Arial" w:hAnsi="Arial"/>
                <w:sz w:val="12"/>
                <w:szCs w:val="12"/>
                <w:b w:val="1"/>
                <w:bCs w:val="1"/>
                <w:color w:val="auto"/>
              </w:rPr>
              <w:t>PART II.</w:t>
            </w:r>
          </w:p>
        </w:tc>
        <w:tc>
          <w:tcPr>
            <w:tcW w:w="9680" w:type="dxa"/>
            <w:vAlign w:val="bottom"/>
          </w:tcPr>
          <w:p>
            <w:pPr>
              <w:ind w:left="420"/>
              <w:spacing w:after="0"/>
              <w:rPr>
                <w:rFonts w:ascii="Arial" w:cs="Arial" w:eastAsia="Arial" w:hAnsi="Arial"/>
                <w:sz w:val="12"/>
                <w:szCs w:val="12"/>
                <w:b w:val="1"/>
                <w:bCs w:val="1"/>
                <w:u w:val="single" w:color="auto"/>
                <w:color w:val="0000EE"/>
              </w:rPr>
            </w:pPr>
            <w:hyperlink w:anchor="page46">
              <w:r>
                <w:rPr>
                  <w:rFonts w:ascii="Arial" w:cs="Arial" w:eastAsia="Arial" w:hAnsi="Arial"/>
                  <w:sz w:val="12"/>
                  <w:szCs w:val="12"/>
                  <w:b w:val="1"/>
                  <w:bCs w:val="1"/>
                  <w:u w:val="single" w:color="auto"/>
                  <w:color w:val="0000EE"/>
                </w:rPr>
                <w:t>Other Information</w:t>
              </w:r>
            </w:hyperlink>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20"/>
                <w:szCs w:val="20"/>
                <w:color w:val="auto"/>
              </w:rPr>
            </w:pPr>
            <w:r>
              <w:rPr>
                <w:rFonts w:ascii="Arial" w:cs="Arial" w:eastAsia="Arial" w:hAnsi="Arial"/>
                <w:sz w:val="12"/>
                <w:szCs w:val="12"/>
                <w:b w:val="1"/>
                <w:bCs w:val="1"/>
                <w:color w:val="auto"/>
              </w:rPr>
              <w:t>Item 1.</w:t>
            </w:r>
          </w:p>
        </w:tc>
        <w:tc>
          <w:tcPr>
            <w:tcW w:w="9680" w:type="dxa"/>
            <w:vAlign w:val="bottom"/>
          </w:tcPr>
          <w:p>
            <w:pPr>
              <w:ind w:left="420"/>
              <w:spacing w:after="0"/>
              <w:rPr>
                <w:rFonts w:ascii="Arial" w:cs="Arial" w:eastAsia="Arial" w:hAnsi="Arial"/>
                <w:sz w:val="12"/>
                <w:szCs w:val="12"/>
                <w:b w:val="1"/>
                <w:bCs w:val="1"/>
                <w:u w:val="single" w:color="auto"/>
                <w:color w:val="0000EE"/>
              </w:rPr>
            </w:pPr>
            <w:hyperlink w:anchor="page46">
              <w:r>
                <w:rPr>
                  <w:rFonts w:ascii="Arial" w:cs="Arial" w:eastAsia="Arial" w:hAnsi="Arial"/>
                  <w:sz w:val="12"/>
                  <w:szCs w:val="12"/>
                  <w:b w:val="1"/>
                  <w:bCs w:val="1"/>
                  <w:u w:val="single" w:color="auto"/>
                  <w:color w:val="0000EE"/>
                </w:rPr>
                <w:t>Legal Proceedings</w:t>
              </w:r>
            </w:hyperlink>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20"/>
                <w:szCs w:val="20"/>
                <w:color w:val="auto"/>
              </w:rPr>
            </w:pPr>
            <w:r>
              <w:rPr>
                <w:rFonts w:ascii="Arial" w:cs="Arial" w:eastAsia="Arial" w:hAnsi="Arial"/>
                <w:sz w:val="12"/>
                <w:szCs w:val="12"/>
                <w:b w:val="1"/>
                <w:bCs w:val="1"/>
                <w:color w:val="auto"/>
              </w:rPr>
              <w:t>Item 1A.</w:t>
            </w:r>
          </w:p>
        </w:tc>
        <w:tc>
          <w:tcPr>
            <w:tcW w:w="9680" w:type="dxa"/>
            <w:vAlign w:val="bottom"/>
          </w:tcPr>
          <w:p>
            <w:pPr>
              <w:ind w:left="420"/>
              <w:spacing w:after="0"/>
              <w:rPr>
                <w:rFonts w:ascii="Arial" w:cs="Arial" w:eastAsia="Arial" w:hAnsi="Arial"/>
                <w:sz w:val="12"/>
                <w:szCs w:val="12"/>
                <w:b w:val="1"/>
                <w:bCs w:val="1"/>
                <w:u w:val="single" w:color="auto"/>
                <w:color w:val="0000EE"/>
              </w:rPr>
            </w:pPr>
            <w:hyperlink w:anchor="page48">
              <w:r>
                <w:rPr>
                  <w:rFonts w:ascii="Arial" w:cs="Arial" w:eastAsia="Arial" w:hAnsi="Arial"/>
                  <w:sz w:val="12"/>
                  <w:szCs w:val="12"/>
                  <w:b w:val="1"/>
                  <w:bCs w:val="1"/>
                  <w:u w:val="single" w:color="auto"/>
                  <w:color w:val="0000EE"/>
                </w:rPr>
                <w:t>Risk Factors</w:t>
              </w:r>
            </w:hyperlink>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20"/>
                <w:szCs w:val="20"/>
                <w:color w:val="auto"/>
              </w:rPr>
            </w:pPr>
            <w:r>
              <w:rPr>
                <w:rFonts w:ascii="Arial" w:cs="Arial" w:eastAsia="Arial" w:hAnsi="Arial"/>
                <w:sz w:val="12"/>
                <w:szCs w:val="12"/>
                <w:b w:val="1"/>
                <w:bCs w:val="1"/>
                <w:color w:val="auto"/>
              </w:rPr>
              <w:t>Item 2.</w:t>
            </w:r>
          </w:p>
        </w:tc>
        <w:tc>
          <w:tcPr>
            <w:tcW w:w="9680" w:type="dxa"/>
            <w:vAlign w:val="bottom"/>
          </w:tcPr>
          <w:p>
            <w:pPr>
              <w:ind w:left="420"/>
              <w:spacing w:after="0"/>
              <w:rPr>
                <w:rFonts w:ascii="Arial" w:cs="Arial" w:eastAsia="Arial" w:hAnsi="Arial"/>
                <w:sz w:val="12"/>
                <w:szCs w:val="12"/>
                <w:b w:val="1"/>
                <w:bCs w:val="1"/>
                <w:u w:val="single" w:color="auto"/>
                <w:color w:val="0000EE"/>
              </w:rPr>
            </w:pPr>
            <w:hyperlink w:anchor="page55">
              <w:r>
                <w:rPr>
                  <w:rFonts w:ascii="Arial" w:cs="Arial" w:eastAsia="Arial" w:hAnsi="Arial"/>
                  <w:sz w:val="12"/>
                  <w:szCs w:val="12"/>
                  <w:b w:val="1"/>
                  <w:bCs w:val="1"/>
                  <w:u w:val="single" w:color="auto"/>
                  <w:color w:val="0000EE"/>
                </w:rPr>
                <w:t>Unregistered Sales of Equity Securities and Use of Proceeds</w:t>
              </w:r>
            </w:hyperlink>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54</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20"/>
                <w:szCs w:val="20"/>
                <w:color w:val="auto"/>
              </w:rPr>
            </w:pPr>
            <w:r>
              <w:rPr>
                <w:rFonts w:ascii="Arial" w:cs="Arial" w:eastAsia="Arial" w:hAnsi="Arial"/>
                <w:sz w:val="12"/>
                <w:szCs w:val="12"/>
                <w:b w:val="1"/>
                <w:bCs w:val="1"/>
                <w:color w:val="auto"/>
              </w:rPr>
              <w:t>Item 3.</w:t>
            </w:r>
          </w:p>
        </w:tc>
        <w:tc>
          <w:tcPr>
            <w:tcW w:w="9680" w:type="dxa"/>
            <w:vAlign w:val="bottom"/>
          </w:tcPr>
          <w:p>
            <w:pPr>
              <w:ind w:left="420"/>
              <w:spacing w:after="0"/>
              <w:rPr>
                <w:rFonts w:ascii="Arial" w:cs="Arial" w:eastAsia="Arial" w:hAnsi="Arial"/>
                <w:sz w:val="12"/>
                <w:szCs w:val="12"/>
                <w:b w:val="1"/>
                <w:bCs w:val="1"/>
                <w:u w:val="single" w:color="auto"/>
                <w:color w:val="0000EE"/>
              </w:rPr>
            </w:pPr>
            <w:hyperlink w:anchor="page55">
              <w:r>
                <w:rPr>
                  <w:rFonts w:ascii="Arial" w:cs="Arial" w:eastAsia="Arial" w:hAnsi="Arial"/>
                  <w:sz w:val="12"/>
                  <w:szCs w:val="12"/>
                  <w:b w:val="1"/>
                  <w:bCs w:val="1"/>
                  <w:u w:val="single" w:color="auto"/>
                  <w:color w:val="0000EE"/>
                </w:rPr>
                <w:t>Defaults Upon Senior Securities</w:t>
              </w:r>
            </w:hyperlink>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54</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20"/>
                <w:szCs w:val="20"/>
                <w:color w:val="auto"/>
              </w:rPr>
            </w:pPr>
            <w:r>
              <w:rPr>
                <w:rFonts w:ascii="Arial" w:cs="Arial" w:eastAsia="Arial" w:hAnsi="Arial"/>
                <w:sz w:val="12"/>
                <w:szCs w:val="12"/>
                <w:b w:val="1"/>
                <w:bCs w:val="1"/>
                <w:color w:val="auto"/>
              </w:rPr>
              <w:t>Item 4.</w:t>
            </w:r>
          </w:p>
        </w:tc>
        <w:tc>
          <w:tcPr>
            <w:tcW w:w="9680" w:type="dxa"/>
            <w:vAlign w:val="bottom"/>
          </w:tcPr>
          <w:p>
            <w:pPr>
              <w:ind w:left="420"/>
              <w:spacing w:after="0"/>
              <w:rPr>
                <w:rFonts w:ascii="Arial" w:cs="Arial" w:eastAsia="Arial" w:hAnsi="Arial"/>
                <w:sz w:val="12"/>
                <w:szCs w:val="12"/>
                <w:b w:val="1"/>
                <w:bCs w:val="1"/>
                <w:u w:val="single" w:color="auto"/>
                <w:color w:val="0000EE"/>
              </w:rPr>
            </w:pPr>
            <w:hyperlink w:anchor="page55">
              <w:r>
                <w:rPr>
                  <w:rFonts w:ascii="Arial" w:cs="Arial" w:eastAsia="Arial" w:hAnsi="Arial"/>
                  <w:sz w:val="12"/>
                  <w:szCs w:val="12"/>
                  <w:b w:val="1"/>
                  <w:bCs w:val="1"/>
                  <w:u w:val="single" w:color="auto"/>
                  <w:color w:val="0000EE"/>
                </w:rPr>
                <w:t>Mine Safety Disclosures</w:t>
              </w:r>
            </w:hyperlink>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54</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20"/>
                <w:szCs w:val="20"/>
                <w:color w:val="auto"/>
              </w:rPr>
            </w:pPr>
            <w:r>
              <w:rPr>
                <w:rFonts w:ascii="Arial" w:cs="Arial" w:eastAsia="Arial" w:hAnsi="Arial"/>
                <w:sz w:val="12"/>
                <w:szCs w:val="12"/>
                <w:b w:val="1"/>
                <w:bCs w:val="1"/>
                <w:color w:val="auto"/>
              </w:rPr>
              <w:t>Item 5.</w:t>
            </w:r>
          </w:p>
        </w:tc>
        <w:tc>
          <w:tcPr>
            <w:tcW w:w="9680" w:type="dxa"/>
            <w:vAlign w:val="bottom"/>
          </w:tcPr>
          <w:p>
            <w:pPr>
              <w:ind w:left="420"/>
              <w:spacing w:after="0"/>
              <w:rPr>
                <w:rFonts w:ascii="Arial" w:cs="Arial" w:eastAsia="Arial" w:hAnsi="Arial"/>
                <w:sz w:val="12"/>
                <w:szCs w:val="12"/>
                <w:b w:val="1"/>
                <w:bCs w:val="1"/>
                <w:u w:val="single" w:color="auto"/>
                <w:color w:val="0000EE"/>
              </w:rPr>
            </w:pPr>
            <w:hyperlink w:anchor="page55">
              <w:r>
                <w:rPr>
                  <w:rFonts w:ascii="Arial" w:cs="Arial" w:eastAsia="Arial" w:hAnsi="Arial"/>
                  <w:sz w:val="12"/>
                  <w:szCs w:val="12"/>
                  <w:b w:val="1"/>
                  <w:bCs w:val="1"/>
                  <w:u w:val="single" w:color="auto"/>
                  <w:color w:val="0000EE"/>
                </w:rPr>
                <w:t>Other Information</w:t>
              </w:r>
            </w:hyperlink>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54</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20"/>
                <w:szCs w:val="20"/>
                <w:color w:val="auto"/>
              </w:rPr>
            </w:pPr>
            <w:r>
              <w:rPr>
                <w:rFonts w:ascii="Arial" w:cs="Arial" w:eastAsia="Arial" w:hAnsi="Arial"/>
                <w:sz w:val="12"/>
                <w:szCs w:val="12"/>
                <w:b w:val="1"/>
                <w:bCs w:val="1"/>
                <w:color w:val="auto"/>
              </w:rPr>
              <w:t>Item 6.</w:t>
            </w:r>
          </w:p>
        </w:tc>
        <w:tc>
          <w:tcPr>
            <w:tcW w:w="9680" w:type="dxa"/>
            <w:vAlign w:val="bottom"/>
          </w:tcPr>
          <w:p>
            <w:pPr>
              <w:ind w:left="420"/>
              <w:spacing w:after="0"/>
              <w:rPr>
                <w:rFonts w:ascii="Arial" w:cs="Arial" w:eastAsia="Arial" w:hAnsi="Arial"/>
                <w:sz w:val="12"/>
                <w:szCs w:val="12"/>
                <w:b w:val="1"/>
                <w:bCs w:val="1"/>
                <w:u w:val="single" w:color="auto"/>
                <w:color w:val="0000EE"/>
              </w:rPr>
            </w:pPr>
            <w:hyperlink w:anchor="page56">
              <w:r>
                <w:rPr>
                  <w:rFonts w:ascii="Arial" w:cs="Arial" w:eastAsia="Arial" w:hAnsi="Arial"/>
                  <w:sz w:val="12"/>
                  <w:szCs w:val="12"/>
                  <w:b w:val="1"/>
                  <w:bCs w:val="1"/>
                  <w:u w:val="single" w:color="auto"/>
                  <w:color w:val="0000EE"/>
                </w:rPr>
                <w:t>Exhibits</w:t>
              </w:r>
            </w:hyperlink>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157"/>
        </w:trPr>
        <w:tc>
          <w:tcPr>
            <w:tcW w:w="940" w:type="dxa"/>
            <w:vAlign w:val="bottom"/>
          </w:tcPr>
          <w:p>
            <w:pPr>
              <w:spacing w:after="0"/>
              <w:rPr>
                <w:rFonts w:ascii="Arial" w:cs="Arial" w:eastAsia="Arial" w:hAnsi="Arial"/>
                <w:sz w:val="12"/>
                <w:szCs w:val="12"/>
                <w:b w:val="1"/>
                <w:bCs w:val="1"/>
                <w:u w:val="single" w:color="auto"/>
                <w:color w:val="0000EE"/>
              </w:rPr>
            </w:pPr>
            <w:hyperlink w:anchor="page58">
              <w:r>
                <w:rPr>
                  <w:rFonts w:ascii="Arial" w:cs="Arial" w:eastAsia="Arial" w:hAnsi="Arial"/>
                  <w:sz w:val="12"/>
                  <w:szCs w:val="12"/>
                  <w:b w:val="1"/>
                  <w:bCs w:val="1"/>
                  <w:u w:val="single" w:color="auto"/>
                  <w:color w:val="0000EE"/>
                </w:rPr>
                <w:t>Signatures</w:t>
              </w:r>
            </w:hyperlink>
          </w:p>
        </w:tc>
        <w:tc>
          <w:tcPr>
            <w:tcW w:w="968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PART I</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CONDENSED CONSOLIDATED FINANCIAL STATEMENTS</w:t>
      </w:r>
    </w:p>
    <w:p>
      <w:pPr>
        <w:spacing w:after="0" w:line="150" w:lineRule="exact"/>
        <w:rPr>
          <w:sz w:val="20"/>
          <w:szCs w:val="20"/>
          <w:color w:val="auto"/>
        </w:rPr>
      </w:pPr>
    </w:p>
    <w:p>
      <w:pPr>
        <w:ind w:left="5000"/>
        <w:spacing w:after="0"/>
        <w:rPr>
          <w:sz w:val="20"/>
          <w:szCs w:val="20"/>
          <w:color w:val="auto"/>
        </w:rPr>
      </w:pPr>
      <w:r>
        <w:rPr>
          <w:rFonts w:ascii="Arial" w:cs="Arial" w:eastAsia="Arial" w:hAnsi="Arial"/>
          <w:sz w:val="12"/>
          <w:szCs w:val="12"/>
          <w:b w:val="1"/>
          <w:bCs w:val="1"/>
          <w:color w:val="auto"/>
        </w:rPr>
        <w:t>VENUS CONCEPT INC.</w:t>
      </w:r>
    </w:p>
    <w:p>
      <w:pPr>
        <w:spacing w:after="0" w:line="78" w:lineRule="exact"/>
        <w:rPr>
          <w:sz w:val="20"/>
          <w:szCs w:val="20"/>
          <w:color w:val="auto"/>
        </w:rPr>
      </w:pPr>
    </w:p>
    <w:p>
      <w:pPr>
        <w:ind w:left="4620"/>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(in thousands, except for shares and per share data)</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8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8"/>
                <w:szCs w:val="8"/>
                <w:b w:val="1"/>
                <w:bCs w:val="1"/>
                <w:color w:val="auto"/>
              </w:rPr>
              <w:t>March 31, 2020</w:t>
            </w:r>
          </w:p>
        </w:tc>
        <w:tc>
          <w:tcPr>
            <w:tcW w:w="260" w:type="dxa"/>
            <w:vAlign w:val="bottom"/>
          </w:tcPr>
          <w:p>
            <w:pPr>
              <w:spacing w:after="0"/>
              <w:rPr>
                <w:sz w:val="8"/>
                <w:szCs w:val="8"/>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8"/>
                <w:szCs w:val="8"/>
                <w:b w:val="1"/>
                <w:bCs w:val="1"/>
                <w:color w:val="auto"/>
              </w:rPr>
              <w:t>December 31, 2019</w:t>
            </w:r>
          </w:p>
        </w:tc>
      </w:tr>
      <w:tr>
        <w:trPr>
          <w:trHeight w:val="88"/>
        </w:trPr>
        <w:tc>
          <w:tcPr>
            <w:tcW w:w="8000" w:type="dxa"/>
            <w:vAlign w:val="bottom"/>
            <w:tcBorders>
              <w:top w:val="single" w:sz="8" w:color="CFF0FC"/>
            </w:tcBorders>
            <w:shd w:val="clear" w:color="auto" w:fill="CFF0FC"/>
          </w:tcPr>
          <w:p>
            <w:pPr>
              <w:spacing w:after="0" w:line="88" w:lineRule="exact"/>
              <w:rPr>
                <w:sz w:val="20"/>
                <w:szCs w:val="20"/>
                <w:color w:val="auto"/>
              </w:rPr>
            </w:pPr>
            <w:r>
              <w:rPr>
                <w:rFonts w:ascii="Arial" w:cs="Arial" w:eastAsia="Arial" w:hAnsi="Arial"/>
                <w:sz w:val="8"/>
                <w:szCs w:val="8"/>
                <w:b w:val="1"/>
                <w:bCs w:val="1"/>
                <w:color w:val="auto"/>
              </w:rPr>
              <w:t>ASSETS</w:t>
            </w:r>
          </w:p>
        </w:tc>
        <w:tc>
          <w:tcPr>
            <w:tcW w:w="180" w:type="dxa"/>
            <w:vAlign w:val="bottom"/>
            <w:tcBorders>
              <w:top w:val="single" w:sz="8" w:color="auto"/>
            </w:tcBorders>
            <w:shd w:val="clear" w:color="auto" w:fill="CFF0FC"/>
          </w:tcPr>
          <w:p>
            <w:pPr>
              <w:spacing w:after="0"/>
              <w:rPr>
                <w:sz w:val="7"/>
                <w:szCs w:val="7"/>
                <w:color w:val="auto"/>
              </w:rPr>
            </w:pPr>
          </w:p>
        </w:tc>
        <w:tc>
          <w:tcPr>
            <w:tcW w:w="1060" w:type="dxa"/>
            <w:vAlign w:val="bottom"/>
            <w:tcBorders>
              <w:top w:val="single" w:sz="8" w:color="auto"/>
            </w:tcBorders>
            <w:shd w:val="clear" w:color="auto" w:fill="CFF0FC"/>
          </w:tcPr>
          <w:p>
            <w:pPr>
              <w:spacing w:after="0"/>
              <w:rPr>
                <w:sz w:val="7"/>
                <w:szCs w:val="7"/>
                <w:color w:val="auto"/>
              </w:rPr>
            </w:pPr>
          </w:p>
        </w:tc>
        <w:tc>
          <w:tcPr>
            <w:tcW w:w="300" w:type="dxa"/>
            <w:vAlign w:val="bottom"/>
            <w:tcBorders>
              <w:top w:val="single" w:sz="8" w:color="CFF0FC"/>
            </w:tcBorders>
            <w:shd w:val="clear" w:color="auto" w:fill="CFF0FC"/>
          </w:tcPr>
          <w:p>
            <w:pPr>
              <w:spacing w:after="0"/>
              <w:rPr>
                <w:sz w:val="7"/>
                <w:szCs w:val="7"/>
                <w:color w:val="auto"/>
              </w:rPr>
            </w:pPr>
          </w:p>
        </w:tc>
        <w:tc>
          <w:tcPr>
            <w:tcW w:w="260" w:type="dxa"/>
            <w:vAlign w:val="bottom"/>
            <w:tcBorders>
              <w:top w:val="single" w:sz="8" w:color="auto"/>
            </w:tcBorders>
            <w:shd w:val="clear" w:color="auto" w:fill="CFF0FC"/>
          </w:tcPr>
          <w:p>
            <w:pPr>
              <w:spacing w:after="0"/>
              <w:rPr>
                <w:sz w:val="7"/>
                <w:szCs w:val="7"/>
                <w:color w:val="auto"/>
              </w:rPr>
            </w:pPr>
          </w:p>
        </w:tc>
        <w:tc>
          <w:tcPr>
            <w:tcW w:w="1380" w:type="dxa"/>
            <w:vAlign w:val="bottom"/>
            <w:tcBorders>
              <w:top w:val="single" w:sz="8" w:color="auto"/>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r>
      <w:tr>
        <w:trPr>
          <w:trHeight w:val="99"/>
        </w:trPr>
        <w:tc>
          <w:tcPr>
            <w:tcW w:w="8000" w:type="dxa"/>
            <w:vAlign w:val="bottom"/>
          </w:tcPr>
          <w:p>
            <w:pPr>
              <w:spacing w:after="0"/>
              <w:rPr>
                <w:sz w:val="20"/>
                <w:szCs w:val="20"/>
                <w:color w:val="auto"/>
              </w:rPr>
            </w:pPr>
            <w:r>
              <w:rPr>
                <w:rFonts w:ascii="Arial" w:cs="Arial" w:eastAsia="Arial" w:hAnsi="Arial"/>
                <w:sz w:val="8"/>
                <w:szCs w:val="8"/>
                <w:color w:val="auto"/>
              </w:rPr>
              <w:t>CURRENT ASSETS:</w:t>
            </w: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9"/>
        </w:trPr>
        <w:tc>
          <w:tcPr>
            <w:tcW w:w="8000" w:type="dxa"/>
            <w:vAlign w:val="bottom"/>
            <w:shd w:val="clear" w:color="auto" w:fill="CFF0FC"/>
          </w:tcPr>
          <w:p>
            <w:pPr>
              <w:ind w:left="160"/>
              <w:spacing w:after="0"/>
              <w:rPr>
                <w:sz w:val="20"/>
                <w:szCs w:val="20"/>
                <w:color w:val="auto"/>
              </w:rPr>
            </w:pPr>
            <w:r>
              <w:rPr>
                <w:rFonts w:ascii="Arial" w:cs="Arial" w:eastAsia="Arial" w:hAnsi="Arial"/>
                <w:sz w:val="8"/>
                <w:szCs w:val="8"/>
                <w:color w:val="auto"/>
              </w:rPr>
              <w:t>Cash and cash equivalents</w:t>
            </w:r>
          </w:p>
        </w:tc>
        <w:tc>
          <w:tcPr>
            <w:tcW w:w="180" w:type="dxa"/>
            <w:vAlign w:val="bottom"/>
            <w:shd w:val="clear" w:color="auto" w:fill="CFF0FC"/>
          </w:tcPr>
          <w:p>
            <w:pPr>
              <w:jc w:val="right"/>
              <w:ind w:right="114"/>
              <w:spacing w:after="0"/>
              <w:rPr>
                <w:sz w:val="20"/>
                <w:szCs w:val="20"/>
                <w:color w:val="auto"/>
              </w:rPr>
            </w:pPr>
            <w:r>
              <w:rPr>
                <w:rFonts w:ascii="Arial" w:cs="Arial" w:eastAsia="Arial" w:hAnsi="Arial"/>
                <w:sz w:val="5"/>
                <w:szCs w:val="5"/>
                <w:color w:val="auto"/>
                <w:w w:val="70"/>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8"/>
                <w:szCs w:val="8"/>
                <w:color w:val="auto"/>
              </w:rPr>
              <w:t>20,628</w:t>
            </w:r>
          </w:p>
        </w:tc>
        <w:tc>
          <w:tcPr>
            <w:tcW w:w="300" w:type="dxa"/>
            <w:vAlign w:val="bottom"/>
            <w:shd w:val="clear" w:color="auto" w:fill="CFF0FC"/>
          </w:tcPr>
          <w:p>
            <w:pPr>
              <w:spacing w:after="0"/>
              <w:rPr>
                <w:sz w:val="8"/>
                <w:szCs w:val="8"/>
                <w:color w:val="auto"/>
              </w:rPr>
            </w:pPr>
          </w:p>
        </w:tc>
        <w:tc>
          <w:tcPr>
            <w:tcW w:w="260" w:type="dxa"/>
            <w:vAlign w:val="bottom"/>
            <w:shd w:val="clear" w:color="auto" w:fill="CFF0FC"/>
          </w:tcPr>
          <w:p>
            <w:pPr>
              <w:jc w:val="right"/>
              <w:ind w:right="158"/>
              <w:spacing w:after="0"/>
              <w:rPr>
                <w:sz w:val="20"/>
                <w:szCs w:val="20"/>
                <w:color w:val="auto"/>
              </w:rPr>
            </w:pPr>
            <w:r>
              <w:rPr>
                <w:rFonts w:ascii="Arial" w:cs="Arial" w:eastAsia="Arial" w:hAnsi="Arial"/>
                <w:sz w:val="8"/>
                <w:szCs w:val="8"/>
                <w:color w:val="auto"/>
                <w:w w:val="88"/>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8"/>
                <w:szCs w:val="8"/>
                <w:color w:val="auto"/>
              </w:rPr>
              <w:t>15,666</w:t>
            </w:r>
          </w:p>
        </w:tc>
        <w:tc>
          <w:tcPr>
            <w:tcW w:w="120" w:type="dxa"/>
            <w:vAlign w:val="bottom"/>
            <w:shd w:val="clear" w:color="auto" w:fill="CFF0FC"/>
          </w:tcPr>
          <w:p>
            <w:pPr>
              <w:spacing w:after="0"/>
              <w:rPr>
                <w:sz w:val="8"/>
                <w:szCs w:val="8"/>
                <w:color w:val="auto"/>
              </w:rPr>
            </w:pPr>
          </w:p>
        </w:tc>
      </w:tr>
      <w:tr>
        <w:trPr>
          <w:trHeight w:val="99"/>
        </w:trPr>
        <w:tc>
          <w:tcPr>
            <w:tcW w:w="8000" w:type="dxa"/>
            <w:vAlign w:val="bottom"/>
          </w:tcPr>
          <w:p>
            <w:pPr>
              <w:ind w:left="160"/>
              <w:spacing w:after="0"/>
              <w:rPr>
                <w:sz w:val="20"/>
                <w:szCs w:val="20"/>
                <w:color w:val="auto"/>
              </w:rPr>
            </w:pPr>
            <w:r>
              <w:rPr>
                <w:rFonts w:ascii="Arial" w:cs="Arial" w:eastAsia="Arial" w:hAnsi="Arial"/>
                <w:sz w:val="8"/>
                <w:szCs w:val="8"/>
                <w:color w:val="auto"/>
              </w:rPr>
              <w:t>Restricted cash</w:t>
            </w:r>
          </w:p>
        </w:tc>
        <w:tc>
          <w:tcPr>
            <w:tcW w:w="180" w:type="dxa"/>
            <w:vAlign w:val="bottom"/>
          </w:tcPr>
          <w:p>
            <w:pPr>
              <w:spacing w:after="0"/>
              <w:rPr>
                <w:sz w:val="8"/>
                <w:szCs w:val="8"/>
                <w:color w:val="auto"/>
              </w:rPr>
            </w:pPr>
          </w:p>
        </w:tc>
        <w:tc>
          <w:tcPr>
            <w:tcW w:w="1060" w:type="dxa"/>
            <w:vAlign w:val="bottom"/>
          </w:tcPr>
          <w:p>
            <w:pPr>
              <w:jc w:val="right"/>
              <w:spacing w:after="0"/>
              <w:rPr>
                <w:sz w:val="20"/>
                <w:szCs w:val="20"/>
                <w:color w:val="auto"/>
              </w:rPr>
            </w:pPr>
            <w:r>
              <w:rPr>
                <w:rFonts w:ascii="Arial" w:cs="Arial" w:eastAsia="Arial" w:hAnsi="Arial"/>
                <w:sz w:val="8"/>
                <w:szCs w:val="8"/>
                <w:color w:val="auto"/>
              </w:rPr>
              <w:t>83</w:t>
            </w: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Arial" w:cs="Arial" w:eastAsia="Arial" w:hAnsi="Arial"/>
                <w:sz w:val="8"/>
                <w:szCs w:val="8"/>
                <w:color w:val="auto"/>
              </w:rPr>
              <w:t>83</w:t>
            </w:r>
          </w:p>
        </w:tc>
        <w:tc>
          <w:tcPr>
            <w:tcW w:w="120" w:type="dxa"/>
            <w:vAlign w:val="bottom"/>
          </w:tcPr>
          <w:p>
            <w:pPr>
              <w:spacing w:after="0"/>
              <w:rPr>
                <w:sz w:val="8"/>
                <w:szCs w:val="8"/>
                <w:color w:val="auto"/>
              </w:rPr>
            </w:pPr>
          </w:p>
        </w:tc>
      </w:tr>
      <w:tr>
        <w:trPr>
          <w:trHeight w:val="99"/>
        </w:trPr>
        <w:tc>
          <w:tcPr>
            <w:tcW w:w="8000" w:type="dxa"/>
            <w:vAlign w:val="bottom"/>
            <w:shd w:val="clear" w:color="auto" w:fill="CFF0FC"/>
          </w:tcPr>
          <w:p>
            <w:pPr>
              <w:ind w:left="160"/>
              <w:spacing w:after="0"/>
              <w:rPr>
                <w:sz w:val="20"/>
                <w:szCs w:val="20"/>
                <w:color w:val="auto"/>
              </w:rPr>
            </w:pPr>
            <w:r>
              <w:rPr>
                <w:rFonts w:ascii="Arial" w:cs="Arial" w:eastAsia="Arial" w:hAnsi="Arial"/>
                <w:sz w:val="8"/>
                <w:szCs w:val="8"/>
                <w:color w:val="auto"/>
              </w:rPr>
              <w:t>Accounts receivable, net of allowance of $10,889 and $10,494 as of March 31, 2020, and December 31, 2019</w:t>
            </w:r>
          </w:p>
        </w:tc>
        <w:tc>
          <w:tcPr>
            <w:tcW w:w="18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8"/>
                <w:szCs w:val="8"/>
                <w:color w:val="auto"/>
              </w:rPr>
              <w:t>55,020</w:t>
            </w:r>
          </w:p>
        </w:tc>
        <w:tc>
          <w:tcPr>
            <w:tcW w:w="3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8"/>
                <w:szCs w:val="8"/>
                <w:color w:val="auto"/>
              </w:rPr>
              <w:t>58,977</w:t>
            </w:r>
          </w:p>
        </w:tc>
        <w:tc>
          <w:tcPr>
            <w:tcW w:w="120" w:type="dxa"/>
            <w:vAlign w:val="bottom"/>
            <w:shd w:val="clear" w:color="auto" w:fill="CFF0FC"/>
          </w:tcPr>
          <w:p>
            <w:pPr>
              <w:spacing w:after="0"/>
              <w:rPr>
                <w:sz w:val="8"/>
                <w:szCs w:val="8"/>
                <w:color w:val="auto"/>
              </w:rPr>
            </w:pPr>
          </w:p>
        </w:tc>
      </w:tr>
      <w:tr>
        <w:trPr>
          <w:trHeight w:val="99"/>
        </w:trPr>
        <w:tc>
          <w:tcPr>
            <w:tcW w:w="8000" w:type="dxa"/>
            <w:vAlign w:val="bottom"/>
          </w:tcPr>
          <w:p>
            <w:pPr>
              <w:ind w:left="160"/>
              <w:spacing w:after="0"/>
              <w:rPr>
                <w:sz w:val="20"/>
                <w:szCs w:val="20"/>
                <w:color w:val="auto"/>
              </w:rPr>
            </w:pPr>
            <w:r>
              <w:rPr>
                <w:rFonts w:ascii="Arial" w:cs="Arial" w:eastAsia="Arial" w:hAnsi="Arial"/>
                <w:sz w:val="8"/>
                <w:szCs w:val="8"/>
                <w:color w:val="auto"/>
              </w:rPr>
              <w:t>Inventories</w:t>
            </w:r>
          </w:p>
        </w:tc>
        <w:tc>
          <w:tcPr>
            <w:tcW w:w="180" w:type="dxa"/>
            <w:vAlign w:val="bottom"/>
          </w:tcPr>
          <w:p>
            <w:pPr>
              <w:spacing w:after="0"/>
              <w:rPr>
                <w:sz w:val="8"/>
                <w:szCs w:val="8"/>
                <w:color w:val="auto"/>
              </w:rPr>
            </w:pPr>
          </w:p>
        </w:tc>
        <w:tc>
          <w:tcPr>
            <w:tcW w:w="1060" w:type="dxa"/>
            <w:vAlign w:val="bottom"/>
          </w:tcPr>
          <w:p>
            <w:pPr>
              <w:jc w:val="right"/>
              <w:spacing w:after="0"/>
              <w:rPr>
                <w:sz w:val="20"/>
                <w:szCs w:val="20"/>
                <w:color w:val="auto"/>
              </w:rPr>
            </w:pPr>
            <w:r>
              <w:rPr>
                <w:rFonts w:ascii="Arial" w:cs="Arial" w:eastAsia="Arial" w:hAnsi="Arial"/>
                <w:sz w:val="8"/>
                <w:szCs w:val="8"/>
                <w:color w:val="auto"/>
              </w:rPr>
              <w:t>18,923</w:t>
            </w: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Arial" w:cs="Arial" w:eastAsia="Arial" w:hAnsi="Arial"/>
                <w:sz w:val="8"/>
                <w:szCs w:val="8"/>
                <w:color w:val="auto"/>
              </w:rPr>
              <w:t>18,844</w:t>
            </w:r>
          </w:p>
        </w:tc>
        <w:tc>
          <w:tcPr>
            <w:tcW w:w="120" w:type="dxa"/>
            <w:vAlign w:val="bottom"/>
          </w:tcPr>
          <w:p>
            <w:pPr>
              <w:spacing w:after="0"/>
              <w:rPr>
                <w:sz w:val="8"/>
                <w:szCs w:val="8"/>
                <w:color w:val="auto"/>
              </w:rPr>
            </w:pPr>
          </w:p>
        </w:tc>
      </w:tr>
      <w:tr>
        <w:trPr>
          <w:trHeight w:val="99"/>
        </w:trPr>
        <w:tc>
          <w:tcPr>
            <w:tcW w:w="8000" w:type="dxa"/>
            <w:vAlign w:val="bottom"/>
            <w:shd w:val="clear" w:color="auto" w:fill="CFF0FC"/>
          </w:tcPr>
          <w:p>
            <w:pPr>
              <w:ind w:left="160"/>
              <w:spacing w:after="0"/>
              <w:rPr>
                <w:sz w:val="20"/>
                <w:szCs w:val="20"/>
                <w:color w:val="auto"/>
              </w:rPr>
            </w:pPr>
            <w:r>
              <w:rPr>
                <w:rFonts w:ascii="Arial" w:cs="Arial" w:eastAsia="Arial" w:hAnsi="Arial"/>
                <w:sz w:val="8"/>
                <w:szCs w:val="8"/>
                <w:color w:val="auto"/>
              </w:rPr>
              <w:t>Deferred expenses</w:t>
            </w:r>
          </w:p>
        </w:tc>
        <w:tc>
          <w:tcPr>
            <w:tcW w:w="18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8"/>
                <w:szCs w:val="8"/>
                <w:color w:val="auto"/>
              </w:rPr>
              <w:t>30</w:t>
            </w:r>
          </w:p>
        </w:tc>
        <w:tc>
          <w:tcPr>
            <w:tcW w:w="3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8"/>
                <w:szCs w:val="8"/>
                <w:color w:val="auto"/>
              </w:rPr>
              <w:t>59</w:t>
            </w:r>
          </w:p>
        </w:tc>
        <w:tc>
          <w:tcPr>
            <w:tcW w:w="120" w:type="dxa"/>
            <w:vAlign w:val="bottom"/>
            <w:shd w:val="clear" w:color="auto" w:fill="CFF0FC"/>
          </w:tcPr>
          <w:p>
            <w:pPr>
              <w:spacing w:after="0"/>
              <w:rPr>
                <w:sz w:val="8"/>
                <w:szCs w:val="8"/>
                <w:color w:val="auto"/>
              </w:rPr>
            </w:pPr>
          </w:p>
        </w:tc>
      </w:tr>
      <w:tr>
        <w:trPr>
          <w:trHeight w:val="99"/>
        </w:trPr>
        <w:tc>
          <w:tcPr>
            <w:tcW w:w="8000" w:type="dxa"/>
            <w:vAlign w:val="bottom"/>
          </w:tcPr>
          <w:p>
            <w:pPr>
              <w:ind w:left="160"/>
              <w:spacing w:after="0"/>
              <w:rPr>
                <w:sz w:val="20"/>
                <w:szCs w:val="20"/>
                <w:color w:val="auto"/>
              </w:rPr>
            </w:pPr>
            <w:r>
              <w:rPr>
                <w:rFonts w:ascii="Arial" w:cs="Arial" w:eastAsia="Arial" w:hAnsi="Arial"/>
                <w:sz w:val="8"/>
                <w:szCs w:val="8"/>
                <w:color w:val="auto"/>
              </w:rPr>
              <w:t>Prepaid expenses</w:t>
            </w:r>
          </w:p>
        </w:tc>
        <w:tc>
          <w:tcPr>
            <w:tcW w:w="180" w:type="dxa"/>
            <w:vAlign w:val="bottom"/>
          </w:tcPr>
          <w:p>
            <w:pPr>
              <w:spacing w:after="0"/>
              <w:rPr>
                <w:sz w:val="8"/>
                <w:szCs w:val="8"/>
                <w:color w:val="auto"/>
              </w:rPr>
            </w:pPr>
          </w:p>
        </w:tc>
        <w:tc>
          <w:tcPr>
            <w:tcW w:w="1060" w:type="dxa"/>
            <w:vAlign w:val="bottom"/>
          </w:tcPr>
          <w:p>
            <w:pPr>
              <w:jc w:val="right"/>
              <w:spacing w:after="0"/>
              <w:rPr>
                <w:sz w:val="20"/>
                <w:szCs w:val="20"/>
                <w:color w:val="auto"/>
              </w:rPr>
            </w:pPr>
            <w:r>
              <w:rPr>
                <w:rFonts w:ascii="Arial" w:cs="Arial" w:eastAsia="Arial" w:hAnsi="Arial"/>
                <w:sz w:val="8"/>
                <w:szCs w:val="8"/>
                <w:color w:val="auto"/>
              </w:rPr>
              <w:t>2,552</w:t>
            </w: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Arial" w:cs="Arial" w:eastAsia="Arial" w:hAnsi="Arial"/>
                <w:sz w:val="8"/>
                <w:szCs w:val="8"/>
                <w:color w:val="auto"/>
              </w:rPr>
              <w:t>2,523</w:t>
            </w:r>
          </w:p>
        </w:tc>
        <w:tc>
          <w:tcPr>
            <w:tcW w:w="120" w:type="dxa"/>
            <w:vAlign w:val="bottom"/>
          </w:tcPr>
          <w:p>
            <w:pPr>
              <w:spacing w:after="0"/>
              <w:rPr>
                <w:sz w:val="8"/>
                <w:szCs w:val="8"/>
                <w:color w:val="auto"/>
              </w:rPr>
            </w:pPr>
          </w:p>
        </w:tc>
      </w:tr>
      <w:tr>
        <w:trPr>
          <w:trHeight w:val="99"/>
        </w:trPr>
        <w:tc>
          <w:tcPr>
            <w:tcW w:w="8000" w:type="dxa"/>
            <w:vAlign w:val="bottom"/>
            <w:shd w:val="clear" w:color="auto" w:fill="CFF0FC"/>
          </w:tcPr>
          <w:p>
            <w:pPr>
              <w:ind w:left="160"/>
              <w:spacing w:after="0"/>
              <w:rPr>
                <w:sz w:val="20"/>
                <w:szCs w:val="20"/>
                <w:color w:val="auto"/>
              </w:rPr>
            </w:pPr>
            <w:r>
              <w:rPr>
                <w:rFonts w:ascii="Arial" w:cs="Arial" w:eastAsia="Arial" w:hAnsi="Arial"/>
                <w:sz w:val="8"/>
                <w:szCs w:val="8"/>
                <w:color w:val="auto"/>
              </w:rPr>
              <w:t>Advances to suppliers</w:t>
            </w:r>
          </w:p>
        </w:tc>
        <w:tc>
          <w:tcPr>
            <w:tcW w:w="18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8"/>
                <w:szCs w:val="8"/>
                <w:color w:val="auto"/>
              </w:rPr>
              <w:t>243</w:t>
            </w:r>
          </w:p>
        </w:tc>
        <w:tc>
          <w:tcPr>
            <w:tcW w:w="3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8"/>
                <w:szCs w:val="8"/>
                <w:color w:val="auto"/>
              </w:rPr>
              <w:t>450</w:t>
            </w:r>
          </w:p>
        </w:tc>
        <w:tc>
          <w:tcPr>
            <w:tcW w:w="120" w:type="dxa"/>
            <w:vAlign w:val="bottom"/>
            <w:shd w:val="clear" w:color="auto" w:fill="CFF0FC"/>
          </w:tcPr>
          <w:p>
            <w:pPr>
              <w:spacing w:after="0"/>
              <w:rPr>
                <w:sz w:val="8"/>
                <w:szCs w:val="8"/>
                <w:color w:val="auto"/>
              </w:rPr>
            </w:pPr>
          </w:p>
        </w:tc>
      </w:tr>
      <w:tr>
        <w:trPr>
          <w:trHeight w:val="99"/>
        </w:trPr>
        <w:tc>
          <w:tcPr>
            <w:tcW w:w="8000" w:type="dxa"/>
            <w:vAlign w:val="bottom"/>
            <w:tcBorders>
              <w:bottom w:val="single" w:sz="8" w:color="CFF0FC"/>
            </w:tcBorders>
          </w:tcPr>
          <w:p>
            <w:pPr>
              <w:ind w:left="160"/>
              <w:spacing w:after="0"/>
              <w:rPr>
                <w:sz w:val="20"/>
                <w:szCs w:val="20"/>
                <w:color w:val="auto"/>
              </w:rPr>
            </w:pPr>
            <w:r>
              <w:rPr>
                <w:rFonts w:ascii="Arial" w:cs="Arial" w:eastAsia="Arial" w:hAnsi="Arial"/>
                <w:sz w:val="8"/>
                <w:szCs w:val="8"/>
                <w:color w:val="auto"/>
              </w:rPr>
              <w:t>Other current assets</w:t>
            </w: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2,986</w:t>
            </w:r>
          </w:p>
        </w:tc>
        <w:tc>
          <w:tcPr>
            <w:tcW w:w="300" w:type="dxa"/>
            <w:vAlign w:val="bottom"/>
            <w:tcBorders>
              <w:bottom w:val="single" w:sz="8" w:color="CFF0FC"/>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3,101</w:t>
            </w:r>
          </w:p>
        </w:tc>
        <w:tc>
          <w:tcPr>
            <w:tcW w:w="120" w:type="dxa"/>
            <w:vAlign w:val="bottom"/>
            <w:tcBorders>
              <w:bottom w:val="single" w:sz="8" w:color="CFF0FC"/>
            </w:tcBorders>
          </w:tcPr>
          <w:p>
            <w:pPr>
              <w:spacing w:after="0"/>
              <w:rPr>
                <w:sz w:val="8"/>
                <w:szCs w:val="8"/>
                <w:color w:val="auto"/>
              </w:rPr>
            </w:pPr>
          </w:p>
        </w:tc>
      </w:tr>
      <w:tr>
        <w:trPr>
          <w:trHeight w:val="88"/>
        </w:trPr>
        <w:tc>
          <w:tcPr>
            <w:tcW w:w="8000" w:type="dxa"/>
            <w:vAlign w:val="bottom"/>
            <w:shd w:val="clear" w:color="auto" w:fill="CFF0FC"/>
          </w:tcPr>
          <w:p>
            <w:pPr>
              <w:ind w:left="320"/>
              <w:spacing w:after="0" w:line="88" w:lineRule="exact"/>
              <w:rPr>
                <w:sz w:val="20"/>
                <w:szCs w:val="20"/>
                <w:color w:val="auto"/>
              </w:rPr>
            </w:pPr>
            <w:r>
              <w:rPr>
                <w:rFonts w:ascii="Arial" w:cs="Arial" w:eastAsia="Arial" w:hAnsi="Arial"/>
                <w:sz w:val="8"/>
                <w:szCs w:val="8"/>
                <w:color w:val="auto"/>
              </w:rPr>
              <w:t>Total current assets</w:t>
            </w:r>
          </w:p>
        </w:tc>
        <w:tc>
          <w:tcPr>
            <w:tcW w:w="180" w:type="dxa"/>
            <w:vAlign w:val="bottom"/>
            <w:shd w:val="clear" w:color="auto" w:fill="CFF0FC"/>
          </w:tcPr>
          <w:p>
            <w:pPr>
              <w:spacing w:after="0"/>
              <w:rPr>
                <w:sz w:val="7"/>
                <w:szCs w:val="7"/>
                <w:color w:val="auto"/>
              </w:rPr>
            </w:pPr>
          </w:p>
        </w:tc>
        <w:tc>
          <w:tcPr>
            <w:tcW w:w="1060" w:type="dxa"/>
            <w:vAlign w:val="bottom"/>
            <w:shd w:val="clear" w:color="auto" w:fill="CFF0FC"/>
          </w:tcPr>
          <w:p>
            <w:pPr>
              <w:jc w:val="right"/>
              <w:spacing w:after="0" w:line="88" w:lineRule="exact"/>
              <w:rPr>
                <w:sz w:val="20"/>
                <w:szCs w:val="20"/>
                <w:color w:val="auto"/>
              </w:rPr>
            </w:pPr>
            <w:r>
              <w:rPr>
                <w:rFonts w:ascii="Arial" w:cs="Arial" w:eastAsia="Arial" w:hAnsi="Arial"/>
                <w:sz w:val="8"/>
                <w:szCs w:val="8"/>
                <w:color w:val="auto"/>
              </w:rPr>
              <w:t>100,465</w:t>
            </w:r>
          </w:p>
        </w:tc>
        <w:tc>
          <w:tcPr>
            <w:tcW w:w="30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1380" w:type="dxa"/>
            <w:vAlign w:val="bottom"/>
            <w:shd w:val="clear" w:color="auto" w:fill="CFF0FC"/>
          </w:tcPr>
          <w:p>
            <w:pPr>
              <w:jc w:val="right"/>
              <w:spacing w:after="0" w:line="88" w:lineRule="exact"/>
              <w:rPr>
                <w:sz w:val="20"/>
                <w:szCs w:val="20"/>
                <w:color w:val="auto"/>
              </w:rPr>
            </w:pPr>
            <w:r>
              <w:rPr>
                <w:rFonts w:ascii="Arial" w:cs="Arial" w:eastAsia="Arial" w:hAnsi="Arial"/>
                <w:sz w:val="8"/>
                <w:szCs w:val="8"/>
                <w:color w:val="auto"/>
              </w:rPr>
              <w:t>99,703</w:t>
            </w:r>
          </w:p>
        </w:tc>
        <w:tc>
          <w:tcPr>
            <w:tcW w:w="120" w:type="dxa"/>
            <w:vAlign w:val="bottom"/>
            <w:shd w:val="clear" w:color="auto" w:fill="CFF0FC"/>
          </w:tcPr>
          <w:p>
            <w:pPr>
              <w:spacing w:after="0"/>
              <w:rPr>
                <w:sz w:val="7"/>
                <w:szCs w:val="7"/>
                <w:color w:val="auto"/>
              </w:rPr>
            </w:pPr>
          </w:p>
        </w:tc>
      </w:tr>
      <w:tr>
        <w:trPr>
          <w:trHeight w:val="99"/>
        </w:trPr>
        <w:tc>
          <w:tcPr>
            <w:tcW w:w="8000" w:type="dxa"/>
            <w:vAlign w:val="bottom"/>
          </w:tcPr>
          <w:p>
            <w:pPr>
              <w:spacing w:after="0"/>
              <w:rPr>
                <w:sz w:val="20"/>
                <w:szCs w:val="20"/>
                <w:color w:val="auto"/>
              </w:rPr>
            </w:pPr>
            <w:r>
              <w:rPr>
                <w:rFonts w:ascii="Arial" w:cs="Arial" w:eastAsia="Arial" w:hAnsi="Arial"/>
                <w:sz w:val="8"/>
                <w:szCs w:val="8"/>
                <w:color w:val="auto"/>
              </w:rPr>
              <w:t>LONG-TERM ASSETS:</w:t>
            </w: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9"/>
        </w:trPr>
        <w:tc>
          <w:tcPr>
            <w:tcW w:w="8000" w:type="dxa"/>
            <w:vAlign w:val="bottom"/>
            <w:shd w:val="clear" w:color="auto" w:fill="CFF0FC"/>
          </w:tcPr>
          <w:p>
            <w:pPr>
              <w:spacing w:after="0"/>
              <w:rPr>
                <w:sz w:val="20"/>
                <w:szCs w:val="20"/>
                <w:color w:val="auto"/>
              </w:rPr>
            </w:pPr>
            <w:r>
              <w:rPr>
                <w:rFonts w:ascii="Arial" w:cs="Arial" w:eastAsia="Arial" w:hAnsi="Arial"/>
                <w:sz w:val="8"/>
                <w:szCs w:val="8"/>
                <w:color w:val="auto"/>
              </w:rPr>
              <w:t>Long-term receivables</w:t>
            </w:r>
          </w:p>
        </w:tc>
        <w:tc>
          <w:tcPr>
            <w:tcW w:w="18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8"/>
                <w:szCs w:val="8"/>
                <w:color w:val="auto"/>
              </w:rPr>
              <w:t>27,867</w:t>
            </w:r>
          </w:p>
        </w:tc>
        <w:tc>
          <w:tcPr>
            <w:tcW w:w="3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8"/>
                <w:szCs w:val="8"/>
                <w:color w:val="auto"/>
              </w:rPr>
              <w:t>35,656</w:t>
            </w:r>
          </w:p>
        </w:tc>
        <w:tc>
          <w:tcPr>
            <w:tcW w:w="120" w:type="dxa"/>
            <w:vAlign w:val="bottom"/>
            <w:shd w:val="clear" w:color="auto" w:fill="CFF0FC"/>
          </w:tcPr>
          <w:p>
            <w:pPr>
              <w:spacing w:after="0"/>
              <w:rPr>
                <w:sz w:val="8"/>
                <w:szCs w:val="8"/>
                <w:color w:val="auto"/>
              </w:rPr>
            </w:pPr>
          </w:p>
        </w:tc>
      </w:tr>
      <w:tr>
        <w:trPr>
          <w:trHeight w:val="99"/>
        </w:trPr>
        <w:tc>
          <w:tcPr>
            <w:tcW w:w="8000" w:type="dxa"/>
            <w:vAlign w:val="bottom"/>
          </w:tcPr>
          <w:p>
            <w:pPr>
              <w:spacing w:after="0"/>
              <w:rPr>
                <w:sz w:val="20"/>
                <w:szCs w:val="20"/>
                <w:color w:val="auto"/>
              </w:rPr>
            </w:pPr>
            <w:r>
              <w:rPr>
                <w:rFonts w:ascii="Arial" w:cs="Arial" w:eastAsia="Arial" w:hAnsi="Arial"/>
                <w:sz w:val="8"/>
                <w:szCs w:val="8"/>
                <w:color w:val="auto"/>
              </w:rPr>
              <w:t>Deferred tax assets</w:t>
            </w:r>
          </w:p>
        </w:tc>
        <w:tc>
          <w:tcPr>
            <w:tcW w:w="180" w:type="dxa"/>
            <w:vAlign w:val="bottom"/>
          </w:tcPr>
          <w:p>
            <w:pPr>
              <w:spacing w:after="0"/>
              <w:rPr>
                <w:sz w:val="8"/>
                <w:szCs w:val="8"/>
                <w:color w:val="auto"/>
              </w:rPr>
            </w:pPr>
          </w:p>
        </w:tc>
        <w:tc>
          <w:tcPr>
            <w:tcW w:w="1060" w:type="dxa"/>
            <w:vAlign w:val="bottom"/>
          </w:tcPr>
          <w:p>
            <w:pPr>
              <w:jc w:val="right"/>
              <w:spacing w:after="0"/>
              <w:rPr>
                <w:sz w:val="20"/>
                <w:szCs w:val="20"/>
                <w:color w:val="auto"/>
              </w:rPr>
            </w:pPr>
            <w:r>
              <w:rPr>
                <w:rFonts w:ascii="Arial" w:cs="Arial" w:eastAsia="Arial" w:hAnsi="Arial"/>
                <w:sz w:val="8"/>
                <w:szCs w:val="8"/>
                <w:color w:val="auto"/>
              </w:rPr>
              <w:t>409</w:t>
            </w: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Arial" w:cs="Arial" w:eastAsia="Arial" w:hAnsi="Arial"/>
                <w:sz w:val="8"/>
                <w:szCs w:val="8"/>
                <w:color w:val="auto"/>
              </w:rPr>
              <w:t>622</w:t>
            </w:r>
          </w:p>
        </w:tc>
        <w:tc>
          <w:tcPr>
            <w:tcW w:w="120" w:type="dxa"/>
            <w:vAlign w:val="bottom"/>
          </w:tcPr>
          <w:p>
            <w:pPr>
              <w:spacing w:after="0"/>
              <w:rPr>
                <w:sz w:val="8"/>
                <w:szCs w:val="8"/>
                <w:color w:val="auto"/>
              </w:rPr>
            </w:pPr>
          </w:p>
        </w:tc>
      </w:tr>
      <w:tr>
        <w:trPr>
          <w:trHeight w:val="99"/>
        </w:trPr>
        <w:tc>
          <w:tcPr>
            <w:tcW w:w="8000" w:type="dxa"/>
            <w:vAlign w:val="bottom"/>
            <w:shd w:val="clear" w:color="auto" w:fill="CFF0FC"/>
          </w:tcPr>
          <w:p>
            <w:pPr>
              <w:spacing w:after="0"/>
              <w:rPr>
                <w:sz w:val="20"/>
                <w:szCs w:val="20"/>
                <w:color w:val="auto"/>
              </w:rPr>
            </w:pPr>
            <w:r>
              <w:rPr>
                <w:rFonts w:ascii="Arial" w:cs="Arial" w:eastAsia="Arial" w:hAnsi="Arial"/>
                <w:sz w:val="8"/>
                <w:szCs w:val="8"/>
                <w:color w:val="auto"/>
              </w:rPr>
              <w:t>Severance pay funds</w:t>
            </w:r>
          </w:p>
        </w:tc>
        <w:tc>
          <w:tcPr>
            <w:tcW w:w="18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8"/>
                <w:szCs w:val="8"/>
                <w:color w:val="auto"/>
              </w:rPr>
              <w:t>658</w:t>
            </w:r>
          </w:p>
        </w:tc>
        <w:tc>
          <w:tcPr>
            <w:tcW w:w="3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8"/>
                <w:szCs w:val="8"/>
                <w:color w:val="auto"/>
              </w:rPr>
              <w:t>710</w:t>
            </w:r>
          </w:p>
        </w:tc>
        <w:tc>
          <w:tcPr>
            <w:tcW w:w="120" w:type="dxa"/>
            <w:vAlign w:val="bottom"/>
            <w:shd w:val="clear" w:color="auto" w:fill="CFF0FC"/>
          </w:tcPr>
          <w:p>
            <w:pPr>
              <w:spacing w:after="0"/>
              <w:rPr>
                <w:sz w:val="8"/>
                <w:szCs w:val="8"/>
                <w:color w:val="auto"/>
              </w:rPr>
            </w:pPr>
          </w:p>
        </w:tc>
      </w:tr>
      <w:tr>
        <w:trPr>
          <w:trHeight w:val="99"/>
        </w:trPr>
        <w:tc>
          <w:tcPr>
            <w:tcW w:w="8000" w:type="dxa"/>
            <w:vAlign w:val="bottom"/>
          </w:tcPr>
          <w:p>
            <w:pPr>
              <w:spacing w:after="0"/>
              <w:rPr>
                <w:sz w:val="20"/>
                <w:szCs w:val="20"/>
                <w:color w:val="auto"/>
              </w:rPr>
            </w:pPr>
            <w:r>
              <w:rPr>
                <w:rFonts w:ascii="Arial" w:cs="Arial" w:eastAsia="Arial" w:hAnsi="Arial"/>
                <w:sz w:val="8"/>
                <w:szCs w:val="8"/>
                <w:color w:val="auto"/>
              </w:rPr>
              <w:t>Property and equipment, net</w:t>
            </w:r>
          </w:p>
        </w:tc>
        <w:tc>
          <w:tcPr>
            <w:tcW w:w="180" w:type="dxa"/>
            <w:vAlign w:val="bottom"/>
          </w:tcPr>
          <w:p>
            <w:pPr>
              <w:spacing w:after="0"/>
              <w:rPr>
                <w:sz w:val="8"/>
                <w:szCs w:val="8"/>
                <w:color w:val="auto"/>
              </w:rPr>
            </w:pPr>
          </w:p>
        </w:tc>
        <w:tc>
          <w:tcPr>
            <w:tcW w:w="1060" w:type="dxa"/>
            <w:vAlign w:val="bottom"/>
          </w:tcPr>
          <w:p>
            <w:pPr>
              <w:jc w:val="right"/>
              <w:spacing w:after="0"/>
              <w:rPr>
                <w:sz w:val="20"/>
                <w:szCs w:val="20"/>
                <w:color w:val="auto"/>
              </w:rPr>
            </w:pPr>
            <w:r>
              <w:rPr>
                <w:rFonts w:ascii="Arial" w:cs="Arial" w:eastAsia="Arial" w:hAnsi="Arial"/>
                <w:sz w:val="8"/>
                <w:szCs w:val="8"/>
                <w:color w:val="auto"/>
              </w:rPr>
              <w:t>4,389</w:t>
            </w: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Arial" w:cs="Arial" w:eastAsia="Arial" w:hAnsi="Arial"/>
                <w:sz w:val="8"/>
                <w:szCs w:val="8"/>
                <w:color w:val="auto"/>
              </w:rPr>
              <w:t>4,648</w:t>
            </w:r>
          </w:p>
        </w:tc>
        <w:tc>
          <w:tcPr>
            <w:tcW w:w="120" w:type="dxa"/>
            <w:vAlign w:val="bottom"/>
          </w:tcPr>
          <w:p>
            <w:pPr>
              <w:spacing w:after="0"/>
              <w:rPr>
                <w:sz w:val="8"/>
                <w:szCs w:val="8"/>
                <w:color w:val="auto"/>
              </w:rPr>
            </w:pPr>
          </w:p>
        </w:tc>
      </w:tr>
      <w:tr>
        <w:trPr>
          <w:trHeight w:val="99"/>
        </w:trPr>
        <w:tc>
          <w:tcPr>
            <w:tcW w:w="8000" w:type="dxa"/>
            <w:vAlign w:val="bottom"/>
            <w:shd w:val="clear" w:color="auto" w:fill="CFF0FC"/>
          </w:tcPr>
          <w:p>
            <w:pPr>
              <w:spacing w:after="0"/>
              <w:rPr>
                <w:sz w:val="20"/>
                <w:szCs w:val="20"/>
                <w:color w:val="auto"/>
              </w:rPr>
            </w:pPr>
            <w:r>
              <w:rPr>
                <w:rFonts w:ascii="Arial" w:cs="Arial" w:eastAsia="Arial" w:hAnsi="Arial"/>
                <w:sz w:val="8"/>
                <w:szCs w:val="8"/>
                <w:color w:val="auto"/>
              </w:rPr>
              <w:t>Intangible assets</w:t>
            </w:r>
          </w:p>
        </w:tc>
        <w:tc>
          <w:tcPr>
            <w:tcW w:w="18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8"/>
                <w:szCs w:val="8"/>
                <w:color w:val="auto"/>
              </w:rPr>
              <w:t>21,470</w:t>
            </w:r>
          </w:p>
        </w:tc>
        <w:tc>
          <w:tcPr>
            <w:tcW w:w="3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8"/>
                <w:szCs w:val="8"/>
                <w:color w:val="auto"/>
              </w:rPr>
              <w:t>22,338</w:t>
            </w:r>
          </w:p>
        </w:tc>
        <w:tc>
          <w:tcPr>
            <w:tcW w:w="120" w:type="dxa"/>
            <w:vAlign w:val="bottom"/>
            <w:shd w:val="clear" w:color="auto" w:fill="CFF0FC"/>
          </w:tcPr>
          <w:p>
            <w:pPr>
              <w:spacing w:after="0"/>
              <w:rPr>
                <w:sz w:val="8"/>
                <w:szCs w:val="8"/>
                <w:color w:val="auto"/>
              </w:rPr>
            </w:pPr>
          </w:p>
        </w:tc>
      </w:tr>
      <w:tr>
        <w:trPr>
          <w:trHeight w:val="99"/>
        </w:trPr>
        <w:tc>
          <w:tcPr>
            <w:tcW w:w="8000" w:type="dxa"/>
            <w:vAlign w:val="bottom"/>
          </w:tcPr>
          <w:p>
            <w:pPr>
              <w:spacing w:after="0"/>
              <w:rPr>
                <w:sz w:val="20"/>
                <w:szCs w:val="20"/>
                <w:color w:val="auto"/>
              </w:rPr>
            </w:pPr>
            <w:r>
              <w:rPr>
                <w:rFonts w:ascii="Arial" w:cs="Arial" w:eastAsia="Arial" w:hAnsi="Arial"/>
                <w:sz w:val="8"/>
                <w:szCs w:val="8"/>
                <w:color w:val="auto"/>
              </w:rPr>
              <w:t>Goodwill</w:t>
            </w:r>
          </w:p>
        </w:tc>
        <w:tc>
          <w:tcPr>
            <w:tcW w:w="180" w:type="dxa"/>
            <w:vAlign w:val="bottom"/>
          </w:tcPr>
          <w:p>
            <w:pPr>
              <w:spacing w:after="0"/>
              <w:rPr>
                <w:sz w:val="8"/>
                <w:szCs w:val="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Arial" w:cs="Arial" w:eastAsia="Arial" w:hAnsi="Arial"/>
                <w:sz w:val="8"/>
                <w:szCs w:val="8"/>
                <w:color w:val="auto"/>
              </w:rPr>
              <w:t>27,450</w:t>
            </w:r>
          </w:p>
        </w:tc>
        <w:tc>
          <w:tcPr>
            <w:tcW w:w="120" w:type="dxa"/>
            <w:vAlign w:val="bottom"/>
          </w:tcPr>
          <w:p>
            <w:pPr>
              <w:spacing w:after="0"/>
              <w:rPr>
                <w:sz w:val="8"/>
                <w:szCs w:val="8"/>
                <w:color w:val="auto"/>
              </w:rPr>
            </w:pPr>
          </w:p>
        </w:tc>
      </w:tr>
      <w:tr>
        <w:trPr>
          <w:trHeight w:val="88"/>
        </w:trPr>
        <w:tc>
          <w:tcPr>
            <w:tcW w:w="8000" w:type="dxa"/>
            <w:vAlign w:val="bottom"/>
            <w:tcBorders>
              <w:top w:val="single" w:sz="8" w:color="CFF0FC"/>
            </w:tcBorders>
            <w:shd w:val="clear" w:color="auto" w:fill="CFF0FC"/>
          </w:tcPr>
          <w:p>
            <w:pPr>
              <w:ind w:left="320"/>
              <w:spacing w:after="0" w:line="88" w:lineRule="exact"/>
              <w:rPr>
                <w:sz w:val="20"/>
                <w:szCs w:val="20"/>
                <w:color w:val="auto"/>
              </w:rPr>
            </w:pPr>
            <w:r>
              <w:rPr>
                <w:rFonts w:ascii="Arial" w:cs="Arial" w:eastAsia="Arial" w:hAnsi="Arial"/>
                <w:sz w:val="8"/>
                <w:szCs w:val="8"/>
                <w:color w:val="auto"/>
              </w:rPr>
              <w:t>Total long-term assets</w:t>
            </w:r>
          </w:p>
        </w:tc>
        <w:tc>
          <w:tcPr>
            <w:tcW w:w="180" w:type="dxa"/>
            <w:vAlign w:val="bottom"/>
            <w:tcBorders>
              <w:top w:val="single" w:sz="8" w:color="auto"/>
              <w:bottom w:val="single" w:sz="8" w:color="auto"/>
            </w:tcBorders>
            <w:shd w:val="clear" w:color="auto" w:fill="CFF0FC"/>
          </w:tcPr>
          <w:p>
            <w:pPr>
              <w:spacing w:after="0"/>
              <w:rPr>
                <w:sz w:val="7"/>
                <w:szCs w:val="7"/>
                <w:color w:val="auto"/>
              </w:rPr>
            </w:pPr>
          </w:p>
        </w:tc>
        <w:tc>
          <w:tcPr>
            <w:tcW w:w="1060" w:type="dxa"/>
            <w:vAlign w:val="bottom"/>
            <w:tcBorders>
              <w:top w:val="single" w:sz="8" w:color="auto"/>
              <w:bottom w:val="single" w:sz="8" w:color="auto"/>
            </w:tcBorders>
            <w:shd w:val="clear" w:color="auto" w:fill="CFF0FC"/>
          </w:tcPr>
          <w:p>
            <w:pPr>
              <w:jc w:val="right"/>
              <w:spacing w:after="0" w:line="88" w:lineRule="exact"/>
              <w:rPr>
                <w:sz w:val="20"/>
                <w:szCs w:val="20"/>
                <w:color w:val="auto"/>
              </w:rPr>
            </w:pPr>
            <w:r>
              <w:rPr>
                <w:rFonts w:ascii="Arial" w:cs="Arial" w:eastAsia="Arial" w:hAnsi="Arial"/>
                <w:sz w:val="8"/>
                <w:szCs w:val="8"/>
                <w:color w:val="auto"/>
              </w:rPr>
              <w:t>54,793</w:t>
            </w:r>
          </w:p>
        </w:tc>
        <w:tc>
          <w:tcPr>
            <w:tcW w:w="300" w:type="dxa"/>
            <w:vAlign w:val="bottom"/>
            <w:tcBorders>
              <w:top w:val="single" w:sz="8" w:color="CFF0FC"/>
            </w:tcBorders>
            <w:shd w:val="clear" w:color="auto" w:fill="CFF0FC"/>
          </w:tcPr>
          <w:p>
            <w:pPr>
              <w:spacing w:after="0"/>
              <w:rPr>
                <w:sz w:val="7"/>
                <w:szCs w:val="7"/>
                <w:color w:val="auto"/>
              </w:rPr>
            </w:pPr>
          </w:p>
        </w:tc>
        <w:tc>
          <w:tcPr>
            <w:tcW w:w="260" w:type="dxa"/>
            <w:vAlign w:val="bottom"/>
            <w:tcBorders>
              <w:top w:val="single" w:sz="8" w:color="auto"/>
              <w:bottom w:val="single" w:sz="8" w:color="auto"/>
            </w:tcBorders>
            <w:shd w:val="clear" w:color="auto" w:fill="CFF0FC"/>
          </w:tcPr>
          <w:p>
            <w:pPr>
              <w:spacing w:after="0"/>
              <w:rPr>
                <w:sz w:val="7"/>
                <w:szCs w:val="7"/>
                <w:color w:val="auto"/>
              </w:rPr>
            </w:pPr>
          </w:p>
        </w:tc>
        <w:tc>
          <w:tcPr>
            <w:tcW w:w="1380" w:type="dxa"/>
            <w:vAlign w:val="bottom"/>
            <w:tcBorders>
              <w:top w:val="single" w:sz="8" w:color="auto"/>
              <w:bottom w:val="single" w:sz="8" w:color="auto"/>
            </w:tcBorders>
            <w:shd w:val="clear" w:color="auto" w:fill="CFF0FC"/>
          </w:tcPr>
          <w:p>
            <w:pPr>
              <w:jc w:val="right"/>
              <w:spacing w:after="0" w:line="88" w:lineRule="exact"/>
              <w:rPr>
                <w:sz w:val="20"/>
                <w:szCs w:val="20"/>
                <w:color w:val="auto"/>
              </w:rPr>
            </w:pPr>
            <w:r>
              <w:rPr>
                <w:rFonts w:ascii="Arial" w:cs="Arial" w:eastAsia="Arial" w:hAnsi="Arial"/>
                <w:sz w:val="8"/>
                <w:szCs w:val="8"/>
                <w:color w:val="auto"/>
              </w:rPr>
              <w:t>91,424</w:t>
            </w:r>
          </w:p>
        </w:tc>
        <w:tc>
          <w:tcPr>
            <w:tcW w:w="120" w:type="dxa"/>
            <w:vAlign w:val="bottom"/>
            <w:tcBorders>
              <w:top w:val="single" w:sz="8" w:color="CFF0FC"/>
            </w:tcBorders>
            <w:shd w:val="clear" w:color="auto" w:fill="CFF0FC"/>
          </w:tcPr>
          <w:p>
            <w:pPr>
              <w:spacing w:after="0"/>
              <w:rPr>
                <w:sz w:val="7"/>
                <w:szCs w:val="7"/>
                <w:color w:val="auto"/>
              </w:rPr>
            </w:pPr>
          </w:p>
        </w:tc>
      </w:tr>
      <w:tr>
        <w:trPr>
          <w:trHeight w:val="95"/>
        </w:trPr>
        <w:tc>
          <w:tcPr>
            <w:tcW w:w="8000" w:type="dxa"/>
            <w:vAlign w:val="bottom"/>
            <w:tcBorders>
              <w:bottom w:val="single" w:sz="8" w:color="CFF0FC"/>
            </w:tcBorders>
          </w:tcPr>
          <w:p>
            <w:pPr>
              <w:spacing w:after="0" w:line="88" w:lineRule="exact"/>
              <w:rPr>
                <w:sz w:val="20"/>
                <w:szCs w:val="20"/>
                <w:color w:val="auto"/>
              </w:rPr>
            </w:pPr>
            <w:r>
              <w:rPr>
                <w:rFonts w:ascii="Arial" w:cs="Arial" w:eastAsia="Arial" w:hAnsi="Arial"/>
                <w:sz w:val="8"/>
                <w:szCs w:val="8"/>
                <w:color w:val="auto"/>
              </w:rPr>
              <w:t>TOTAL ASSETS</w:t>
            </w:r>
          </w:p>
        </w:tc>
        <w:tc>
          <w:tcPr>
            <w:tcW w:w="180" w:type="dxa"/>
            <w:vAlign w:val="bottom"/>
            <w:tcBorders>
              <w:bottom w:val="single" w:sz="8" w:color="auto"/>
            </w:tcBorders>
          </w:tcPr>
          <w:p>
            <w:pPr>
              <w:jc w:val="right"/>
              <w:ind w:right="114"/>
              <w:spacing w:after="0"/>
              <w:rPr>
                <w:sz w:val="20"/>
                <w:szCs w:val="20"/>
                <w:color w:val="auto"/>
              </w:rPr>
            </w:pPr>
            <w:r>
              <w:rPr>
                <w:rFonts w:ascii="Arial" w:cs="Arial" w:eastAsia="Arial" w:hAnsi="Arial"/>
                <w:sz w:val="5"/>
                <w:szCs w:val="5"/>
                <w:color w:val="auto"/>
                <w:w w:val="70"/>
              </w:rPr>
              <w:t>$</w:t>
            </w:r>
          </w:p>
        </w:tc>
        <w:tc>
          <w:tcPr>
            <w:tcW w:w="106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8"/>
                <w:szCs w:val="8"/>
                <w:color w:val="auto"/>
              </w:rPr>
              <w:t>155,258</w:t>
            </w:r>
          </w:p>
        </w:tc>
        <w:tc>
          <w:tcPr>
            <w:tcW w:w="300" w:type="dxa"/>
            <w:vAlign w:val="bottom"/>
            <w:tcBorders>
              <w:bottom w:val="single" w:sz="8" w:color="CFF0FC"/>
            </w:tcBorders>
          </w:tcPr>
          <w:p>
            <w:pPr>
              <w:spacing w:after="0"/>
              <w:rPr>
                <w:sz w:val="8"/>
                <w:szCs w:val="8"/>
                <w:color w:val="auto"/>
              </w:rPr>
            </w:pPr>
          </w:p>
        </w:tc>
        <w:tc>
          <w:tcPr>
            <w:tcW w:w="260" w:type="dxa"/>
            <w:vAlign w:val="bottom"/>
            <w:tcBorders>
              <w:bottom w:val="single" w:sz="8" w:color="auto"/>
            </w:tcBorders>
          </w:tcPr>
          <w:p>
            <w:pPr>
              <w:jc w:val="right"/>
              <w:ind w:right="158"/>
              <w:spacing w:after="0" w:line="88" w:lineRule="exact"/>
              <w:rPr>
                <w:sz w:val="20"/>
                <w:szCs w:val="20"/>
                <w:color w:val="auto"/>
              </w:rPr>
            </w:pPr>
            <w:r>
              <w:rPr>
                <w:rFonts w:ascii="Arial" w:cs="Arial" w:eastAsia="Arial" w:hAnsi="Arial"/>
                <w:sz w:val="8"/>
                <w:szCs w:val="8"/>
                <w:color w:val="auto"/>
                <w:w w:val="88"/>
              </w:rPr>
              <w:t>$</w:t>
            </w:r>
          </w:p>
        </w:tc>
        <w:tc>
          <w:tcPr>
            <w:tcW w:w="138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8"/>
                <w:szCs w:val="8"/>
                <w:color w:val="auto"/>
              </w:rPr>
              <w:t>191,127</w:t>
            </w:r>
          </w:p>
        </w:tc>
        <w:tc>
          <w:tcPr>
            <w:tcW w:w="120" w:type="dxa"/>
            <w:vAlign w:val="bottom"/>
            <w:tcBorders>
              <w:bottom w:val="single" w:sz="8" w:color="CFF0FC"/>
            </w:tcBorders>
          </w:tcPr>
          <w:p>
            <w:pPr>
              <w:spacing w:after="0"/>
              <w:rPr>
                <w:sz w:val="8"/>
                <w:szCs w:val="8"/>
                <w:color w:val="auto"/>
              </w:rPr>
            </w:pPr>
          </w:p>
        </w:tc>
      </w:tr>
      <w:tr>
        <w:trPr>
          <w:trHeight w:val="99"/>
        </w:trPr>
        <w:tc>
          <w:tcPr>
            <w:tcW w:w="8000" w:type="dxa"/>
            <w:vAlign w:val="bottom"/>
            <w:shd w:val="clear" w:color="auto" w:fill="CFF0FC"/>
          </w:tcPr>
          <w:p>
            <w:pPr>
              <w:spacing w:after="0"/>
              <w:rPr>
                <w:sz w:val="20"/>
                <w:szCs w:val="20"/>
                <w:color w:val="auto"/>
              </w:rPr>
            </w:pPr>
            <w:r>
              <w:rPr>
                <w:rFonts w:ascii="Arial" w:cs="Arial" w:eastAsia="Arial" w:hAnsi="Arial"/>
                <w:sz w:val="8"/>
                <w:szCs w:val="8"/>
                <w:b w:val="1"/>
                <w:bCs w:val="1"/>
                <w:color w:val="auto"/>
              </w:rPr>
              <w:t>LIABILITIES AND STOCKHOLDERS’ EQUITY</w:t>
            </w:r>
          </w:p>
        </w:tc>
        <w:tc>
          <w:tcPr>
            <w:tcW w:w="180" w:type="dxa"/>
            <w:vAlign w:val="bottom"/>
            <w:shd w:val="clear" w:color="auto" w:fill="CFF0FC"/>
          </w:tcPr>
          <w:p>
            <w:pPr>
              <w:spacing w:after="0"/>
              <w:rPr>
                <w:sz w:val="8"/>
                <w:szCs w:val="8"/>
                <w:color w:val="auto"/>
              </w:rPr>
            </w:pPr>
          </w:p>
        </w:tc>
        <w:tc>
          <w:tcPr>
            <w:tcW w:w="106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r>
      <w:tr>
        <w:trPr>
          <w:trHeight w:val="99"/>
        </w:trPr>
        <w:tc>
          <w:tcPr>
            <w:tcW w:w="8000" w:type="dxa"/>
            <w:vAlign w:val="bottom"/>
          </w:tcPr>
          <w:p>
            <w:pPr>
              <w:spacing w:after="0"/>
              <w:rPr>
                <w:sz w:val="20"/>
                <w:szCs w:val="20"/>
                <w:color w:val="auto"/>
              </w:rPr>
            </w:pPr>
            <w:r>
              <w:rPr>
                <w:rFonts w:ascii="Arial" w:cs="Arial" w:eastAsia="Arial" w:hAnsi="Arial"/>
                <w:sz w:val="8"/>
                <w:szCs w:val="8"/>
                <w:color w:val="auto"/>
              </w:rPr>
              <w:t>CURRENT LIABILITIES:</w:t>
            </w: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9"/>
        </w:trPr>
        <w:tc>
          <w:tcPr>
            <w:tcW w:w="8000" w:type="dxa"/>
            <w:vAlign w:val="bottom"/>
            <w:shd w:val="clear" w:color="auto" w:fill="CFF0FC"/>
          </w:tcPr>
          <w:p>
            <w:pPr>
              <w:ind w:left="160"/>
              <w:spacing w:after="0"/>
              <w:rPr>
                <w:sz w:val="20"/>
                <w:szCs w:val="20"/>
                <w:color w:val="auto"/>
              </w:rPr>
            </w:pPr>
            <w:r>
              <w:rPr>
                <w:rFonts w:ascii="Arial" w:cs="Arial" w:eastAsia="Arial" w:hAnsi="Arial"/>
                <w:sz w:val="8"/>
                <w:szCs w:val="8"/>
                <w:color w:val="auto"/>
              </w:rPr>
              <w:t>Line of credit</w:t>
            </w:r>
          </w:p>
        </w:tc>
        <w:tc>
          <w:tcPr>
            <w:tcW w:w="180" w:type="dxa"/>
            <w:vAlign w:val="bottom"/>
            <w:shd w:val="clear" w:color="auto" w:fill="CFF0FC"/>
          </w:tcPr>
          <w:p>
            <w:pPr>
              <w:jc w:val="right"/>
              <w:ind w:right="114"/>
              <w:spacing w:after="0"/>
              <w:rPr>
                <w:sz w:val="20"/>
                <w:szCs w:val="20"/>
                <w:color w:val="auto"/>
              </w:rPr>
            </w:pPr>
            <w:r>
              <w:rPr>
                <w:rFonts w:ascii="Arial" w:cs="Arial" w:eastAsia="Arial" w:hAnsi="Arial"/>
                <w:sz w:val="5"/>
                <w:szCs w:val="5"/>
                <w:color w:val="auto"/>
                <w:w w:val="70"/>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8"/>
                <w:szCs w:val="8"/>
                <w:color w:val="auto"/>
              </w:rPr>
              <w:t>8,212</w:t>
            </w:r>
          </w:p>
        </w:tc>
        <w:tc>
          <w:tcPr>
            <w:tcW w:w="300" w:type="dxa"/>
            <w:vAlign w:val="bottom"/>
            <w:shd w:val="clear" w:color="auto" w:fill="CFF0FC"/>
          </w:tcPr>
          <w:p>
            <w:pPr>
              <w:spacing w:after="0"/>
              <w:rPr>
                <w:sz w:val="8"/>
                <w:szCs w:val="8"/>
                <w:color w:val="auto"/>
              </w:rPr>
            </w:pPr>
          </w:p>
        </w:tc>
        <w:tc>
          <w:tcPr>
            <w:tcW w:w="260" w:type="dxa"/>
            <w:vAlign w:val="bottom"/>
            <w:shd w:val="clear" w:color="auto" w:fill="CFF0FC"/>
          </w:tcPr>
          <w:p>
            <w:pPr>
              <w:jc w:val="right"/>
              <w:ind w:right="158"/>
              <w:spacing w:after="0"/>
              <w:rPr>
                <w:sz w:val="20"/>
                <w:szCs w:val="20"/>
                <w:color w:val="auto"/>
              </w:rPr>
            </w:pPr>
            <w:r>
              <w:rPr>
                <w:rFonts w:ascii="Arial" w:cs="Arial" w:eastAsia="Arial" w:hAnsi="Arial"/>
                <w:sz w:val="8"/>
                <w:szCs w:val="8"/>
                <w:color w:val="auto"/>
                <w:w w:val="88"/>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8"/>
                <w:szCs w:val="8"/>
                <w:color w:val="auto"/>
              </w:rPr>
              <w:t>7,789</w:t>
            </w:r>
          </w:p>
        </w:tc>
        <w:tc>
          <w:tcPr>
            <w:tcW w:w="120" w:type="dxa"/>
            <w:vAlign w:val="bottom"/>
            <w:shd w:val="clear" w:color="auto" w:fill="CFF0FC"/>
          </w:tcPr>
          <w:p>
            <w:pPr>
              <w:spacing w:after="0"/>
              <w:rPr>
                <w:sz w:val="8"/>
                <w:szCs w:val="8"/>
                <w:color w:val="auto"/>
              </w:rPr>
            </w:pPr>
          </w:p>
        </w:tc>
      </w:tr>
      <w:tr>
        <w:trPr>
          <w:trHeight w:val="99"/>
        </w:trPr>
        <w:tc>
          <w:tcPr>
            <w:tcW w:w="8000" w:type="dxa"/>
            <w:vAlign w:val="bottom"/>
          </w:tcPr>
          <w:p>
            <w:pPr>
              <w:ind w:left="160"/>
              <w:spacing w:after="0"/>
              <w:rPr>
                <w:sz w:val="20"/>
                <w:szCs w:val="20"/>
                <w:color w:val="auto"/>
              </w:rPr>
            </w:pPr>
            <w:r>
              <w:rPr>
                <w:rFonts w:ascii="Arial" w:cs="Arial" w:eastAsia="Arial" w:hAnsi="Arial"/>
                <w:sz w:val="8"/>
                <w:szCs w:val="8"/>
                <w:color w:val="auto"/>
              </w:rPr>
              <w:t>Trade payables</w:t>
            </w:r>
          </w:p>
        </w:tc>
        <w:tc>
          <w:tcPr>
            <w:tcW w:w="180" w:type="dxa"/>
            <w:vAlign w:val="bottom"/>
          </w:tcPr>
          <w:p>
            <w:pPr>
              <w:spacing w:after="0"/>
              <w:rPr>
                <w:sz w:val="8"/>
                <w:szCs w:val="8"/>
                <w:color w:val="auto"/>
              </w:rPr>
            </w:pPr>
          </w:p>
        </w:tc>
        <w:tc>
          <w:tcPr>
            <w:tcW w:w="1060" w:type="dxa"/>
            <w:vAlign w:val="bottom"/>
          </w:tcPr>
          <w:p>
            <w:pPr>
              <w:jc w:val="right"/>
              <w:spacing w:after="0"/>
              <w:rPr>
                <w:sz w:val="20"/>
                <w:szCs w:val="20"/>
                <w:color w:val="auto"/>
              </w:rPr>
            </w:pPr>
            <w:r>
              <w:rPr>
                <w:rFonts w:ascii="Arial" w:cs="Arial" w:eastAsia="Arial" w:hAnsi="Arial"/>
                <w:sz w:val="8"/>
                <w:szCs w:val="8"/>
                <w:color w:val="auto"/>
              </w:rPr>
              <w:t>9,208</w:t>
            </w: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Arial" w:cs="Arial" w:eastAsia="Arial" w:hAnsi="Arial"/>
                <w:sz w:val="8"/>
                <w:szCs w:val="8"/>
                <w:color w:val="auto"/>
              </w:rPr>
              <w:t>9,401</w:t>
            </w:r>
          </w:p>
        </w:tc>
        <w:tc>
          <w:tcPr>
            <w:tcW w:w="120" w:type="dxa"/>
            <w:vAlign w:val="bottom"/>
          </w:tcPr>
          <w:p>
            <w:pPr>
              <w:spacing w:after="0"/>
              <w:rPr>
                <w:sz w:val="8"/>
                <w:szCs w:val="8"/>
                <w:color w:val="auto"/>
              </w:rPr>
            </w:pPr>
          </w:p>
        </w:tc>
      </w:tr>
      <w:tr>
        <w:trPr>
          <w:trHeight w:val="99"/>
        </w:trPr>
        <w:tc>
          <w:tcPr>
            <w:tcW w:w="8000" w:type="dxa"/>
            <w:vAlign w:val="bottom"/>
            <w:shd w:val="clear" w:color="auto" w:fill="CFF0FC"/>
          </w:tcPr>
          <w:p>
            <w:pPr>
              <w:ind w:left="160"/>
              <w:spacing w:after="0"/>
              <w:rPr>
                <w:sz w:val="20"/>
                <w:szCs w:val="20"/>
                <w:color w:val="auto"/>
              </w:rPr>
            </w:pPr>
            <w:r>
              <w:rPr>
                <w:rFonts w:ascii="Arial" w:cs="Arial" w:eastAsia="Arial" w:hAnsi="Arial"/>
                <w:sz w:val="8"/>
                <w:szCs w:val="8"/>
                <w:color w:val="auto"/>
              </w:rPr>
              <w:t>Accrued expenses and other current liabilities</w:t>
            </w:r>
          </w:p>
        </w:tc>
        <w:tc>
          <w:tcPr>
            <w:tcW w:w="18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8"/>
                <w:szCs w:val="8"/>
                <w:color w:val="auto"/>
              </w:rPr>
              <w:t>15,220</w:t>
            </w:r>
          </w:p>
        </w:tc>
        <w:tc>
          <w:tcPr>
            <w:tcW w:w="3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8"/>
                <w:szCs w:val="8"/>
                <w:color w:val="auto"/>
              </w:rPr>
              <w:t>21,120</w:t>
            </w:r>
          </w:p>
        </w:tc>
        <w:tc>
          <w:tcPr>
            <w:tcW w:w="120" w:type="dxa"/>
            <w:vAlign w:val="bottom"/>
            <w:shd w:val="clear" w:color="auto" w:fill="CFF0FC"/>
          </w:tcPr>
          <w:p>
            <w:pPr>
              <w:spacing w:after="0"/>
              <w:rPr>
                <w:sz w:val="8"/>
                <w:szCs w:val="8"/>
                <w:color w:val="auto"/>
              </w:rPr>
            </w:pPr>
          </w:p>
        </w:tc>
      </w:tr>
      <w:tr>
        <w:trPr>
          <w:trHeight w:val="99"/>
        </w:trPr>
        <w:tc>
          <w:tcPr>
            <w:tcW w:w="8000" w:type="dxa"/>
            <w:vAlign w:val="bottom"/>
          </w:tcPr>
          <w:p>
            <w:pPr>
              <w:ind w:left="160"/>
              <w:spacing w:after="0"/>
              <w:rPr>
                <w:sz w:val="20"/>
                <w:szCs w:val="20"/>
                <w:color w:val="auto"/>
              </w:rPr>
            </w:pPr>
            <w:r>
              <w:rPr>
                <w:rFonts w:ascii="Arial" w:cs="Arial" w:eastAsia="Arial" w:hAnsi="Arial"/>
                <w:sz w:val="8"/>
                <w:szCs w:val="8"/>
                <w:color w:val="auto"/>
              </w:rPr>
              <w:t>Taxes payable</w:t>
            </w:r>
          </w:p>
        </w:tc>
        <w:tc>
          <w:tcPr>
            <w:tcW w:w="180" w:type="dxa"/>
            <w:vAlign w:val="bottom"/>
          </w:tcPr>
          <w:p>
            <w:pPr>
              <w:spacing w:after="0"/>
              <w:rPr>
                <w:sz w:val="8"/>
                <w:szCs w:val="8"/>
                <w:color w:val="auto"/>
              </w:rPr>
            </w:pPr>
          </w:p>
        </w:tc>
        <w:tc>
          <w:tcPr>
            <w:tcW w:w="1060" w:type="dxa"/>
            <w:vAlign w:val="bottom"/>
          </w:tcPr>
          <w:p>
            <w:pPr>
              <w:jc w:val="right"/>
              <w:spacing w:after="0"/>
              <w:rPr>
                <w:sz w:val="20"/>
                <w:szCs w:val="20"/>
                <w:color w:val="auto"/>
              </w:rPr>
            </w:pPr>
            <w:r>
              <w:rPr>
                <w:rFonts w:ascii="Arial" w:cs="Arial" w:eastAsia="Arial" w:hAnsi="Arial"/>
                <w:sz w:val="8"/>
                <w:szCs w:val="8"/>
                <w:color w:val="auto"/>
              </w:rPr>
              <w:t>1,960</w:t>
            </w: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Arial" w:cs="Arial" w:eastAsia="Arial" w:hAnsi="Arial"/>
                <w:sz w:val="8"/>
                <w:szCs w:val="8"/>
                <w:color w:val="auto"/>
              </w:rPr>
              <w:t>2,172</w:t>
            </w:r>
          </w:p>
        </w:tc>
        <w:tc>
          <w:tcPr>
            <w:tcW w:w="120" w:type="dxa"/>
            <w:vAlign w:val="bottom"/>
          </w:tcPr>
          <w:p>
            <w:pPr>
              <w:spacing w:after="0"/>
              <w:rPr>
                <w:sz w:val="8"/>
                <w:szCs w:val="8"/>
                <w:color w:val="auto"/>
              </w:rPr>
            </w:pPr>
          </w:p>
        </w:tc>
      </w:tr>
      <w:tr>
        <w:trPr>
          <w:trHeight w:val="99"/>
        </w:trPr>
        <w:tc>
          <w:tcPr>
            <w:tcW w:w="8000" w:type="dxa"/>
            <w:vAlign w:val="bottom"/>
            <w:shd w:val="clear" w:color="auto" w:fill="CFF0FC"/>
          </w:tcPr>
          <w:p>
            <w:pPr>
              <w:ind w:left="160"/>
              <w:spacing w:after="0"/>
              <w:rPr>
                <w:sz w:val="20"/>
                <w:szCs w:val="20"/>
                <w:color w:val="auto"/>
              </w:rPr>
            </w:pPr>
            <w:r>
              <w:rPr>
                <w:rFonts w:ascii="Arial" w:cs="Arial" w:eastAsia="Arial" w:hAnsi="Arial"/>
                <w:sz w:val="8"/>
                <w:szCs w:val="8"/>
                <w:color w:val="auto"/>
              </w:rPr>
              <w:t>Unearned interest income</w:t>
            </w:r>
          </w:p>
        </w:tc>
        <w:tc>
          <w:tcPr>
            <w:tcW w:w="18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8"/>
                <w:szCs w:val="8"/>
                <w:color w:val="auto"/>
              </w:rPr>
              <w:t>3,672</w:t>
            </w:r>
          </w:p>
        </w:tc>
        <w:tc>
          <w:tcPr>
            <w:tcW w:w="3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8"/>
                <w:szCs w:val="8"/>
                <w:color w:val="auto"/>
              </w:rPr>
              <w:t>3,942</w:t>
            </w:r>
          </w:p>
        </w:tc>
        <w:tc>
          <w:tcPr>
            <w:tcW w:w="120" w:type="dxa"/>
            <w:vAlign w:val="bottom"/>
            <w:shd w:val="clear" w:color="auto" w:fill="CFF0FC"/>
          </w:tcPr>
          <w:p>
            <w:pPr>
              <w:spacing w:after="0"/>
              <w:rPr>
                <w:sz w:val="8"/>
                <w:szCs w:val="8"/>
                <w:color w:val="auto"/>
              </w:rPr>
            </w:pPr>
          </w:p>
        </w:tc>
      </w:tr>
      <w:tr>
        <w:trPr>
          <w:trHeight w:val="99"/>
        </w:trPr>
        <w:tc>
          <w:tcPr>
            <w:tcW w:w="8000" w:type="dxa"/>
            <w:vAlign w:val="bottom"/>
          </w:tcPr>
          <w:p>
            <w:pPr>
              <w:ind w:left="160"/>
              <w:spacing w:after="0"/>
              <w:rPr>
                <w:sz w:val="20"/>
                <w:szCs w:val="20"/>
                <w:color w:val="auto"/>
              </w:rPr>
            </w:pPr>
            <w:r>
              <w:rPr>
                <w:rFonts w:ascii="Arial" w:cs="Arial" w:eastAsia="Arial" w:hAnsi="Arial"/>
                <w:sz w:val="8"/>
                <w:szCs w:val="8"/>
                <w:color w:val="auto"/>
              </w:rPr>
              <w:t>Warranty accrual</w:t>
            </w:r>
          </w:p>
        </w:tc>
        <w:tc>
          <w:tcPr>
            <w:tcW w:w="180" w:type="dxa"/>
            <w:vAlign w:val="bottom"/>
          </w:tcPr>
          <w:p>
            <w:pPr>
              <w:spacing w:after="0"/>
              <w:rPr>
                <w:sz w:val="8"/>
                <w:szCs w:val="8"/>
                <w:color w:val="auto"/>
              </w:rPr>
            </w:pPr>
          </w:p>
        </w:tc>
        <w:tc>
          <w:tcPr>
            <w:tcW w:w="1060" w:type="dxa"/>
            <w:vAlign w:val="bottom"/>
          </w:tcPr>
          <w:p>
            <w:pPr>
              <w:jc w:val="right"/>
              <w:spacing w:after="0"/>
              <w:rPr>
                <w:sz w:val="20"/>
                <w:szCs w:val="20"/>
                <w:color w:val="auto"/>
              </w:rPr>
            </w:pPr>
            <w:r>
              <w:rPr>
                <w:rFonts w:ascii="Arial" w:cs="Arial" w:eastAsia="Arial" w:hAnsi="Arial"/>
                <w:sz w:val="8"/>
                <w:szCs w:val="8"/>
                <w:color w:val="auto"/>
              </w:rPr>
              <w:t>1,084</w:t>
            </w: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Arial" w:cs="Arial" w:eastAsia="Arial" w:hAnsi="Arial"/>
                <w:sz w:val="8"/>
                <w:szCs w:val="8"/>
                <w:color w:val="auto"/>
              </w:rPr>
              <w:t>1,254</w:t>
            </w:r>
          </w:p>
        </w:tc>
        <w:tc>
          <w:tcPr>
            <w:tcW w:w="120" w:type="dxa"/>
            <w:vAlign w:val="bottom"/>
          </w:tcPr>
          <w:p>
            <w:pPr>
              <w:spacing w:after="0"/>
              <w:rPr>
                <w:sz w:val="8"/>
                <w:szCs w:val="8"/>
                <w:color w:val="auto"/>
              </w:rPr>
            </w:pPr>
          </w:p>
        </w:tc>
      </w:tr>
      <w:tr>
        <w:trPr>
          <w:trHeight w:val="99"/>
        </w:trPr>
        <w:tc>
          <w:tcPr>
            <w:tcW w:w="8000" w:type="dxa"/>
            <w:vAlign w:val="bottom"/>
            <w:shd w:val="clear" w:color="auto" w:fill="CFF0FC"/>
          </w:tcPr>
          <w:p>
            <w:pPr>
              <w:ind w:left="160"/>
              <w:spacing w:after="0"/>
              <w:rPr>
                <w:sz w:val="20"/>
                <w:szCs w:val="20"/>
                <w:color w:val="auto"/>
              </w:rPr>
            </w:pPr>
            <w:r>
              <w:rPr>
                <w:rFonts w:ascii="Arial" w:cs="Arial" w:eastAsia="Arial" w:hAnsi="Arial"/>
                <w:sz w:val="8"/>
                <w:szCs w:val="8"/>
                <w:color w:val="auto"/>
              </w:rPr>
              <w:t>Deferred revenues</w:t>
            </w:r>
          </w:p>
        </w:tc>
        <w:tc>
          <w:tcPr>
            <w:tcW w:w="180" w:type="dxa"/>
            <w:vAlign w:val="bottom"/>
            <w:tcBorders>
              <w:bottom w:val="single" w:sz="8" w:color="auto"/>
            </w:tcBorders>
            <w:shd w:val="clear" w:color="auto" w:fill="CFF0FC"/>
          </w:tcPr>
          <w:p>
            <w:pPr>
              <w:spacing w:after="0"/>
              <w:rPr>
                <w:sz w:val="8"/>
                <w:szCs w:val="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1,916</w:t>
            </w:r>
          </w:p>
        </w:tc>
        <w:tc>
          <w:tcPr>
            <w:tcW w:w="300" w:type="dxa"/>
            <w:vAlign w:val="bottom"/>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spacing w:after="0"/>
              <w:rPr>
                <w:sz w:val="8"/>
                <w:szCs w:val="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2,495</w:t>
            </w:r>
          </w:p>
        </w:tc>
        <w:tc>
          <w:tcPr>
            <w:tcW w:w="120" w:type="dxa"/>
            <w:vAlign w:val="bottom"/>
            <w:shd w:val="clear" w:color="auto" w:fill="CFF0FC"/>
          </w:tcPr>
          <w:p>
            <w:pPr>
              <w:spacing w:after="0"/>
              <w:rPr>
                <w:sz w:val="8"/>
                <w:szCs w:val="8"/>
                <w:color w:val="auto"/>
              </w:rPr>
            </w:pPr>
          </w:p>
        </w:tc>
      </w:tr>
      <w:tr>
        <w:trPr>
          <w:trHeight w:val="88"/>
        </w:trPr>
        <w:tc>
          <w:tcPr>
            <w:tcW w:w="8000" w:type="dxa"/>
            <w:vAlign w:val="bottom"/>
          </w:tcPr>
          <w:p>
            <w:pPr>
              <w:ind w:left="320"/>
              <w:spacing w:after="0" w:line="88" w:lineRule="exact"/>
              <w:rPr>
                <w:sz w:val="20"/>
                <w:szCs w:val="20"/>
                <w:color w:val="auto"/>
              </w:rPr>
            </w:pPr>
            <w:r>
              <w:rPr>
                <w:rFonts w:ascii="Arial" w:cs="Arial" w:eastAsia="Arial" w:hAnsi="Arial"/>
                <w:sz w:val="8"/>
                <w:szCs w:val="8"/>
                <w:color w:val="auto"/>
              </w:rPr>
              <w:t>Total current liabilities</w:t>
            </w:r>
          </w:p>
        </w:tc>
        <w:tc>
          <w:tcPr>
            <w:tcW w:w="180" w:type="dxa"/>
            <w:vAlign w:val="bottom"/>
          </w:tcPr>
          <w:p>
            <w:pPr>
              <w:spacing w:after="0"/>
              <w:rPr>
                <w:sz w:val="7"/>
                <w:szCs w:val="7"/>
                <w:color w:val="auto"/>
              </w:rPr>
            </w:pPr>
          </w:p>
        </w:tc>
        <w:tc>
          <w:tcPr>
            <w:tcW w:w="1060" w:type="dxa"/>
            <w:vAlign w:val="bottom"/>
          </w:tcPr>
          <w:p>
            <w:pPr>
              <w:jc w:val="right"/>
              <w:spacing w:after="0" w:line="88" w:lineRule="exact"/>
              <w:rPr>
                <w:sz w:val="20"/>
                <w:szCs w:val="20"/>
                <w:color w:val="auto"/>
              </w:rPr>
            </w:pPr>
            <w:r>
              <w:rPr>
                <w:rFonts w:ascii="Arial" w:cs="Arial" w:eastAsia="Arial" w:hAnsi="Arial"/>
                <w:sz w:val="8"/>
                <w:szCs w:val="8"/>
                <w:color w:val="auto"/>
              </w:rPr>
              <w:t>41,272</w:t>
            </w: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80" w:type="dxa"/>
            <w:vAlign w:val="bottom"/>
          </w:tcPr>
          <w:p>
            <w:pPr>
              <w:jc w:val="right"/>
              <w:spacing w:after="0" w:line="88" w:lineRule="exact"/>
              <w:rPr>
                <w:sz w:val="20"/>
                <w:szCs w:val="20"/>
                <w:color w:val="auto"/>
              </w:rPr>
            </w:pPr>
            <w:r>
              <w:rPr>
                <w:rFonts w:ascii="Arial" w:cs="Arial" w:eastAsia="Arial" w:hAnsi="Arial"/>
                <w:sz w:val="8"/>
                <w:szCs w:val="8"/>
                <w:color w:val="auto"/>
              </w:rPr>
              <w:t>48,173</w:t>
            </w:r>
          </w:p>
        </w:tc>
        <w:tc>
          <w:tcPr>
            <w:tcW w:w="120" w:type="dxa"/>
            <w:vAlign w:val="bottom"/>
          </w:tcPr>
          <w:p>
            <w:pPr>
              <w:spacing w:after="0"/>
              <w:rPr>
                <w:sz w:val="7"/>
                <w:szCs w:val="7"/>
                <w:color w:val="auto"/>
              </w:rPr>
            </w:pPr>
          </w:p>
        </w:tc>
      </w:tr>
      <w:tr>
        <w:trPr>
          <w:trHeight w:val="99"/>
        </w:trPr>
        <w:tc>
          <w:tcPr>
            <w:tcW w:w="8000" w:type="dxa"/>
            <w:vAlign w:val="bottom"/>
            <w:shd w:val="clear" w:color="auto" w:fill="CFF0FC"/>
          </w:tcPr>
          <w:p>
            <w:pPr>
              <w:spacing w:after="0"/>
              <w:rPr>
                <w:sz w:val="20"/>
                <w:szCs w:val="20"/>
                <w:color w:val="auto"/>
              </w:rPr>
            </w:pPr>
            <w:r>
              <w:rPr>
                <w:rFonts w:ascii="Arial" w:cs="Arial" w:eastAsia="Arial" w:hAnsi="Arial"/>
                <w:sz w:val="8"/>
                <w:szCs w:val="8"/>
                <w:color w:val="auto"/>
              </w:rPr>
              <w:t>LONG-TERM LIABILITIES:</w:t>
            </w:r>
          </w:p>
        </w:tc>
        <w:tc>
          <w:tcPr>
            <w:tcW w:w="180" w:type="dxa"/>
            <w:vAlign w:val="bottom"/>
            <w:shd w:val="clear" w:color="auto" w:fill="CFF0FC"/>
          </w:tcPr>
          <w:p>
            <w:pPr>
              <w:spacing w:after="0"/>
              <w:rPr>
                <w:sz w:val="8"/>
                <w:szCs w:val="8"/>
                <w:color w:val="auto"/>
              </w:rPr>
            </w:pPr>
          </w:p>
        </w:tc>
        <w:tc>
          <w:tcPr>
            <w:tcW w:w="106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r>
      <w:tr>
        <w:trPr>
          <w:trHeight w:val="99"/>
        </w:trPr>
        <w:tc>
          <w:tcPr>
            <w:tcW w:w="8000" w:type="dxa"/>
            <w:vAlign w:val="bottom"/>
          </w:tcPr>
          <w:p>
            <w:pPr>
              <w:spacing w:after="0"/>
              <w:rPr>
                <w:sz w:val="20"/>
                <w:szCs w:val="20"/>
                <w:color w:val="auto"/>
              </w:rPr>
            </w:pPr>
            <w:r>
              <w:rPr>
                <w:rFonts w:ascii="Arial" w:cs="Arial" w:eastAsia="Arial" w:hAnsi="Arial"/>
                <w:sz w:val="8"/>
                <w:szCs w:val="8"/>
                <w:color w:val="auto"/>
              </w:rPr>
              <w:t>Long-term debt</w:t>
            </w:r>
          </w:p>
        </w:tc>
        <w:tc>
          <w:tcPr>
            <w:tcW w:w="180" w:type="dxa"/>
            <w:vAlign w:val="bottom"/>
          </w:tcPr>
          <w:p>
            <w:pPr>
              <w:spacing w:after="0"/>
              <w:rPr>
                <w:sz w:val="8"/>
                <w:szCs w:val="8"/>
                <w:color w:val="auto"/>
              </w:rPr>
            </w:pPr>
          </w:p>
        </w:tc>
        <w:tc>
          <w:tcPr>
            <w:tcW w:w="1060" w:type="dxa"/>
            <w:vAlign w:val="bottom"/>
          </w:tcPr>
          <w:p>
            <w:pPr>
              <w:jc w:val="right"/>
              <w:spacing w:after="0"/>
              <w:rPr>
                <w:sz w:val="20"/>
                <w:szCs w:val="20"/>
                <w:color w:val="auto"/>
              </w:rPr>
            </w:pPr>
            <w:r>
              <w:rPr>
                <w:rFonts w:ascii="Arial" w:cs="Arial" w:eastAsia="Arial" w:hAnsi="Arial"/>
                <w:sz w:val="8"/>
                <w:szCs w:val="8"/>
                <w:color w:val="auto"/>
              </w:rPr>
              <w:t>63,261</w:t>
            </w: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Arial" w:cs="Arial" w:eastAsia="Arial" w:hAnsi="Arial"/>
                <w:sz w:val="8"/>
                <w:szCs w:val="8"/>
                <w:color w:val="auto"/>
              </w:rPr>
              <w:t>61,229</w:t>
            </w:r>
          </w:p>
        </w:tc>
        <w:tc>
          <w:tcPr>
            <w:tcW w:w="120" w:type="dxa"/>
            <w:vAlign w:val="bottom"/>
          </w:tcPr>
          <w:p>
            <w:pPr>
              <w:spacing w:after="0"/>
              <w:rPr>
                <w:sz w:val="8"/>
                <w:szCs w:val="8"/>
                <w:color w:val="auto"/>
              </w:rPr>
            </w:pPr>
          </w:p>
        </w:tc>
      </w:tr>
      <w:tr>
        <w:trPr>
          <w:trHeight w:val="99"/>
        </w:trPr>
        <w:tc>
          <w:tcPr>
            <w:tcW w:w="8000" w:type="dxa"/>
            <w:vAlign w:val="bottom"/>
            <w:shd w:val="clear" w:color="auto" w:fill="CFF0FC"/>
          </w:tcPr>
          <w:p>
            <w:pPr>
              <w:spacing w:after="0"/>
              <w:rPr>
                <w:sz w:val="20"/>
                <w:szCs w:val="20"/>
                <w:color w:val="auto"/>
              </w:rPr>
            </w:pPr>
            <w:r>
              <w:rPr>
                <w:rFonts w:ascii="Arial" w:cs="Arial" w:eastAsia="Arial" w:hAnsi="Arial"/>
                <w:sz w:val="8"/>
                <w:szCs w:val="8"/>
                <w:color w:val="auto"/>
              </w:rPr>
              <w:t>Accrued severance pay</w:t>
            </w:r>
          </w:p>
        </w:tc>
        <w:tc>
          <w:tcPr>
            <w:tcW w:w="18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8"/>
                <w:szCs w:val="8"/>
                <w:color w:val="auto"/>
              </w:rPr>
              <w:t>848</w:t>
            </w:r>
          </w:p>
        </w:tc>
        <w:tc>
          <w:tcPr>
            <w:tcW w:w="3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8"/>
                <w:szCs w:val="8"/>
                <w:color w:val="auto"/>
              </w:rPr>
              <w:t>827</w:t>
            </w:r>
          </w:p>
        </w:tc>
        <w:tc>
          <w:tcPr>
            <w:tcW w:w="120" w:type="dxa"/>
            <w:vAlign w:val="bottom"/>
            <w:shd w:val="clear" w:color="auto" w:fill="CFF0FC"/>
          </w:tcPr>
          <w:p>
            <w:pPr>
              <w:spacing w:after="0"/>
              <w:rPr>
                <w:sz w:val="8"/>
                <w:szCs w:val="8"/>
                <w:color w:val="auto"/>
              </w:rPr>
            </w:pPr>
          </w:p>
        </w:tc>
      </w:tr>
      <w:tr>
        <w:trPr>
          <w:trHeight w:val="99"/>
        </w:trPr>
        <w:tc>
          <w:tcPr>
            <w:tcW w:w="8000" w:type="dxa"/>
            <w:vAlign w:val="bottom"/>
          </w:tcPr>
          <w:p>
            <w:pPr>
              <w:spacing w:after="0"/>
              <w:rPr>
                <w:sz w:val="20"/>
                <w:szCs w:val="20"/>
                <w:color w:val="auto"/>
              </w:rPr>
            </w:pPr>
            <w:r>
              <w:rPr>
                <w:rFonts w:ascii="Arial" w:cs="Arial" w:eastAsia="Arial" w:hAnsi="Arial"/>
                <w:sz w:val="8"/>
                <w:szCs w:val="8"/>
                <w:color w:val="auto"/>
              </w:rPr>
              <w:t>Deferred tax liabilities</w:t>
            </w:r>
          </w:p>
        </w:tc>
        <w:tc>
          <w:tcPr>
            <w:tcW w:w="180" w:type="dxa"/>
            <w:vAlign w:val="bottom"/>
          </w:tcPr>
          <w:p>
            <w:pPr>
              <w:spacing w:after="0"/>
              <w:rPr>
                <w:sz w:val="8"/>
                <w:szCs w:val="8"/>
                <w:color w:val="auto"/>
              </w:rPr>
            </w:pPr>
          </w:p>
        </w:tc>
        <w:tc>
          <w:tcPr>
            <w:tcW w:w="1060" w:type="dxa"/>
            <w:vAlign w:val="bottom"/>
          </w:tcPr>
          <w:p>
            <w:pPr>
              <w:jc w:val="right"/>
              <w:spacing w:after="0"/>
              <w:rPr>
                <w:sz w:val="20"/>
                <w:szCs w:val="20"/>
                <w:color w:val="auto"/>
              </w:rPr>
            </w:pPr>
            <w:r>
              <w:rPr>
                <w:rFonts w:ascii="Arial" w:cs="Arial" w:eastAsia="Arial" w:hAnsi="Arial"/>
                <w:sz w:val="8"/>
                <w:szCs w:val="8"/>
                <w:color w:val="auto"/>
              </w:rPr>
              <w:t>1,085</w:t>
            </w: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Arial" w:cs="Arial" w:eastAsia="Arial" w:hAnsi="Arial"/>
                <w:sz w:val="8"/>
                <w:szCs w:val="8"/>
                <w:color w:val="auto"/>
              </w:rPr>
              <w:t>1,017</w:t>
            </w:r>
          </w:p>
        </w:tc>
        <w:tc>
          <w:tcPr>
            <w:tcW w:w="120" w:type="dxa"/>
            <w:vAlign w:val="bottom"/>
          </w:tcPr>
          <w:p>
            <w:pPr>
              <w:spacing w:after="0"/>
              <w:rPr>
                <w:sz w:val="8"/>
                <w:szCs w:val="8"/>
                <w:color w:val="auto"/>
              </w:rPr>
            </w:pPr>
          </w:p>
        </w:tc>
      </w:tr>
      <w:tr>
        <w:trPr>
          <w:trHeight w:val="99"/>
        </w:trPr>
        <w:tc>
          <w:tcPr>
            <w:tcW w:w="8000" w:type="dxa"/>
            <w:vAlign w:val="bottom"/>
            <w:shd w:val="clear" w:color="auto" w:fill="CFF0FC"/>
          </w:tcPr>
          <w:p>
            <w:pPr>
              <w:spacing w:after="0"/>
              <w:rPr>
                <w:sz w:val="20"/>
                <w:szCs w:val="20"/>
                <w:color w:val="auto"/>
              </w:rPr>
            </w:pPr>
            <w:r>
              <w:rPr>
                <w:rFonts w:ascii="Arial" w:cs="Arial" w:eastAsia="Arial" w:hAnsi="Arial"/>
                <w:sz w:val="8"/>
                <w:szCs w:val="8"/>
                <w:color w:val="auto"/>
              </w:rPr>
              <w:t>Unearned interest income</w:t>
            </w:r>
          </w:p>
        </w:tc>
        <w:tc>
          <w:tcPr>
            <w:tcW w:w="18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8"/>
                <w:szCs w:val="8"/>
                <w:color w:val="auto"/>
              </w:rPr>
              <w:t>977</w:t>
            </w:r>
          </w:p>
        </w:tc>
        <w:tc>
          <w:tcPr>
            <w:tcW w:w="3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8"/>
                <w:szCs w:val="8"/>
                <w:color w:val="auto"/>
              </w:rPr>
              <w:t>1,681</w:t>
            </w:r>
          </w:p>
        </w:tc>
        <w:tc>
          <w:tcPr>
            <w:tcW w:w="120" w:type="dxa"/>
            <w:vAlign w:val="bottom"/>
            <w:shd w:val="clear" w:color="auto" w:fill="CFF0FC"/>
          </w:tcPr>
          <w:p>
            <w:pPr>
              <w:spacing w:after="0"/>
              <w:rPr>
                <w:sz w:val="8"/>
                <w:szCs w:val="8"/>
                <w:color w:val="auto"/>
              </w:rPr>
            </w:pPr>
          </w:p>
        </w:tc>
      </w:tr>
      <w:tr>
        <w:trPr>
          <w:trHeight w:val="99"/>
        </w:trPr>
        <w:tc>
          <w:tcPr>
            <w:tcW w:w="8000" w:type="dxa"/>
            <w:vAlign w:val="bottom"/>
          </w:tcPr>
          <w:p>
            <w:pPr>
              <w:spacing w:after="0"/>
              <w:rPr>
                <w:sz w:val="20"/>
                <w:szCs w:val="20"/>
                <w:color w:val="auto"/>
              </w:rPr>
            </w:pPr>
            <w:r>
              <w:rPr>
                <w:rFonts w:ascii="Arial" w:cs="Arial" w:eastAsia="Arial" w:hAnsi="Arial"/>
                <w:sz w:val="8"/>
                <w:szCs w:val="8"/>
                <w:color w:val="auto"/>
              </w:rPr>
              <w:t>Warranty accrual</w:t>
            </w:r>
          </w:p>
        </w:tc>
        <w:tc>
          <w:tcPr>
            <w:tcW w:w="180" w:type="dxa"/>
            <w:vAlign w:val="bottom"/>
          </w:tcPr>
          <w:p>
            <w:pPr>
              <w:spacing w:after="0"/>
              <w:rPr>
                <w:sz w:val="8"/>
                <w:szCs w:val="8"/>
                <w:color w:val="auto"/>
              </w:rPr>
            </w:pPr>
          </w:p>
        </w:tc>
        <w:tc>
          <w:tcPr>
            <w:tcW w:w="1060" w:type="dxa"/>
            <w:vAlign w:val="bottom"/>
          </w:tcPr>
          <w:p>
            <w:pPr>
              <w:jc w:val="right"/>
              <w:spacing w:after="0"/>
              <w:rPr>
                <w:sz w:val="20"/>
                <w:szCs w:val="20"/>
                <w:color w:val="auto"/>
              </w:rPr>
            </w:pPr>
            <w:r>
              <w:rPr>
                <w:rFonts w:ascii="Arial" w:cs="Arial" w:eastAsia="Arial" w:hAnsi="Arial"/>
                <w:sz w:val="8"/>
                <w:szCs w:val="8"/>
                <w:color w:val="auto"/>
              </w:rPr>
              <w:t>550</w:t>
            </w: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Arial" w:cs="Arial" w:eastAsia="Arial" w:hAnsi="Arial"/>
                <w:sz w:val="8"/>
                <w:szCs w:val="8"/>
                <w:color w:val="auto"/>
              </w:rPr>
              <w:t>723</w:t>
            </w:r>
          </w:p>
        </w:tc>
        <w:tc>
          <w:tcPr>
            <w:tcW w:w="120" w:type="dxa"/>
            <w:vAlign w:val="bottom"/>
          </w:tcPr>
          <w:p>
            <w:pPr>
              <w:spacing w:after="0"/>
              <w:rPr>
                <w:sz w:val="8"/>
                <w:szCs w:val="8"/>
                <w:color w:val="auto"/>
              </w:rPr>
            </w:pPr>
          </w:p>
        </w:tc>
      </w:tr>
      <w:tr>
        <w:trPr>
          <w:trHeight w:val="99"/>
        </w:trPr>
        <w:tc>
          <w:tcPr>
            <w:tcW w:w="8000" w:type="dxa"/>
            <w:vAlign w:val="bottom"/>
            <w:shd w:val="clear" w:color="auto" w:fill="CFF0FC"/>
          </w:tcPr>
          <w:p>
            <w:pPr>
              <w:spacing w:after="0"/>
              <w:rPr>
                <w:sz w:val="20"/>
                <w:szCs w:val="20"/>
                <w:color w:val="auto"/>
              </w:rPr>
            </w:pPr>
            <w:r>
              <w:rPr>
                <w:rFonts w:ascii="Arial" w:cs="Arial" w:eastAsia="Arial" w:hAnsi="Arial"/>
                <w:sz w:val="8"/>
                <w:szCs w:val="8"/>
                <w:color w:val="auto"/>
              </w:rPr>
              <w:t>Other long-term liabilities</w:t>
            </w:r>
          </w:p>
        </w:tc>
        <w:tc>
          <w:tcPr>
            <w:tcW w:w="180" w:type="dxa"/>
            <w:vAlign w:val="bottom"/>
            <w:tcBorders>
              <w:bottom w:val="single" w:sz="8" w:color="auto"/>
            </w:tcBorders>
            <w:shd w:val="clear" w:color="auto" w:fill="CFF0FC"/>
          </w:tcPr>
          <w:p>
            <w:pPr>
              <w:spacing w:after="0"/>
              <w:rPr>
                <w:sz w:val="8"/>
                <w:szCs w:val="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691</w:t>
            </w:r>
          </w:p>
        </w:tc>
        <w:tc>
          <w:tcPr>
            <w:tcW w:w="300" w:type="dxa"/>
            <w:vAlign w:val="bottom"/>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spacing w:after="0"/>
              <w:rPr>
                <w:sz w:val="8"/>
                <w:szCs w:val="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799</w:t>
            </w:r>
          </w:p>
        </w:tc>
        <w:tc>
          <w:tcPr>
            <w:tcW w:w="120" w:type="dxa"/>
            <w:vAlign w:val="bottom"/>
            <w:shd w:val="clear" w:color="auto" w:fill="CFF0FC"/>
          </w:tcPr>
          <w:p>
            <w:pPr>
              <w:spacing w:after="0"/>
              <w:rPr>
                <w:sz w:val="8"/>
                <w:szCs w:val="8"/>
                <w:color w:val="auto"/>
              </w:rPr>
            </w:pPr>
          </w:p>
        </w:tc>
      </w:tr>
      <w:tr>
        <w:trPr>
          <w:trHeight w:val="88"/>
        </w:trPr>
        <w:tc>
          <w:tcPr>
            <w:tcW w:w="8000" w:type="dxa"/>
            <w:vAlign w:val="bottom"/>
            <w:tcBorders>
              <w:bottom w:val="single" w:sz="8" w:color="CFF0FC"/>
            </w:tcBorders>
          </w:tcPr>
          <w:p>
            <w:pPr>
              <w:ind w:left="240"/>
              <w:spacing w:after="0" w:line="88" w:lineRule="exact"/>
              <w:rPr>
                <w:sz w:val="20"/>
                <w:szCs w:val="20"/>
                <w:color w:val="auto"/>
              </w:rPr>
            </w:pPr>
            <w:r>
              <w:rPr>
                <w:rFonts w:ascii="Arial" w:cs="Arial" w:eastAsia="Arial" w:hAnsi="Arial"/>
                <w:sz w:val="8"/>
                <w:szCs w:val="8"/>
                <w:color w:val="auto"/>
              </w:rPr>
              <w:t>Total long-term liabilities</w:t>
            </w:r>
          </w:p>
        </w:tc>
        <w:tc>
          <w:tcPr>
            <w:tcW w:w="1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8"/>
                <w:szCs w:val="8"/>
                <w:color w:val="auto"/>
              </w:rPr>
              <w:t>67,412</w:t>
            </w:r>
          </w:p>
        </w:tc>
        <w:tc>
          <w:tcPr>
            <w:tcW w:w="300" w:type="dxa"/>
            <w:vAlign w:val="bottom"/>
            <w:tcBorders>
              <w:bottom w:val="single" w:sz="8" w:color="CFF0FC"/>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8"/>
                <w:szCs w:val="8"/>
                <w:color w:val="auto"/>
              </w:rPr>
              <w:t>66,276</w:t>
            </w:r>
          </w:p>
        </w:tc>
        <w:tc>
          <w:tcPr>
            <w:tcW w:w="120" w:type="dxa"/>
            <w:vAlign w:val="bottom"/>
            <w:tcBorders>
              <w:bottom w:val="single" w:sz="8" w:color="CFF0FC"/>
            </w:tcBorders>
          </w:tcPr>
          <w:p>
            <w:pPr>
              <w:spacing w:after="0"/>
              <w:rPr>
                <w:sz w:val="7"/>
                <w:szCs w:val="7"/>
                <w:color w:val="auto"/>
              </w:rPr>
            </w:pPr>
          </w:p>
        </w:tc>
      </w:tr>
      <w:tr>
        <w:trPr>
          <w:trHeight w:val="88"/>
        </w:trPr>
        <w:tc>
          <w:tcPr>
            <w:tcW w:w="8000" w:type="dxa"/>
            <w:vAlign w:val="bottom"/>
            <w:shd w:val="clear" w:color="auto" w:fill="CFF0FC"/>
          </w:tcPr>
          <w:p>
            <w:pPr>
              <w:spacing w:after="0" w:line="88" w:lineRule="exact"/>
              <w:rPr>
                <w:sz w:val="20"/>
                <w:szCs w:val="20"/>
                <w:color w:val="auto"/>
              </w:rPr>
            </w:pPr>
            <w:r>
              <w:rPr>
                <w:rFonts w:ascii="Arial" w:cs="Arial" w:eastAsia="Arial" w:hAnsi="Arial"/>
                <w:sz w:val="8"/>
                <w:szCs w:val="8"/>
                <w:color w:val="auto"/>
              </w:rPr>
              <w:t>TOTAL LIABILITIES</w:t>
            </w:r>
          </w:p>
        </w:tc>
        <w:tc>
          <w:tcPr>
            <w:tcW w:w="180" w:type="dxa"/>
            <w:vAlign w:val="bottom"/>
            <w:tcBorders>
              <w:bottom w:val="single" w:sz="8" w:color="auto"/>
            </w:tcBorders>
            <w:shd w:val="clear" w:color="auto" w:fill="CFF0FC"/>
          </w:tcPr>
          <w:p>
            <w:pPr>
              <w:spacing w:after="0"/>
              <w:rPr>
                <w:sz w:val="7"/>
                <w:szCs w:val="7"/>
                <w:color w:val="auto"/>
              </w:rPr>
            </w:pPr>
          </w:p>
        </w:tc>
        <w:tc>
          <w:tcPr>
            <w:tcW w:w="1060" w:type="dxa"/>
            <w:vAlign w:val="bottom"/>
            <w:tcBorders>
              <w:bottom w:val="single" w:sz="8" w:color="auto"/>
            </w:tcBorders>
            <w:shd w:val="clear" w:color="auto" w:fill="CFF0FC"/>
          </w:tcPr>
          <w:p>
            <w:pPr>
              <w:jc w:val="right"/>
              <w:spacing w:after="0" w:line="88" w:lineRule="exact"/>
              <w:rPr>
                <w:sz w:val="20"/>
                <w:szCs w:val="20"/>
                <w:color w:val="auto"/>
              </w:rPr>
            </w:pPr>
            <w:r>
              <w:rPr>
                <w:rFonts w:ascii="Arial" w:cs="Arial" w:eastAsia="Arial" w:hAnsi="Arial"/>
                <w:sz w:val="8"/>
                <w:szCs w:val="8"/>
                <w:color w:val="auto"/>
              </w:rPr>
              <w:t>108,684</w:t>
            </w:r>
          </w:p>
        </w:tc>
        <w:tc>
          <w:tcPr>
            <w:tcW w:w="300" w:type="dxa"/>
            <w:vAlign w:val="bottom"/>
            <w:shd w:val="clear" w:color="auto" w:fill="CFF0FC"/>
          </w:tcPr>
          <w:p>
            <w:pPr>
              <w:spacing w:after="0"/>
              <w:rPr>
                <w:sz w:val="7"/>
                <w:szCs w:val="7"/>
                <w:color w:val="auto"/>
              </w:rPr>
            </w:pPr>
          </w:p>
        </w:tc>
        <w:tc>
          <w:tcPr>
            <w:tcW w:w="260" w:type="dxa"/>
            <w:vAlign w:val="bottom"/>
            <w:tcBorders>
              <w:bottom w:val="single" w:sz="8" w:color="auto"/>
            </w:tcBorders>
            <w:shd w:val="clear" w:color="auto" w:fill="CFF0FC"/>
          </w:tcPr>
          <w:p>
            <w:pPr>
              <w:spacing w:after="0"/>
              <w:rPr>
                <w:sz w:val="7"/>
                <w:szCs w:val="7"/>
                <w:color w:val="auto"/>
              </w:rPr>
            </w:pPr>
          </w:p>
        </w:tc>
        <w:tc>
          <w:tcPr>
            <w:tcW w:w="1380" w:type="dxa"/>
            <w:vAlign w:val="bottom"/>
            <w:tcBorders>
              <w:bottom w:val="single" w:sz="8" w:color="auto"/>
            </w:tcBorders>
            <w:shd w:val="clear" w:color="auto" w:fill="CFF0FC"/>
          </w:tcPr>
          <w:p>
            <w:pPr>
              <w:jc w:val="right"/>
              <w:spacing w:after="0" w:line="88" w:lineRule="exact"/>
              <w:rPr>
                <w:sz w:val="20"/>
                <w:szCs w:val="20"/>
                <w:color w:val="auto"/>
              </w:rPr>
            </w:pPr>
            <w:r>
              <w:rPr>
                <w:rFonts w:ascii="Arial" w:cs="Arial" w:eastAsia="Arial" w:hAnsi="Arial"/>
                <w:sz w:val="8"/>
                <w:szCs w:val="8"/>
                <w:color w:val="auto"/>
              </w:rPr>
              <w:t>114,449</w:t>
            </w:r>
          </w:p>
        </w:tc>
        <w:tc>
          <w:tcPr>
            <w:tcW w:w="120" w:type="dxa"/>
            <w:vAlign w:val="bottom"/>
            <w:shd w:val="clear" w:color="auto" w:fill="CFF0FC"/>
          </w:tcPr>
          <w:p>
            <w:pPr>
              <w:spacing w:after="0"/>
              <w:rPr>
                <w:sz w:val="7"/>
                <w:szCs w:val="7"/>
                <w:color w:val="auto"/>
              </w:rPr>
            </w:pPr>
          </w:p>
        </w:tc>
      </w:tr>
      <w:tr>
        <w:trPr>
          <w:trHeight w:val="88"/>
        </w:trPr>
        <w:tc>
          <w:tcPr>
            <w:tcW w:w="8000" w:type="dxa"/>
            <w:vAlign w:val="bottom"/>
          </w:tcPr>
          <w:p>
            <w:pPr>
              <w:spacing w:after="0" w:line="88" w:lineRule="exact"/>
              <w:rPr>
                <w:sz w:val="20"/>
                <w:szCs w:val="20"/>
                <w:color w:val="auto"/>
              </w:rPr>
            </w:pPr>
            <w:r>
              <w:rPr>
                <w:rFonts w:ascii="Arial" w:cs="Arial" w:eastAsia="Arial" w:hAnsi="Arial"/>
                <w:sz w:val="8"/>
                <w:szCs w:val="8"/>
                <w:color w:val="auto"/>
              </w:rPr>
              <w:t>Commitments and Contingencies (Note 8)</w:t>
            </w: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99"/>
        </w:trPr>
        <w:tc>
          <w:tcPr>
            <w:tcW w:w="8000" w:type="dxa"/>
            <w:vAlign w:val="bottom"/>
            <w:shd w:val="clear" w:color="auto" w:fill="CFF0FC"/>
          </w:tcPr>
          <w:p>
            <w:pPr>
              <w:spacing w:after="0"/>
              <w:rPr>
                <w:sz w:val="20"/>
                <w:szCs w:val="20"/>
                <w:color w:val="auto"/>
              </w:rPr>
            </w:pPr>
            <w:r>
              <w:rPr>
                <w:rFonts w:ascii="Arial" w:cs="Arial" w:eastAsia="Arial" w:hAnsi="Arial"/>
                <w:sz w:val="8"/>
                <w:szCs w:val="8"/>
                <w:color w:val="auto"/>
              </w:rPr>
              <w:t>STOCKHOLDERS’ EQUITY (Note 1):</w:t>
            </w:r>
          </w:p>
        </w:tc>
        <w:tc>
          <w:tcPr>
            <w:tcW w:w="180" w:type="dxa"/>
            <w:vAlign w:val="bottom"/>
            <w:shd w:val="clear" w:color="auto" w:fill="CFF0FC"/>
          </w:tcPr>
          <w:p>
            <w:pPr>
              <w:spacing w:after="0"/>
              <w:rPr>
                <w:sz w:val="8"/>
                <w:szCs w:val="8"/>
                <w:color w:val="auto"/>
              </w:rPr>
            </w:pPr>
          </w:p>
        </w:tc>
        <w:tc>
          <w:tcPr>
            <w:tcW w:w="106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r>
      <w:tr>
        <w:trPr>
          <w:trHeight w:val="99"/>
        </w:trPr>
        <w:tc>
          <w:tcPr>
            <w:tcW w:w="8000" w:type="dxa"/>
            <w:vAlign w:val="bottom"/>
          </w:tcPr>
          <w:p>
            <w:pPr>
              <w:spacing w:after="0"/>
              <w:rPr>
                <w:sz w:val="20"/>
                <w:szCs w:val="20"/>
                <w:color w:val="auto"/>
              </w:rPr>
            </w:pPr>
            <w:r>
              <w:rPr>
                <w:rFonts w:ascii="Arial" w:cs="Arial" w:eastAsia="Arial" w:hAnsi="Arial"/>
                <w:sz w:val="8"/>
                <w:szCs w:val="8"/>
                <w:color w:val="auto"/>
              </w:rPr>
              <w:t>Series A convertible preferred stock, $0.0001 par value: 660,000 shares authorized, 660,000 shares and none issued and outstanding as of March 31, 2020 and December 31, 2019, respectively</w:t>
            </w:r>
          </w:p>
        </w:tc>
        <w:tc>
          <w:tcPr>
            <w:tcW w:w="180" w:type="dxa"/>
            <w:vAlign w:val="bottom"/>
          </w:tcPr>
          <w:p>
            <w:pPr>
              <w:spacing w:after="0"/>
              <w:rPr>
                <w:sz w:val="8"/>
                <w:szCs w:val="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8"/>
                <w:szCs w:val="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r>
      <w:tr>
        <w:trPr>
          <w:trHeight w:val="99"/>
        </w:trPr>
        <w:tc>
          <w:tcPr>
            <w:tcW w:w="8000" w:type="dxa"/>
            <w:vAlign w:val="bottom"/>
            <w:shd w:val="clear" w:color="auto" w:fill="CFF0FC"/>
          </w:tcPr>
          <w:p>
            <w:pPr>
              <w:spacing w:after="0"/>
              <w:rPr>
                <w:sz w:val="20"/>
                <w:szCs w:val="20"/>
                <w:color w:val="auto"/>
              </w:rPr>
            </w:pPr>
            <w:r>
              <w:rPr>
                <w:rFonts w:ascii="Arial" w:cs="Arial" w:eastAsia="Arial" w:hAnsi="Arial"/>
                <w:sz w:val="8"/>
                <w:szCs w:val="8"/>
                <w:color w:val="auto"/>
                <w:w w:val="99"/>
              </w:rPr>
              <w:t>Common Stock, $0.0001 par value: 300,000,000 shares authorized as of March 31, 2020 and December 31, 2019; 32,194,285 and 28,686,116 issued and outstanding as of March 31, 2020 and December 31, 2019, respectively</w:t>
            </w:r>
          </w:p>
        </w:tc>
        <w:tc>
          <w:tcPr>
            <w:tcW w:w="18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8"/>
                <w:szCs w:val="8"/>
                <w:color w:val="auto"/>
              </w:rPr>
              <w:t>24</w:t>
            </w:r>
          </w:p>
        </w:tc>
        <w:tc>
          <w:tcPr>
            <w:tcW w:w="3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8"/>
                <w:szCs w:val="8"/>
                <w:color w:val="auto"/>
              </w:rPr>
              <w:t>24</w:t>
            </w:r>
          </w:p>
        </w:tc>
        <w:tc>
          <w:tcPr>
            <w:tcW w:w="120" w:type="dxa"/>
            <w:vAlign w:val="bottom"/>
            <w:shd w:val="clear" w:color="auto" w:fill="CFF0FC"/>
          </w:tcPr>
          <w:p>
            <w:pPr>
              <w:spacing w:after="0"/>
              <w:rPr>
                <w:sz w:val="8"/>
                <w:szCs w:val="8"/>
                <w:color w:val="auto"/>
              </w:rPr>
            </w:pPr>
          </w:p>
        </w:tc>
      </w:tr>
      <w:tr>
        <w:trPr>
          <w:trHeight w:val="99"/>
        </w:trPr>
        <w:tc>
          <w:tcPr>
            <w:tcW w:w="8000" w:type="dxa"/>
            <w:vAlign w:val="bottom"/>
          </w:tcPr>
          <w:p>
            <w:pPr>
              <w:spacing w:after="0"/>
              <w:rPr>
                <w:sz w:val="20"/>
                <w:szCs w:val="20"/>
                <w:color w:val="auto"/>
              </w:rPr>
            </w:pPr>
            <w:r>
              <w:rPr>
                <w:rFonts w:ascii="Arial" w:cs="Arial" w:eastAsia="Arial" w:hAnsi="Arial"/>
                <w:sz w:val="8"/>
                <w:szCs w:val="8"/>
                <w:color w:val="auto"/>
              </w:rPr>
              <w:t>Additional paid-in capital (Note 2)</w:t>
            </w:r>
          </w:p>
        </w:tc>
        <w:tc>
          <w:tcPr>
            <w:tcW w:w="180" w:type="dxa"/>
            <w:vAlign w:val="bottom"/>
          </w:tcPr>
          <w:p>
            <w:pPr>
              <w:spacing w:after="0"/>
              <w:rPr>
                <w:sz w:val="8"/>
                <w:szCs w:val="8"/>
                <w:color w:val="auto"/>
              </w:rPr>
            </w:pPr>
          </w:p>
        </w:tc>
        <w:tc>
          <w:tcPr>
            <w:tcW w:w="1060" w:type="dxa"/>
            <w:vAlign w:val="bottom"/>
          </w:tcPr>
          <w:p>
            <w:pPr>
              <w:jc w:val="right"/>
              <w:spacing w:after="0"/>
              <w:rPr>
                <w:sz w:val="20"/>
                <w:szCs w:val="20"/>
                <w:color w:val="auto"/>
              </w:rPr>
            </w:pPr>
            <w:r>
              <w:rPr>
                <w:rFonts w:ascii="Arial" w:cs="Arial" w:eastAsia="Arial" w:hAnsi="Arial"/>
                <w:sz w:val="8"/>
                <w:szCs w:val="8"/>
                <w:color w:val="auto"/>
              </w:rPr>
              <w:t>170,657</w:t>
            </w: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Arial" w:cs="Arial" w:eastAsia="Arial" w:hAnsi="Arial"/>
                <w:sz w:val="8"/>
                <w:szCs w:val="8"/>
                <w:color w:val="auto"/>
              </w:rPr>
              <w:t>149,840</w:t>
            </w:r>
          </w:p>
        </w:tc>
        <w:tc>
          <w:tcPr>
            <w:tcW w:w="120" w:type="dxa"/>
            <w:vAlign w:val="bottom"/>
          </w:tcPr>
          <w:p>
            <w:pPr>
              <w:spacing w:after="0"/>
              <w:rPr>
                <w:sz w:val="8"/>
                <w:szCs w:val="8"/>
                <w:color w:val="auto"/>
              </w:rPr>
            </w:pPr>
          </w:p>
        </w:tc>
      </w:tr>
      <w:tr>
        <w:trPr>
          <w:trHeight w:val="99"/>
        </w:trPr>
        <w:tc>
          <w:tcPr>
            <w:tcW w:w="8000" w:type="dxa"/>
            <w:vAlign w:val="bottom"/>
            <w:shd w:val="clear" w:color="auto" w:fill="CFF0FC"/>
          </w:tcPr>
          <w:p>
            <w:pPr>
              <w:spacing w:after="0"/>
              <w:rPr>
                <w:sz w:val="20"/>
                <w:szCs w:val="20"/>
                <w:color w:val="auto"/>
              </w:rPr>
            </w:pPr>
            <w:r>
              <w:rPr>
                <w:rFonts w:ascii="Arial" w:cs="Arial" w:eastAsia="Arial" w:hAnsi="Arial"/>
                <w:sz w:val="8"/>
                <w:szCs w:val="8"/>
                <w:color w:val="auto"/>
              </w:rPr>
              <w:t>Accumulated deficit</w:t>
            </w:r>
          </w:p>
        </w:tc>
        <w:tc>
          <w:tcPr>
            <w:tcW w:w="180" w:type="dxa"/>
            <w:vAlign w:val="bottom"/>
            <w:shd w:val="clear" w:color="auto" w:fill="CFF0FC"/>
          </w:tcPr>
          <w:p>
            <w:pPr>
              <w:spacing w:after="0"/>
              <w:rPr>
                <w:sz w:val="8"/>
                <w:szCs w:val="8"/>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8"/>
                <w:szCs w:val="8"/>
                <w:color w:val="auto"/>
              </w:rPr>
              <w:t>(125,876)</w:t>
            </w:r>
          </w:p>
        </w:tc>
        <w:tc>
          <w:tcPr>
            <w:tcW w:w="260" w:type="dxa"/>
            <w:vAlign w:val="bottom"/>
            <w:shd w:val="clear" w:color="auto" w:fill="CFF0FC"/>
          </w:tcPr>
          <w:p>
            <w:pPr>
              <w:spacing w:after="0"/>
              <w:rPr>
                <w:sz w:val="8"/>
                <w:szCs w:val="8"/>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(75,686)</w:t>
            </w:r>
          </w:p>
        </w:tc>
      </w:tr>
      <w:tr>
        <w:trPr>
          <w:trHeight w:val="88"/>
        </w:trPr>
        <w:tc>
          <w:tcPr>
            <w:tcW w:w="8000" w:type="dxa"/>
            <w:vAlign w:val="bottom"/>
          </w:tcPr>
          <w:p>
            <w:pPr>
              <w:spacing w:after="0" w:line="88" w:lineRule="exact"/>
              <w:rPr>
                <w:sz w:val="20"/>
                <w:szCs w:val="20"/>
                <w:color w:val="auto"/>
              </w:rPr>
            </w:pPr>
            <w:r>
              <w:rPr>
                <w:rFonts w:ascii="Arial" w:cs="Arial" w:eastAsia="Arial" w:hAnsi="Arial"/>
                <w:sz w:val="8"/>
                <w:szCs w:val="8"/>
                <w:color w:val="auto"/>
              </w:rPr>
              <w:t>TOTAL STOCKHOLDERS’ EQUITY</w:t>
            </w:r>
          </w:p>
        </w:tc>
        <w:tc>
          <w:tcPr>
            <w:tcW w:w="18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jc w:val="right"/>
              <w:spacing w:after="0" w:line="88" w:lineRule="exact"/>
              <w:rPr>
                <w:sz w:val="20"/>
                <w:szCs w:val="20"/>
                <w:color w:val="auto"/>
              </w:rPr>
            </w:pPr>
            <w:r>
              <w:rPr>
                <w:rFonts w:ascii="Arial" w:cs="Arial" w:eastAsia="Arial" w:hAnsi="Arial"/>
                <w:sz w:val="8"/>
                <w:szCs w:val="8"/>
                <w:color w:val="auto"/>
              </w:rPr>
              <w:t>44,805</w:t>
            </w:r>
          </w:p>
        </w:tc>
        <w:tc>
          <w:tcPr>
            <w:tcW w:w="30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380" w:type="dxa"/>
            <w:vAlign w:val="bottom"/>
            <w:tcBorders>
              <w:top w:val="single" w:sz="8" w:color="auto"/>
            </w:tcBorders>
          </w:tcPr>
          <w:p>
            <w:pPr>
              <w:jc w:val="right"/>
              <w:spacing w:after="0" w:line="88" w:lineRule="exact"/>
              <w:rPr>
                <w:sz w:val="20"/>
                <w:szCs w:val="20"/>
                <w:color w:val="auto"/>
              </w:rPr>
            </w:pPr>
            <w:r>
              <w:rPr>
                <w:rFonts w:ascii="Arial" w:cs="Arial" w:eastAsia="Arial" w:hAnsi="Arial"/>
                <w:sz w:val="8"/>
                <w:szCs w:val="8"/>
                <w:color w:val="auto"/>
              </w:rPr>
              <w:t>74,178</w:t>
            </w:r>
          </w:p>
        </w:tc>
        <w:tc>
          <w:tcPr>
            <w:tcW w:w="120" w:type="dxa"/>
            <w:vAlign w:val="bottom"/>
          </w:tcPr>
          <w:p>
            <w:pPr>
              <w:spacing w:after="0"/>
              <w:rPr>
                <w:sz w:val="7"/>
                <w:szCs w:val="7"/>
                <w:color w:val="auto"/>
              </w:rPr>
            </w:pPr>
          </w:p>
        </w:tc>
      </w:tr>
      <w:tr>
        <w:trPr>
          <w:trHeight w:val="99"/>
        </w:trPr>
        <w:tc>
          <w:tcPr>
            <w:tcW w:w="8000" w:type="dxa"/>
            <w:vAlign w:val="bottom"/>
            <w:shd w:val="clear" w:color="auto" w:fill="CFF0FC"/>
          </w:tcPr>
          <w:p>
            <w:pPr>
              <w:spacing w:after="0"/>
              <w:rPr>
                <w:sz w:val="20"/>
                <w:szCs w:val="20"/>
                <w:color w:val="auto"/>
              </w:rPr>
            </w:pPr>
            <w:r>
              <w:rPr>
                <w:rFonts w:ascii="Arial" w:cs="Arial" w:eastAsia="Arial" w:hAnsi="Arial"/>
                <w:sz w:val="8"/>
                <w:szCs w:val="8"/>
                <w:color w:val="auto"/>
              </w:rPr>
              <w:t>Non-controlling interests</w:t>
            </w:r>
          </w:p>
        </w:tc>
        <w:tc>
          <w:tcPr>
            <w:tcW w:w="180" w:type="dxa"/>
            <w:vAlign w:val="bottom"/>
            <w:tcBorders>
              <w:bottom w:val="single" w:sz="8" w:color="auto"/>
            </w:tcBorders>
            <w:shd w:val="clear" w:color="auto" w:fill="CFF0FC"/>
          </w:tcPr>
          <w:p>
            <w:pPr>
              <w:spacing w:after="0"/>
              <w:rPr>
                <w:sz w:val="8"/>
                <w:szCs w:val="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1,769</w:t>
            </w:r>
          </w:p>
        </w:tc>
        <w:tc>
          <w:tcPr>
            <w:tcW w:w="300" w:type="dxa"/>
            <w:vAlign w:val="bottom"/>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spacing w:after="0"/>
              <w:rPr>
                <w:sz w:val="8"/>
                <w:szCs w:val="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2,500</w:t>
            </w:r>
          </w:p>
        </w:tc>
        <w:tc>
          <w:tcPr>
            <w:tcW w:w="120" w:type="dxa"/>
            <w:vAlign w:val="bottom"/>
            <w:shd w:val="clear" w:color="auto" w:fill="CFF0FC"/>
          </w:tcPr>
          <w:p>
            <w:pPr>
              <w:spacing w:after="0"/>
              <w:rPr>
                <w:sz w:val="8"/>
                <w:szCs w:val="8"/>
                <w:color w:val="auto"/>
              </w:rPr>
            </w:pPr>
          </w:p>
        </w:tc>
      </w:tr>
      <w:tr>
        <w:trPr>
          <w:trHeight w:val="88"/>
        </w:trPr>
        <w:tc>
          <w:tcPr>
            <w:tcW w:w="8000" w:type="dxa"/>
            <w:vAlign w:val="bottom"/>
            <w:tcBorders>
              <w:bottom w:val="single" w:sz="8" w:color="CFF0FC"/>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8"/>
                <w:szCs w:val="8"/>
                <w:color w:val="auto"/>
              </w:rPr>
              <w:t>46,574</w:t>
            </w:r>
          </w:p>
        </w:tc>
        <w:tc>
          <w:tcPr>
            <w:tcW w:w="300" w:type="dxa"/>
            <w:vAlign w:val="bottom"/>
            <w:tcBorders>
              <w:bottom w:val="single" w:sz="8" w:color="CFF0FC"/>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8"/>
                <w:szCs w:val="8"/>
                <w:color w:val="auto"/>
              </w:rPr>
              <w:t>76,678</w:t>
            </w:r>
          </w:p>
        </w:tc>
        <w:tc>
          <w:tcPr>
            <w:tcW w:w="120" w:type="dxa"/>
            <w:vAlign w:val="bottom"/>
            <w:tcBorders>
              <w:bottom w:val="single" w:sz="8" w:color="CFF0FC"/>
            </w:tcBorders>
          </w:tcPr>
          <w:p>
            <w:pPr>
              <w:spacing w:after="0"/>
              <w:rPr>
                <w:sz w:val="7"/>
                <w:szCs w:val="7"/>
                <w:color w:val="auto"/>
              </w:rPr>
            </w:pPr>
          </w:p>
        </w:tc>
      </w:tr>
      <w:tr>
        <w:trPr>
          <w:trHeight w:val="95"/>
        </w:trPr>
        <w:tc>
          <w:tcPr>
            <w:tcW w:w="8000" w:type="dxa"/>
            <w:vAlign w:val="bottom"/>
            <w:tcBorders>
              <w:bottom w:val="single" w:sz="8" w:color="CFF0FC"/>
            </w:tcBorders>
            <w:shd w:val="clear" w:color="auto" w:fill="CFF0FC"/>
          </w:tcPr>
          <w:p>
            <w:pPr>
              <w:spacing w:after="0" w:line="88" w:lineRule="exact"/>
              <w:rPr>
                <w:sz w:val="20"/>
                <w:szCs w:val="20"/>
                <w:color w:val="auto"/>
              </w:rPr>
            </w:pPr>
            <w:r>
              <w:rPr>
                <w:rFonts w:ascii="Arial" w:cs="Arial" w:eastAsia="Arial" w:hAnsi="Arial"/>
                <w:sz w:val="8"/>
                <w:szCs w:val="8"/>
                <w:color w:val="auto"/>
              </w:rPr>
              <w:t>TOTAL LIABILITIES AND STOCKHOLDERS’ EQUITY</w:t>
            </w:r>
          </w:p>
        </w:tc>
        <w:tc>
          <w:tcPr>
            <w:tcW w:w="180" w:type="dxa"/>
            <w:vAlign w:val="bottom"/>
            <w:tcBorders>
              <w:bottom w:val="single" w:sz="8" w:color="auto"/>
            </w:tcBorders>
            <w:shd w:val="clear" w:color="auto" w:fill="CFF0FC"/>
          </w:tcPr>
          <w:p>
            <w:pPr>
              <w:jc w:val="right"/>
              <w:ind w:right="114"/>
              <w:spacing w:after="0"/>
              <w:rPr>
                <w:sz w:val="20"/>
                <w:szCs w:val="20"/>
                <w:color w:val="auto"/>
              </w:rPr>
            </w:pPr>
            <w:r>
              <w:rPr>
                <w:rFonts w:ascii="Arial" w:cs="Arial" w:eastAsia="Arial" w:hAnsi="Arial"/>
                <w:sz w:val="5"/>
                <w:szCs w:val="5"/>
                <w:color w:val="auto"/>
                <w:w w:val="70"/>
              </w:rPr>
              <w:t>$</w:t>
            </w:r>
          </w:p>
        </w:tc>
        <w:tc>
          <w:tcPr>
            <w:tcW w:w="1060" w:type="dxa"/>
            <w:vAlign w:val="bottom"/>
            <w:tcBorders>
              <w:bottom w:val="single" w:sz="8" w:color="auto"/>
            </w:tcBorders>
            <w:shd w:val="clear" w:color="auto" w:fill="CFF0FC"/>
          </w:tcPr>
          <w:p>
            <w:pPr>
              <w:jc w:val="right"/>
              <w:spacing w:after="0" w:line="88" w:lineRule="exact"/>
              <w:rPr>
                <w:sz w:val="20"/>
                <w:szCs w:val="20"/>
                <w:color w:val="auto"/>
              </w:rPr>
            </w:pPr>
            <w:r>
              <w:rPr>
                <w:rFonts w:ascii="Arial" w:cs="Arial" w:eastAsia="Arial" w:hAnsi="Arial"/>
                <w:sz w:val="8"/>
                <w:szCs w:val="8"/>
                <w:color w:val="auto"/>
              </w:rPr>
              <w:t>155,258</w:t>
            </w:r>
          </w:p>
        </w:tc>
        <w:tc>
          <w:tcPr>
            <w:tcW w:w="30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jc w:val="right"/>
              <w:ind w:right="158"/>
              <w:spacing w:after="0" w:line="88" w:lineRule="exact"/>
              <w:rPr>
                <w:sz w:val="20"/>
                <w:szCs w:val="20"/>
                <w:color w:val="auto"/>
              </w:rPr>
            </w:pPr>
            <w:r>
              <w:rPr>
                <w:rFonts w:ascii="Arial" w:cs="Arial" w:eastAsia="Arial" w:hAnsi="Arial"/>
                <w:sz w:val="8"/>
                <w:szCs w:val="8"/>
                <w:color w:val="auto"/>
                <w:w w:val="88"/>
              </w:rPr>
              <w:t>$</w:t>
            </w:r>
          </w:p>
        </w:tc>
        <w:tc>
          <w:tcPr>
            <w:tcW w:w="1380" w:type="dxa"/>
            <w:vAlign w:val="bottom"/>
            <w:tcBorders>
              <w:bottom w:val="single" w:sz="8" w:color="auto"/>
            </w:tcBorders>
            <w:shd w:val="clear" w:color="auto" w:fill="CFF0FC"/>
          </w:tcPr>
          <w:p>
            <w:pPr>
              <w:jc w:val="right"/>
              <w:spacing w:after="0" w:line="88" w:lineRule="exact"/>
              <w:rPr>
                <w:sz w:val="20"/>
                <w:szCs w:val="20"/>
                <w:color w:val="auto"/>
              </w:rPr>
            </w:pPr>
            <w:r>
              <w:rPr>
                <w:rFonts w:ascii="Arial" w:cs="Arial" w:eastAsia="Arial" w:hAnsi="Arial"/>
                <w:sz w:val="8"/>
                <w:szCs w:val="8"/>
                <w:color w:val="auto"/>
              </w:rPr>
              <w:t>191,127</w:t>
            </w:r>
          </w:p>
        </w:tc>
        <w:tc>
          <w:tcPr>
            <w:tcW w:w="120" w:type="dxa"/>
            <w:vAlign w:val="bottom"/>
            <w:tcBorders>
              <w:bottom w:val="single" w:sz="8" w:color="CFF0FC"/>
            </w:tcBorders>
            <w:shd w:val="clear" w:color="auto" w:fill="CFF0FC"/>
          </w:tcPr>
          <w:p>
            <w:pPr>
              <w:spacing w:after="0"/>
              <w:rPr>
                <w:sz w:val="8"/>
                <w:szCs w:val="8"/>
                <w:color w:val="auto"/>
              </w:rPr>
            </w:pP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3" w:name="page4"/>
    <w:bookmarkEnd w:id="3"/>
    <w:p>
      <w:pPr>
        <w:ind w:left="5000"/>
        <w:spacing w:after="0"/>
        <w:rPr>
          <w:sz w:val="20"/>
          <w:szCs w:val="20"/>
          <w:color w:val="auto"/>
        </w:rPr>
      </w:pPr>
      <w:r>
        <w:rPr>
          <w:rFonts w:ascii="Arial" w:cs="Arial" w:eastAsia="Arial" w:hAnsi="Arial"/>
          <w:sz w:val="12"/>
          <w:szCs w:val="12"/>
          <w:b w:val="1"/>
          <w:bCs w:val="1"/>
          <w:color w:val="auto"/>
        </w:rPr>
        <w:t>VENUS CONCEPT INC.</w:t>
      </w:r>
    </w:p>
    <w:p>
      <w:pPr>
        <w:spacing w:after="0" w:line="78" w:lineRule="exact"/>
        <w:rPr>
          <w:sz w:val="20"/>
          <w:szCs w:val="20"/>
          <w:color w:val="auto"/>
        </w:rPr>
      </w:pPr>
    </w:p>
    <w:p>
      <w:pPr>
        <w:ind w:left="4340"/>
        <w:spacing w:after="0"/>
        <w:rPr>
          <w:sz w:val="20"/>
          <w:szCs w:val="20"/>
          <w:color w:val="auto"/>
        </w:rPr>
      </w:pPr>
      <w:r>
        <w:rPr>
          <w:rFonts w:ascii="Arial" w:cs="Arial" w:eastAsia="Arial" w:hAnsi="Arial"/>
          <w:sz w:val="12"/>
          <w:szCs w:val="12"/>
          <w:b w:val="1"/>
          <w:bCs w:val="1"/>
          <w:color w:val="auto"/>
        </w:rPr>
        <w:t>Condensed Consolidated Statements of Operations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i w:val="1"/>
          <w:iCs w:val="1"/>
          <w:color w:val="auto"/>
        </w:rPr>
        <w:t>(Unaudited)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i w:val="1"/>
          <w:iCs w:val="1"/>
          <w:color w:val="auto"/>
        </w:rPr>
        <w:t>(in thousands, except for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7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40" w:type="dxa"/>
            <w:vAlign w:val="bottom"/>
            <w:gridSpan w:val="3"/>
          </w:tcPr>
          <w:p>
            <w:pPr>
              <w:jc w:val="right"/>
              <w:ind w:right="212"/>
              <w:spacing w:after="0"/>
              <w:rPr>
                <w:sz w:val="20"/>
                <w:szCs w:val="20"/>
                <w:color w:val="auto"/>
              </w:rPr>
            </w:pPr>
            <w:r>
              <w:rPr>
                <w:rFonts w:ascii="Arial" w:cs="Arial" w:eastAsia="Arial" w:hAnsi="Arial"/>
                <w:sz w:val="11"/>
                <w:szCs w:val="11"/>
                <w:b w:val="1"/>
                <w:bCs w:val="1"/>
                <w:color w:val="auto"/>
              </w:rPr>
              <w:t>Three Months</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1"/>
                <w:szCs w:val="11"/>
                <w:b w:val="1"/>
                <w:bCs w:val="1"/>
                <w:color w:val="auto"/>
              </w:rPr>
              <w:t>Ended March 31</w:t>
            </w:r>
          </w:p>
        </w:tc>
        <w:tc>
          <w:tcPr>
            <w:tcW w:w="1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740" w:type="dxa"/>
            <w:vAlign w:val="bottom"/>
            <w:tcBorders>
              <w:bottom w:val="single" w:sz="8" w:color="CFF0FC"/>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21"/>
              <w:spacing w:after="0"/>
              <w:rPr>
                <w:sz w:val="20"/>
                <w:szCs w:val="20"/>
                <w:color w:val="auto"/>
              </w:rPr>
            </w:pPr>
            <w:r>
              <w:rPr>
                <w:rFonts w:ascii="Arial" w:cs="Arial" w:eastAsia="Arial" w:hAnsi="Arial"/>
                <w:sz w:val="11"/>
                <w:szCs w:val="11"/>
                <w:b w:val="1"/>
                <w:bCs w:val="1"/>
                <w:color w:val="auto"/>
              </w:rPr>
              <w:t>2020</w:t>
            </w:r>
          </w:p>
        </w:tc>
        <w:tc>
          <w:tcPr>
            <w:tcW w:w="300" w:type="dxa"/>
            <w:vAlign w:val="bottom"/>
            <w:tcBorders>
              <w:bottom w:val="single" w:sz="8" w:color="CFF0FC"/>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20"/>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74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Revenue</w:t>
            </w:r>
          </w:p>
        </w:tc>
        <w:tc>
          <w:tcPr>
            <w:tcW w:w="3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740" w:type="dxa"/>
            <w:vAlign w:val="bottom"/>
          </w:tcPr>
          <w:p>
            <w:pPr>
              <w:ind w:left="160"/>
              <w:spacing w:after="0"/>
              <w:rPr>
                <w:sz w:val="20"/>
                <w:szCs w:val="20"/>
                <w:color w:val="auto"/>
              </w:rPr>
            </w:pPr>
            <w:r>
              <w:rPr>
                <w:rFonts w:ascii="Arial" w:cs="Arial" w:eastAsia="Arial" w:hAnsi="Arial"/>
                <w:sz w:val="12"/>
                <w:szCs w:val="12"/>
                <w:color w:val="auto"/>
              </w:rPr>
              <w:t>Leases</w:t>
            </w: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6,813</w:t>
            </w:r>
          </w:p>
        </w:tc>
        <w:tc>
          <w:tcPr>
            <w:tcW w:w="300" w:type="dxa"/>
            <w:vAlign w:val="bottom"/>
          </w:tcPr>
          <w:p>
            <w:pPr>
              <w:spacing w:after="0"/>
              <w:rPr>
                <w:sz w:val="13"/>
                <w:szCs w:val="13"/>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15,742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Products and services</w:t>
            </w:r>
          </w:p>
        </w:tc>
        <w:tc>
          <w:tcPr>
            <w:tcW w:w="38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7,695</w:t>
            </w:r>
          </w:p>
        </w:tc>
        <w:tc>
          <w:tcPr>
            <w:tcW w:w="300" w:type="dxa"/>
            <w:vAlign w:val="bottom"/>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8,838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14,508</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24,580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740" w:type="dxa"/>
            <w:vAlign w:val="bottom"/>
            <w:shd w:val="clear" w:color="auto" w:fill="CFF0FC"/>
          </w:tcPr>
          <w:p>
            <w:pPr>
              <w:spacing w:after="0"/>
              <w:rPr>
                <w:sz w:val="20"/>
                <w:szCs w:val="20"/>
                <w:color w:val="auto"/>
              </w:rPr>
            </w:pPr>
            <w:r>
              <w:rPr>
                <w:rFonts w:ascii="Arial" w:cs="Arial" w:eastAsia="Arial" w:hAnsi="Arial"/>
                <w:sz w:val="12"/>
                <w:szCs w:val="12"/>
                <w:color w:val="auto"/>
              </w:rPr>
              <w:t>Cost of goods sold</w:t>
            </w:r>
          </w:p>
        </w:tc>
        <w:tc>
          <w:tcPr>
            <w:tcW w:w="3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40" w:type="dxa"/>
            <w:vAlign w:val="bottom"/>
          </w:tcPr>
          <w:p>
            <w:pPr>
              <w:ind w:left="160"/>
              <w:spacing w:after="0"/>
              <w:rPr>
                <w:sz w:val="20"/>
                <w:szCs w:val="20"/>
                <w:color w:val="auto"/>
              </w:rPr>
            </w:pPr>
            <w:r>
              <w:rPr>
                <w:rFonts w:ascii="Arial" w:cs="Arial" w:eastAsia="Arial" w:hAnsi="Arial"/>
                <w:sz w:val="12"/>
                <w:szCs w:val="12"/>
                <w:color w:val="auto"/>
              </w:rPr>
              <w:t>Leases</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1,452</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3,479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Products and services</w:t>
            </w:r>
          </w:p>
        </w:tc>
        <w:tc>
          <w:tcPr>
            <w:tcW w:w="38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3,776</w:t>
            </w:r>
          </w:p>
        </w:tc>
        <w:tc>
          <w:tcPr>
            <w:tcW w:w="300" w:type="dxa"/>
            <w:vAlign w:val="bottom"/>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3,036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740" w:type="dxa"/>
            <w:vAlign w:val="bottom"/>
            <w:tcBorders>
              <w:bottom w:val="single" w:sz="8" w:color="CFF0FC"/>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5,228</w:t>
            </w:r>
          </w:p>
        </w:tc>
        <w:tc>
          <w:tcPr>
            <w:tcW w:w="300" w:type="dxa"/>
            <w:vAlign w:val="bottom"/>
            <w:tcBorders>
              <w:bottom w:val="single" w:sz="8" w:color="CFF0FC"/>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6,515</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40" w:type="dxa"/>
            <w:vAlign w:val="bottom"/>
            <w:shd w:val="clear" w:color="auto" w:fill="CFF0FC"/>
          </w:tcPr>
          <w:p>
            <w:pPr>
              <w:spacing w:after="0"/>
              <w:rPr>
                <w:sz w:val="20"/>
                <w:szCs w:val="20"/>
                <w:color w:val="auto"/>
              </w:rPr>
            </w:pPr>
            <w:r>
              <w:rPr>
                <w:rFonts w:ascii="Arial" w:cs="Arial" w:eastAsia="Arial" w:hAnsi="Arial"/>
                <w:sz w:val="12"/>
                <w:szCs w:val="12"/>
                <w:color w:val="auto"/>
              </w:rPr>
              <w:t>Gross profit</w:t>
            </w:r>
          </w:p>
        </w:tc>
        <w:tc>
          <w:tcPr>
            <w:tcW w:w="38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9,280</w:t>
            </w:r>
          </w:p>
        </w:tc>
        <w:tc>
          <w:tcPr>
            <w:tcW w:w="300" w:type="dxa"/>
            <w:vAlign w:val="bottom"/>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18,065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40" w:type="dxa"/>
            <w:vAlign w:val="bottom"/>
          </w:tcPr>
          <w:p>
            <w:pPr>
              <w:spacing w:after="0"/>
              <w:rPr>
                <w:sz w:val="20"/>
                <w:szCs w:val="20"/>
                <w:color w:val="auto"/>
              </w:rPr>
            </w:pPr>
            <w:r>
              <w:rPr>
                <w:rFonts w:ascii="Arial" w:cs="Arial" w:eastAsia="Arial" w:hAnsi="Arial"/>
                <w:sz w:val="12"/>
                <w:szCs w:val="12"/>
                <w:color w:val="auto"/>
              </w:rPr>
              <w:t>Operating expenses:</w:t>
            </w: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7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Selling and marketing</w:t>
            </w:r>
          </w:p>
        </w:tc>
        <w:tc>
          <w:tcPr>
            <w:tcW w:w="38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8,611</w:t>
            </w:r>
          </w:p>
        </w:tc>
        <w:tc>
          <w:tcPr>
            <w:tcW w:w="3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9,532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40" w:type="dxa"/>
            <w:vAlign w:val="bottom"/>
          </w:tcPr>
          <w:p>
            <w:pPr>
              <w:ind w:left="160"/>
              <w:spacing w:after="0"/>
              <w:rPr>
                <w:sz w:val="20"/>
                <w:szCs w:val="20"/>
                <w:color w:val="auto"/>
              </w:rPr>
            </w:pPr>
            <w:r>
              <w:rPr>
                <w:rFonts w:ascii="Arial" w:cs="Arial" w:eastAsia="Arial" w:hAnsi="Arial"/>
                <w:sz w:val="12"/>
                <w:szCs w:val="12"/>
                <w:color w:val="auto"/>
              </w:rPr>
              <w:t>General and administrative</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14,176</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8,340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Research and development</w:t>
            </w:r>
          </w:p>
        </w:tc>
        <w:tc>
          <w:tcPr>
            <w:tcW w:w="38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2,624</w:t>
            </w:r>
          </w:p>
        </w:tc>
        <w:tc>
          <w:tcPr>
            <w:tcW w:w="3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2,061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40" w:type="dxa"/>
            <w:vAlign w:val="bottom"/>
          </w:tcPr>
          <w:p>
            <w:pPr>
              <w:ind w:left="160"/>
              <w:spacing w:after="0"/>
              <w:rPr>
                <w:sz w:val="20"/>
                <w:szCs w:val="20"/>
                <w:color w:val="auto"/>
              </w:rPr>
            </w:pPr>
            <w:r>
              <w:rPr>
                <w:rFonts w:ascii="Arial" w:cs="Arial" w:eastAsia="Arial" w:hAnsi="Arial"/>
                <w:sz w:val="12"/>
                <w:szCs w:val="12"/>
                <w:color w:val="auto"/>
              </w:rPr>
              <w:t>Goodwill impairment</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27,450</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 operating expenses</w:t>
            </w:r>
          </w:p>
        </w:tc>
        <w:tc>
          <w:tcPr>
            <w:tcW w:w="380" w:type="dxa"/>
            <w:vAlign w:val="bottom"/>
            <w:tcBorders>
              <w:top w:val="single" w:sz="8" w:color="auto"/>
              <w:bottom w:val="single" w:sz="8" w:color="auto"/>
            </w:tcBorders>
            <w:shd w:val="clear" w:color="auto" w:fill="CFF0FC"/>
          </w:tcPr>
          <w:p>
            <w:pPr>
              <w:spacing w:after="0"/>
              <w:rPr>
                <w:sz w:val="12"/>
                <w:szCs w:val="12"/>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52,861</w:t>
            </w:r>
          </w:p>
        </w:tc>
        <w:tc>
          <w:tcPr>
            <w:tcW w:w="300" w:type="dxa"/>
            <w:vAlign w:val="bottom"/>
            <w:tcBorders>
              <w:top w:val="single" w:sz="8" w:color="CFF0FC"/>
            </w:tcBorders>
            <w:shd w:val="clear" w:color="auto" w:fill="CFF0FC"/>
          </w:tcPr>
          <w:p>
            <w:pPr>
              <w:spacing w:after="0"/>
              <w:rPr>
                <w:sz w:val="12"/>
                <w:szCs w:val="12"/>
                <w:color w:val="auto"/>
              </w:rPr>
            </w:pPr>
          </w:p>
        </w:tc>
        <w:tc>
          <w:tcPr>
            <w:tcW w:w="440" w:type="dxa"/>
            <w:vAlign w:val="bottom"/>
            <w:tcBorders>
              <w:top w:val="single" w:sz="8" w:color="auto"/>
              <w:bottom w:val="single" w:sz="8" w:color="auto"/>
            </w:tcBorders>
            <w:shd w:val="clear" w:color="auto" w:fill="CFF0FC"/>
          </w:tcPr>
          <w:p>
            <w:pPr>
              <w:spacing w:after="0"/>
              <w:rPr>
                <w:sz w:val="12"/>
                <w:szCs w:val="12"/>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19,933</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40" w:type="dxa"/>
            <w:vAlign w:val="bottom"/>
          </w:tcPr>
          <w:p>
            <w:pPr>
              <w:spacing w:after="0"/>
              <w:rPr>
                <w:sz w:val="20"/>
                <w:szCs w:val="20"/>
                <w:color w:val="auto"/>
              </w:rPr>
            </w:pPr>
            <w:r>
              <w:rPr>
                <w:rFonts w:ascii="Arial" w:cs="Arial" w:eastAsia="Arial" w:hAnsi="Arial"/>
                <w:sz w:val="12"/>
                <w:szCs w:val="12"/>
                <w:color w:val="auto"/>
              </w:rPr>
              <w:t>Loss from operations</w:t>
            </w:r>
          </w:p>
        </w:tc>
        <w:tc>
          <w:tcPr>
            <w:tcW w:w="380" w:type="dxa"/>
            <w:vAlign w:val="bottom"/>
          </w:tcPr>
          <w:p>
            <w:pPr>
              <w:spacing w:after="0"/>
              <w:rPr>
                <w:sz w:val="12"/>
                <w:szCs w:val="12"/>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2"/>
                <w:szCs w:val="12"/>
                <w:color w:val="auto"/>
              </w:rPr>
              <w:t>(43,581)</w:t>
            </w:r>
          </w:p>
        </w:tc>
        <w:tc>
          <w:tcPr>
            <w:tcW w:w="440" w:type="dxa"/>
            <w:vAlign w:val="bottom"/>
          </w:tcPr>
          <w:p>
            <w:pPr>
              <w:spacing w:after="0"/>
              <w:rPr>
                <w:sz w:val="12"/>
                <w:szCs w:val="1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(1,868)</w:t>
            </w:r>
          </w:p>
        </w:tc>
        <w:tc>
          <w:tcPr>
            <w:tcW w:w="0" w:type="dxa"/>
            <w:vAlign w:val="bottom"/>
          </w:tcPr>
          <w:p>
            <w:pPr>
              <w:spacing w:after="0"/>
              <w:rPr>
                <w:sz w:val="1"/>
                <w:szCs w:val="1"/>
                <w:color w:val="auto"/>
              </w:rPr>
            </w:pPr>
          </w:p>
        </w:tc>
      </w:tr>
      <w:tr>
        <w:trPr>
          <w:trHeight w:val="142"/>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Other expenses:</w:t>
            </w:r>
          </w:p>
        </w:tc>
        <w:tc>
          <w:tcPr>
            <w:tcW w:w="380" w:type="dxa"/>
            <w:vAlign w:val="bottom"/>
            <w:tcBorders>
              <w:top w:val="single" w:sz="8" w:color="auto"/>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740" w:type="dxa"/>
            <w:vAlign w:val="bottom"/>
          </w:tcPr>
          <w:p>
            <w:pPr>
              <w:ind w:left="160"/>
              <w:spacing w:after="0"/>
              <w:rPr>
                <w:sz w:val="20"/>
                <w:szCs w:val="20"/>
                <w:color w:val="auto"/>
              </w:rPr>
            </w:pPr>
            <w:r>
              <w:rPr>
                <w:rFonts w:ascii="Arial" w:cs="Arial" w:eastAsia="Arial" w:hAnsi="Arial"/>
                <w:sz w:val="12"/>
                <w:szCs w:val="12"/>
                <w:color w:val="auto"/>
              </w:rPr>
              <w:t>Foreign exchange loss</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4,279</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697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Finance expenses</w:t>
            </w:r>
          </w:p>
        </w:tc>
        <w:tc>
          <w:tcPr>
            <w:tcW w:w="38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2,254</w:t>
            </w:r>
          </w:p>
        </w:tc>
        <w:tc>
          <w:tcPr>
            <w:tcW w:w="300" w:type="dxa"/>
            <w:vAlign w:val="bottom"/>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1,654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740" w:type="dxa"/>
            <w:vAlign w:val="bottom"/>
          </w:tcPr>
          <w:p>
            <w:pPr>
              <w:spacing w:after="0"/>
              <w:rPr>
                <w:sz w:val="20"/>
                <w:szCs w:val="20"/>
                <w:color w:val="auto"/>
              </w:rPr>
            </w:pPr>
            <w:r>
              <w:rPr>
                <w:rFonts w:ascii="Arial" w:cs="Arial" w:eastAsia="Arial" w:hAnsi="Arial"/>
                <w:sz w:val="12"/>
                <w:szCs w:val="12"/>
                <w:color w:val="auto"/>
              </w:rPr>
              <w:t>Loss before income taxes</w:t>
            </w:r>
          </w:p>
        </w:tc>
        <w:tc>
          <w:tcPr>
            <w:tcW w:w="380" w:type="dxa"/>
            <w:vAlign w:val="bottom"/>
          </w:tcPr>
          <w:p>
            <w:pPr>
              <w:spacing w:after="0"/>
              <w:rPr>
                <w:sz w:val="12"/>
                <w:szCs w:val="12"/>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2"/>
                <w:szCs w:val="12"/>
                <w:color w:val="auto"/>
              </w:rPr>
              <w:t>(50,114)</w:t>
            </w:r>
          </w:p>
        </w:tc>
        <w:tc>
          <w:tcPr>
            <w:tcW w:w="440" w:type="dxa"/>
            <w:vAlign w:val="bottom"/>
          </w:tcPr>
          <w:p>
            <w:pPr>
              <w:spacing w:after="0"/>
              <w:rPr>
                <w:sz w:val="12"/>
                <w:szCs w:val="1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(4,219)</w:t>
            </w:r>
          </w:p>
        </w:tc>
        <w:tc>
          <w:tcPr>
            <w:tcW w:w="0" w:type="dxa"/>
            <w:vAlign w:val="bottom"/>
          </w:tcPr>
          <w:p>
            <w:pPr>
              <w:spacing w:after="0"/>
              <w:rPr>
                <w:sz w:val="1"/>
                <w:szCs w:val="1"/>
                <w:color w:val="auto"/>
              </w:rPr>
            </w:pPr>
          </w:p>
        </w:tc>
      </w:tr>
      <w:tr>
        <w:trPr>
          <w:trHeight w:val="153"/>
        </w:trPr>
        <w:tc>
          <w:tcPr>
            <w:tcW w:w="7740" w:type="dxa"/>
            <w:vAlign w:val="bottom"/>
            <w:shd w:val="clear" w:color="auto" w:fill="CFF0FC"/>
          </w:tcPr>
          <w:p>
            <w:pPr>
              <w:spacing w:after="0"/>
              <w:rPr>
                <w:sz w:val="20"/>
                <w:szCs w:val="20"/>
                <w:color w:val="auto"/>
              </w:rPr>
            </w:pPr>
            <w:r>
              <w:rPr>
                <w:rFonts w:ascii="Arial" w:cs="Arial" w:eastAsia="Arial" w:hAnsi="Arial"/>
                <w:sz w:val="12"/>
                <w:szCs w:val="12"/>
                <w:color w:val="auto"/>
              </w:rPr>
              <w:t>Income tax expense</w:t>
            </w:r>
          </w:p>
        </w:tc>
        <w:tc>
          <w:tcPr>
            <w:tcW w:w="38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589</w:t>
            </w:r>
          </w:p>
        </w:tc>
        <w:tc>
          <w:tcPr>
            <w:tcW w:w="300" w:type="dxa"/>
            <w:vAlign w:val="bottom"/>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886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740" w:type="dxa"/>
            <w:vAlign w:val="bottom"/>
          </w:tcPr>
          <w:p>
            <w:pPr>
              <w:spacing w:after="0"/>
              <w:rPr>
                <w:sz w:val="20"/>
                <w:szCs w:val="20"/>
                <w:color w:val="auto"/>
              </w:rPr>
            </w:pPr>
            <w:r>
              <w:rPr>
                <w:rFonts w:ascii="Arial" w:cs="Arial" w:eastAsia="Arial" w:hAnsi="Arial"/>
                <w:sz w:val="12"/>
                <w:szCs w:val="12"/>
                <w:color w:val="auto"/>
              </w:rPr>
              <w:t>Net loss</w:t>
            </w:r>
          </w:p>
        </w:tc>
        <w:tc>
          <w:tcPr>
            <w:tcW w:w="380" w:type="dxa"/>
            <w:vAlign w:val="bottom"/>
          </w:tcPr>
          <w:p>
            <w:pPr>
              <w:spacing w:after="0"/>
              <w:rPr>
                <w:sz w:val="12"/>
                <w:szCs w:val="12"/>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2"/>
                <w:szCs w:val="12"/>
                <w:color w:val="auto"/>
              </w:rPr>
              <w:t>(50,703)</w:t>
            </w:r>
          </w:p>
        </w:tc>
        <w:tc>
          <w:tcPr>
            <w:tcW w:w="440" w:type="dxa"/>
            <w:vAlign w:val="bottom"/>
          </w:tcPr>
          <w:p>
            <w:pPr>
              <w:spacing w:after="0"/>
              <w:rPr>
                <w:sz w:val="12"/>
                <w:szCs w:val="1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(5,105)</w:t>
            </w:r>
          </w:p>
        </w:tc>
        <w:tc>
          <w:tcPr>
            <w:tcW w:w="0" w:type="dxa"/>
            <w:vAlign w:val="bottom"/>
          </w:tcPr>
          <w:p>
            <w:pPr>
              <w:spacing w:after="0"/>
              <w:rPr>
                <w:sz w:val="1"/>
                <w:szCs w:val="1"/>
                <w:color w:val="auto"/>
              </w:rPr>
            </w:pPr>
          </w:p>
        </w:tc>
      </w:tr>
      <w:tr>
        <w:trPr>
          <w:trHeight w:val="27"/>
        </w:trPr>
        <w:tc>
          <w:tcPr>
            <w:tcW w:w="774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Loss attributable to stockholders of the Company</w:t>
            </w:r>
          </w:p>
        </w:tc>
        <w:tc>
          <w:tcPr>
            <w:tcW w:w="3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7740" w:type="dxa"/>
            <w:vAlign w:val="bottom"/>
            <w:vMerge w:val="continue"/>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(50,190)</w:t>
            </w:r>
          </w:p>
        </w:tc>
        <w:tc>
          <w:tcPr>
            <w:tcW w:w="4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(5,273)</w:t>
            </w:r>
          </w:p>
        </w:tc>
        <w:tc>
          <w:tcPr>
            <w:tcW w:w="0" w:type="dxa"/>
            <w:vAlign w:val="bottom"/>
          </w:tcPr>
          <w:p>
            <w:pPr>
              <w:spacing w:after="0"/>
              <w:rPr>
                <w:sz w:val="1"/>
                <w:szCs w:val="1"/>
                <w:color w:val="auto"/>
              </w:rPr>
            </w:pPr>
          </w:p>
        </w:tc>
      </w:tr>
      <w:tr>
        <w:trPr>
          <w:trHeight w:val="153"/>
        </w:trPr>
        <w:tc>
          <w:tcPr>
            <w:tcW w:w="7740" w:type="dxa"/>
            <w:vAlign w:val="bottom"/>
          </w:tcPr>
          <w:p>
            <w:pPr>
              <w:spacing w:after="0"/>
              <w:rPr>
                <w:sz w:val="20"/>
                <w:szCs w:val="20"/>
                <w:color w:val="auto"/>
              </w:rPr>
            </w:pPr>
            <w:r>
              <w:rPr>
                <w:rFonts w:ascii="Arial" w:cs="Arial" w:eastAsia="Arial" w:hAnsi="Arial"/>
                <w:sz w:val="12"/>
                <w:szCs w:val="12"/>
                <w:color w:val="auto"/>
              </w:rPr>
              <w:t>(Loss) income attributable to non-controlling interest</w:t>
            </w:r>
          </w:p>
        </w:tc>
        <w:tc>
          <w:tcPr>
            <w:tcW w:w="380" w:type="dxa"/>
            <w:vAlign w:val="bottom"/>
          </w:tcPr>
          <w:p>
            <w:pPr>
              <w:spacing w:after="0"/>
              <w:rPr>
                <w:sz w:val="13"/>
                <w:szCs w:val="13"/>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2"/>
                <w:szCs w:val="12"/>
                <w:color w:val="auto"/>
              </w:rPr>
              <w:t>(513)</w:t>
            </w:r>
          </w:p>
        </w:tc>
        <w:tc>
          <w:tcPr>
            <w:tcW w:w="4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168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7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(50,703)</w:t>
            </w:r>
          </w:p>
        </w:tc>
        <w:tc>
          <w:tcPr>
            <w:tcW w:w="4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(5,105)</w:t>
            </w:r>
          </w:p>
        </w:tc>
        <w:tc>
          <w:tcPr>
            <w:tcW w:w="0" w:type="dxa"/>
            <w:vAlign w:val="bottom"/>
          </w:tcPr>
          <w:p>
            <w:pPr>
              <w:spacing w:after="0"/>
              <w:rPr>
                <w:sz w:val="1"/>
                <w:szCs w:val="1"/>
                <w:color w:val="auto"/>
              </w:rPr>
            </w:pPr>
          </w:p>
        </w:tc>
      </w:tr>
      <w:tr>
        <w:trPr>
          <w:trHeight w:val="153"/>
        </w:trPr>
        <w:tc>
          <w:tcPr>
            <w:tcW w:w="7740" w:type="dxa"/>
            <w:vAlign w:val="bottom"/>
            <w:tcBorders>
              <w:top w:val="single" w:sz="8" w:color="CFF0FC"/>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300" w:type="dxa"/>
            <w:vAlign w:val="bottom"/>
            <w:tcBorders>
              <w:top w:val="single" w:sz="8" w:color="CFF0FC"/>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40" w:type="dxa"/>
            <w:vAlign w:val="bottom"/>
            <w:shd w:val="clear" w:color="auto" w:fill="CFF0FC"/>
          </w:tcPr>
          <w:p>
            <w:pPr>
              <w:spacing w:after="0"/>
              <w:rPr>
                <w:sz w:val="20"/>
                <w:szCs w:val="20"/>
                <w:color w:val="auto"/>
              </w:rPr>
            </w:pPr>
            <w:r>
              <w:rPr>
                <w:rFonts w:ascii="Arial" w:cs="Arial" w:eastAsia="Arial" w:hAnsi="Arial"/>
                <w:sz w:val="12"/>
                <w:szCs w:val="12"/>
                <w:color w:val="auto"/>
              </w:rPr>
              <w:t>Net loss per share:</w:t>
            </w:r>
          </w:p>
        </w:tc>
        <w:tc>
          <w:tcPr>
            <w:tcW w:w="3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40" w:type="dxa"/>
            <w:vAlign w:val="bottom"/>
          </w:tcPr>
          <w:p>
            <w:pPr>
              <w:spacing w:after="0"/>
              <w:rPr>
                <w:sz w:val="20"/>
                <w:szCs w:val="20"/>
                <w:color w:val="auto"/>
              </w:rPr>
            </w:pPr>
            <w:r>
              <w:rPr>
                <w:rFonts w:ascii="Arial" w:cs="Arial" w:eastAsia="Arial" w:hAnsi="Arial"/>
                <w:sz w:val="12"/>
                <w:szCs w:val="12"/>
                <w:color w:val="auto"/>
              </w:rPr>
              <w:t>Basic</w:t>
            </w: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500" w:type="dxa"/>
            <w:vAlign w:val="bottom"/>
            <w:gridSpan w:val="2"/>
          </w:tcPr>
          <w:p>
            <w:pPr>
              <w:jc w:val="right"/>
              <w:ind w:right="260"/>
              <w:spacing w:after="0"/>
              <w:rPr>
                <w:sz w:val="20"/>
                <w:szCs w:val="20"/>
                <w:color w:val="auto"/>
              </w:rPr>
            </w:pPr>
            <w:r>
              <w:rPr>
                <w:rFonts w:ascii="Arial" w:cs="Arial" w:eastAsia="Arial" w:hAnsi="Arial"/>
                <w:sz w:val="12"/>
                <w:szCs w:val="12"/>
                <w:color w:val="auto"/>
              </w:rPr>
              <w:t>(1.68)</w:t>
            </w: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(1.10)</w:t>
            </w:r>
          </w:p>
        </w:tc>
        <w:tc>
          <w:tcPr>
            <w:tcW w:w="0" w:type="dxa"/>
            <w:vAlign w:val="bottom"/>
          </w:tcPr>
          <w:p>
            <w:pPr>
              <w:spacing w:after="0"/>
              <w:rPr>
                <w:sz w:val="1"/>
                <w:szCs w:val="1"/>
                <w:color w:val="auto"/>
              </w:rPr>
            </w:pPr>
          </w:p>
        </w:tc>
      </w:tr>
      <w:tr>
        <w:trPr>
          <w:trHeight w:val="27"/>
        </w:trPr>
        <w:tc>
          <w:tcPr>
            <w:tcW w:w="774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Diluted</w:t>
            </w:r>
          </w:p>
        </w:tc>
        <w:tc>
          <w:tcPr>
            <w:tcW w:w="3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7740" w:type="dxa"/>
            <w:vAlign w:val="bottom"/>
            <w:vMerge w:val="continue"/>
            <w:shd w:val="clear" w:color="auto" w:fill="CFF0FC"/>
          </w:tcPr>
          <w:p>
            <w:pPr>
              <w:spacing w:after="0"/>
              <w:rPr>
                <w:sz w:val="15"/>
                <w:szCs w:val="15"/>
                <w:color w:val="auto"/>
              </w:rPr>
            </w:pPr>
          </w:p>
        </w:tc>
        <w:tc>
          <w:tcPr>
            <w:tcW w:w="380" w:type="dxa"/>
            <w:vAlign w:val="bottom"/>
            <w:shd w:val="clear" w:color="auto" w:fill="CFF0FC"/>
          </w:tcPr>
          <w:p>
            <w:pPr>
              <w:jc w:val="right"/>
              <w:ind w:right="240"/>
              <w:spacing w:after="0"/>
              <w:rPr>
                <w:sz w:val="20"/>
                <w:szCs w:val="20"/>
                <w:color w:val="auto"/>
              </w:rPr>
            </w:pPr>
            <w:r>
              <w:rPr>
                <w:rFonts w:ascii="Arial" w:cs="Arial" w:eastAsia="Arial" w:hAnsi="Arial"/>
                <w:sz w:val="12"/>
                <w:szCs w:val="12"/>
                <w:color w:val="auto"/>
                <w:w w:val="89"/>
              </w:rPr>
              <w:t>$</w:t>
            </w: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(1.68)</w:t>
            </w:r>
          </w:p>
        </w:tc>
        <w:tc>
          <w:tcPr>
            <w:tcW w:w="440" w:type="dxa"/>
            <w:vAlign w:val="bottom"/>
            <w:shd w:val="clear" w:color="auto" w:fill="CFF0FC"/>
          </w:tcPr>
          <w:p>
            <w:pPr>
              <w:jc w:val="right"/>
              <w:ind w:right="332"/>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(1.10)</w:t>
            </w:r>
          </w:p>
        </w:tc>
        <w:tc>
          <w:tcPr>
            <w:tcW w:w="0" w:type="dxa"/>
            <w:vAlign w:val="bottom"/>
          </w:tcPr>
          <w:p>
            <w:pPr>
              <w:spacing w:after="0"/>
              <w:rPr>
                <w:sz w:val="1"/>
                <w:szCs w:val="1"/>
                <w:color w:val="auto"/>
              </w:rPr>
            </w:pPr>
          </w:p>
        </w:tc>
      </w:tr>
      <w:tr>
        <w:trPr>
          <w:trHeight w:val="140"/>
        </w:trPr>
        <w:tc>
          <w:tcPr>
            <w:tcW w:w="7740" w:type="dxa"/>
            <w:vAlign w:val="bottom"/>
            <w:tcBorders>
              <w:top w:val="single" w:sz="8" w:color="CFF0FC"/>
            </w:tcBorders>
          </w:tcPr>
          <w:p>
            <w:pPr>
              <w:spacing w:after="0"/>
              <w:rPr>
                <w:sz w:val="20"/>
                <w:szCs w:val="20"/>
                <w:color w:val="auto"/>
              </w:rPr>
            </w:pPr>
            <w:r>
              <w:rPr>
                <w:rFonts w:ascii="Arial" w:cs="Arial" w:eastAsia="Arial" w:hAnsi="Arial"/>
                <w:sz w:val="12"/>
                <w:szCs w:val="12"/>
                <w:color w:val="auto"/>
              </w:rPr>
              <w:t>Weighted-average number of shares used in per share calculation:</w:t>
            </w:r>
          </w:p>
        </w:tc>
        <w:tc>
          <w:tcPr>
            <w:tcW w:w="3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300" w:type="dxa"/>
            <w:vAlign w:val="bottom"/>
            <w:tcBorders>
              <w:top w:val="single" w:sz="8" w:color="CFF0FC"/>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Basic</w:t>
            </w:r>
          </w:p>
        </w:tc>
        <w:tc>
          <w:tcPr>
            <w:tcW w:w="38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29,812</w:t>
            </w:r>
          </w:p>
        </w:tc>
        <w:tc>
          <w:tcPr>
            <w:tcW w:w="30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4,776</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7740" w:type="dxa"/>
            <w:vAlign w:val="bottom"/>
          </w:tcPr>
          <w:p>
            <w:pPr>
              <w:spacing w:after="0"/>
              <w:rPr>
                <w:sz w:val="20"/>
                <w:szCs w:val="20"/>
                <w:color w:val="auto"/>
              </w:rPr>
            </w:pPr>
            <w:r>
              <w:rPr>
                <w:rFonts w:ascii="Arial" w:cs="Arial" w:eastAsia="Arial" w:hAnsi="Arial"/>
                <w:sz w:val="12"/>
                <w:szCs w:val="12"/>
                <w:color w:val="auto"/>
              </w:rPr>
              <w:t>Diluted</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29,812</w:t>
            </w:r>
          </w:p>
        </w:tc>
        <w:tc>
          <w:tcPr>
            <w:tcW w:w="3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4,776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4" w:name="page5"/>
    <w:bookmarkEnd w:id="4"/>
    <w:p>
      <w:pPr>
        <w:ind w:left="5000"/>
        <w:spacing w:after="0"/>
        <w:rPr>
          <w:sz w:val="20"/>
          <w:szCs w:val="20"/>
          <w:color w:val="auto"/>
        </w:rPr>
      </w:pPr>
      <w:r>
        <w:rPr>
          <w:rFonts w:ascii="Arial" w:cs="Arial" w:eastAsia="Arial" w:hAnsi="Arial"/>
          <w:sz w:val="12"/>
          <w:szCs w:val="12"/>
          <w:b w:val="1"/>
          <w:bCs w:val="1"/>
          <w:color w:val="auto"/>
        </w:rPr>
        <w:t>VENUS CONCEPT INC.</w:t>
      </w:r>
    </w:p>
    <w:p>
      <w:pPr>
        <w:spacing w:after="0" w:line="78" w:lineRule="exact"/>
        <w:rPr>
          <w:sz w:val="20"/>
          <w:szCs w:val="20"/>
          <w:color w:val="auto"/>
        </w:rPr>
      </w:pPr>
    </w:p>
    <w:p>
      <w:pPr>
        <w:ind w:left="4100"/>
        <w:spacing w:after="0"/>
        <w:rPr>
          <w:sz w:val="20"/>
          <w:szCs w:val="20"/>
          <w:color w:val="auto"/>
        </w:rPr>
      </w:pPr>
      <w:r>
        <w:rPr>
          <w:rFonts w:ascii="Arial" w:cs="Arial" w:eastAsia="Arial" w:hAnsi="Arial"/>
          <w:sz w:val="12"/>
          <w:szCs w:val="12"/>
          <w:b w:val="1"/>
          <w:bCs w:val="1"/>
          <w:color w:val="auto"/>
        </w:rPr>
        <w:t>Condensed Consolidated Statements of Comprehensive Loss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i w:val="1"/>
          <w:iCs w:val="1"/>
          <w:color w:val="auto"/>
        </w:rPr>
        <w:t>(Unaudited)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i w:val="1"/>
          <w:iCs w:val="1"/>
          <w:color w:val="auto"/>
        </w:rPr>
        <w:t>(in thousands)</w:t>
      </w:r>
    </w:p>
    <w:p>
      <w:pPr>
        <w:spacing w:after="0" w:line="139" w:lineRule="exact"/>
        <w:rPr>
          <w:sz w:val="20"/>
          <w:szCs w:val="20"/>
          <w:color w:val="auto"/>
        </w:rPr>
      </w:pPr>
    </w:p>
    <w:p>
      <w:pPr>
        <w:jc w:val="center"/>
        <w:ind w:left="7620"/>
        <w:spacing w:after="0"/>
        <w:rPr>
          <w:sz w:val="20"/>
          <w:szCs w:val="20"/>
          <w:color w:val="auto"/>
        </w:rPr>
      </w:pPr>
      <w:r>
        <w:rPr>
          <w:rFonts w:ascii="Arial" w:cs="Arial" w:eastAsia="Arial" w:hAnsi="Arial"/>
          <w:sz w:val="10"/>
          <w:szCs w:val="10"/>
          <w:b w:val="1"/>
          <w:bCs w:val="1"/>
          <w:color w:val="auto"/>
        </w:rPr>
        <w:t>Three Months</w:t>
      </w:r>
    </w:p>
    <w:p>
      <w:pPr>
        <w:jc w:val="center"/>
        <w:ind w:left="7620"/>
        <w:spacing w:after="0" w:line="215" w:lineRule="auto"/>
        <w:rPr>
          <w:sz w:val="20"/>
          <w:szCs w:val="20"/>
          <w:color w:val="auto"/>
        </w:rPr>
      </w:pPr>
      <w:r>
        <w:rPr>
          <w:rFonts w:ascii="Arial" w:cs="Arial" w:eastAsia="Arial" w:hAnsi="Arial"/>
          <w:sz w:val="10"/>
          <w:szCs w:val="10"/>
          <w:b w:val="1"/>
          <w:bCs w:val="1"/>
          <w:color w:val="auto"/>
        </w:rPr>
        <w:t>Ended March 31</w:t>
      </w:r>
    </w:p>
    <w:tbl>
      <w:tblPr>
        <w:tblLayout w:type="fixed"/>
        <w:tblInd w:w="0" w:type="dxa"/>
        <w:tblCellMar>
          <w:top w:w="0" w:type="dxa"/>
          <w:left w:w="0" w:type="dxa"/>
          <w:bottom w:w="0" w:type="dxa"/>
          <w:right w:w="0" w:type="dxa"/>
        </w:tblCellMar>
      </w:tblPr>
      <w:tr>
        <w:trPr>
          <w:trHeight w:val="97"/>
        </w:trPr>
        <w:tc>
          <w:tcPr>
            <w:tcW w:w="7740" w:type="dxa"/>
            <w:vAlign w:val="bottom"/>
            <w:tcBorders>
              <w:bottom w:val="single" w:sz="8" w:color="CFF0FC"/>
            </w:tcBorders>
          </w:tcPr>
          <w:p>
            <w:pPr>
              <w:spacing w:after="0"/>
              <w:rPr>
                <w:sz w:val="8"/>
                <w:szCs w:val="8"/>
                <w:color w:val="auto"/>
              </w:rPr>
            </w:pPr>
          </w:p>
        </w:tc>
        <w:tc>
          <w:tcPr>
            <w:tcW w:w="1040" w:type="dxa"/>
            <w:vAlign w:val="bottom"/>
            <w:tcBorders>
              <w:top w:val="single" w:sz="8" w:color="auto"/>
              <w:bottom w:val="single" w:sz="8" w:color="auto"/>
            </w:tcBorders>
          </w:tcPr>
          <w:p>
            <w:pPr>
              <w:jc w:val="right"/>
              <w:ind w:right="104"/>
              <w:spacing w:after="0" w:line="97" w:lineRule="exact"/>
              <w:rPr>
                <w:sz w:val="20"/>
                <w:szCs w:val="20"/>
                <w:color w:val="auto"/>
              </w:rPr>
            </w:pPr>
            <w:r>
              <w:rPr>
                <w:rFonts w:ascii="Arial" w:cs="Arial" w:eastAsia="Arial" w:hAnsi="Arial"/>
                <w:sz w:val="10"/>
                <w:szCs w:val="10"/>
                <w:b w:val="1"/>
                <w:bCs w:val="1"/>
                <w:color w:val="auto"/>
              </w:rPr>
              <w:t>2020</w:t>
            </w:r>
          </w:p>
        </w:tc>
        <w:tc>
          <w:tcPr>
            <w:tcW w:w="54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CFF0FC"/>
            </w:tcBorders>
          </w:tcPr>
          <w:p>
            <w:pPr>
              <w:spacing w:after="0"/>
              <w:rPr>
                <w:sz w:val="8"/>
                <w:szCs w:val="8"/>
                <w:color w:val="auto"/>
              </w:rPr>
            </w:pPr>
          </w:p>
        </w:tc>
        <w:tc>
          <w:tcPr>
            <w:tcW w:w="360" w:type="dxa"/>
            <w:vAlign w:val="bottom"/>
            <w:tcBorders>
              <w:top w:val="single" w:sz="8" w:color="auto"/>
              <w:bottom w:val="single" w:sz="8" w:color="auto"/>
            </w:tcBorders>
          </w:tcPr>
          <w:p>
            <w:pPr>
              <w:spacing w:after="0"/>
              <w:rPr>
                <w:sz w:val="8"/>
                <w:szCs w:val="8"/>
                <w:color w:val="auto"/>
              </w:rPr>
            </w:pPr>
          </w:p>
        </w:tc>
        <w:tc>
          <w:tcPr>
            <w:tcW w:w="1200" w:type="dxa"/>
            <w:vAlign w:val="bottom"/>
            <w:tcBorders>
              <w:top w:val="single" w:sz="8" w:color="auto"/>
              <w:bottom w:val="single" w:sz="8" w:color="auto"/>
            </w:tcBorders>
          </w:tcPr>
          <w:p>
            <w:pPr>
              <w:jc w:val="right"/>
              <w:ind w:right="622"/>
              <w:spacing w:after="0" w:line="97" w:lineRule="exact"/>
              <w:rPr>
                <w:sz w:val="20"/>
                <w:szCs w:val="20"/>
                <w:color w:val="auto"/>
              </w:rPr>
            </w:pPr>
            <w:r>
              <w:rPr>
                <w:rFonts w:ascii="Arial" w:cs="Arial" w:eastAsia="Arial" w:hAnsi="Arial"/>
                <w:sz w:val="10"/>
                <w:szCs w:val="10"/>
                <w:b w:val="1"/>
                <w:bCs w:val="1"/>
                <w:color w:val="auto"/>
              </w:rPr>
              <w:t>2019</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7740" w:type="dxa"/>
            <w:vAlign w:val="bottom"/>
            <w:shd w:val="clear" w:color="auto" w:fill="CFF0FC"/>
          </w:tcPr>
          <w:p>
            <w:pPr>
              <w:spacing w:after="0"/>
              <w:rPr>
                <w:sz w:val="20"/>
                <w:szCs w:val="20"/>
                <w:color w:val="auto"/>
              </w:rPr>
            </w:pPr>
            <w:r>
              <w:rPr>
                <w:rFonts w:ascii="Arial" w:cs="Arial" w:eastAsia="Arial" w:hAnsi="Arial"/>
                <w:sz w:val="12"/>
                <w:szCs w:val="12"/>
                <w:color w:val="auto"/>
              </w:rPr>
              <w:t>Net loss and comprehensive loss</w:t>
            </w:r>
          </w:p>
        </w:tc>
        <w:tc>
          <w:tcPr>
            <w:tcW w:w="1040" w:type="dxa"/>
            <w:vAlign w:val="bottom"/>
            <w:shd w:val="clear" w:color="auto" w:fill="CFF0FC"/>
          </w:tcPr>
          <w:p>
            <w:pPr>
              <w:jc w:val="right"/>
              <w:ind w:right="904"/>
              <w:spacing w:after="0"/>
              <w:rPr>
                <w:sz w:val="20"/>
                <w:szCs w:val="20"/>
                <w:color w:val="auto"/>
              </w:rPr>
            </w:pPr>
            <w:r>
              <w:rPr>
                <w:rFonts w:ascii="Arial" w:cs="Arial" w:eastAsia="Arial" w:hAnsi="Arial"/>
                <w:sz w:val="12"/>
                <w:szCs w:val="12"/>
                <w:color w:val="auto"/>
                <w:w w:val="89"/>
              </w:rPr>
              <w:t>$</w:t>
            </w: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(50,703)</w:t>
            </w:r>
          </w:p>
        </w:tc>
        <w:tc>
          <w:tcPr>
            <w:tcW w:w="360" w:type="dxa"/>
            <w:vAlign w:val="bottom"/>
            <w:shd w:val="clear" w:color="auto" w:fill="CFF0FC"/>
          </w:tcPr>
          <w:p>
            <w:pPr>
              <w:jc w:val="right"/>
              <w:ind w:right="252"/>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(5,105)</w:t>
            </w: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tcBorders>
            <w:vMerge w:val="restart"/>
          </w:tcPr>
          <w:p>
            <w:pPr>
              <w:spacing w:after="0"/>
              <w:rPr>
                <w:sz w:val="20"/>
                <w:szCs w:val="20"/>
                <w:color w:val="auto"/>
              </w:rPr>
            </w:pPr>
            <w:r>
              <w:rPr>
                <w:rFonts w:ascii="Arial" w:cs="Arial" w:eastAsia="Arial" w:hAnsi="Arial"/>
                <w:sz w:val="12"/>
                <w:szCs w:val="12"/>
                <w:color w:val="auto"/>
              </w:rPr>
              <w:t>Loss attributable to stockholders of the Company</w:t>
            </w: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74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2"/>
                <w:szCs w:val="12"/>
                <w:color w:val="auto"/>
              </w:rPr>
              <w:t>(50,190)</w:t>
            </w:r>
          </w:p>
        </w:tc>
        <w:tc>
          <w:tcPr>
            <w:tcW w:w="360" w:type="dxa"/>
            <w:vAlign w:val="bottom"/>
          </w:tcPr>
          <w:p>
            <w:pPr>
              <w:spacing w:after="0"/>
              <w:rPr>
                <w:sz w:val="12"/>
                <w:szCs w:val="12"/>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2"/>
                <w:szCs w:val="12"/>
                <w:color w:val="auto"/>
              </w:rPr>
              <w:t>(5,273)</w:t>
            </w:r>
          </w:p>
        </w:tc>
        <w:tc>
          <w:tcPr>
            <w:tcW w:w="0" w:type="dxa"/>
            <w:vAlign w:val="bottom"/>
          </w:tcPr>
          <w:p>
            <w:pPr>
              <w:spacing w:after="0"/>
              <w:rPr>
                <w:sz w:val="1"/>
                <w:szCs w:val="1"/>
                <w:color w:val="auto"/>
              </w:rPr>
            </w:pPr>
          </w:p>
        </w:tc>
      </w:tr>
      <w:tr>
        <w:trPr>
          <w:trHeight w:val="153"/>
        </w:trPr>
        <w:tc>
          <w:tcPr>
            <w:tcW w:w="7740" w:type="dxa"/>
            <w:vAlign w:val="bottom"/>
            <w:shd w:val="clear" w:color="auto" w:fill="CFF0FC"/>
          </w:tcPr>
          <w:p>
            <w:pPr>
              <w:spacing w:after="0"/>
              <w:rPr>
                <w:sz w:val="20"/>
                <w:szCs w:val="20"/>
                <w:color w:val="auto"/>
              </w:rPr>
            </w:pPr>
            <w:r>
              <w:rPr>
                <w:rFonts w:ascii="Arial" w:cs="Arial" w:eastAsia="Arial" w:hAnsi="Arial"/>
                <w:sz w:val="12"/>
                <w:szCs w:val="12"/>
                <w:color w:val="auto"/>
              </w:rPr>
              <w:t>Comprehensive (loss) income attributable to non-controlling interest</w:t>
            </w:r>
          </w:p>
        </w:tc>
        <w:tc>
          <w:tcPr>
            <w:tcW w:w="10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(513)</w:t>
            </w: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2"/>
                <w:szCs w:val="12"/>
                <w:color w:val="auto"/>
              </w:rPr>
              <w:t>Comprehensive loss</w:t>
            </w: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40" w:type="dxa"/>
            <w:vAlign w:val="bottom"/>
            <w:vMerge w:val="continue"/>
          </w:tcPr>
          <w:p>
            <w:pPr>
              <w:spacing w:after="0"/>
              <w:rPr>
                <w:sz w:val="12"/>
                <w:szCs w:val="12"/>
                <w:color w:val="auto"/>
              </w:rPr>
            </w:pPr>
          </w:p>
        </w:tc>
        <w:tc>
          <w:tcPr>
            <w:tcW w:w="1040" w:type="dxa"/>
            <w:vAlign w:val="bottom"/>
          </w:tcPr>
          <w:p>
            <w:pPr>
              <w:jc w:val="right"/>
              <w:ind w:right="904"/>
              <w:spacing w:after="0"/>
              <w:rPr>
                <w:sz w:val="20"/>
                <w:szCs w:val="20"/>
                <w:color w:val="auto"/>
              </w:rPr>
            </w:pPr>
            <w:r>
              <w:rPr>
                <w:rFonts w:ascii="Arial" w:cs="Arial" w:eastAsia="Arial" w:hAnsi="Arial"/>
                <w:sz w:val="12"/>
                <w:szCs w:val="12"/>
                <w:color w:val="auto"/>
                <w:w w:val="89"/>
              </w:rPr>
              <w:t>$</w:t>
            </w:r>
          </w:p>
        </w:tc>
        <w:tc>
          <w:tcPr>
            <w:tcW w:w="840" w:type="dxa"/>
            <w:vAlign w:val="bottom"/>
            <w:gridSpan w:val="2"/>
          </w:tcPr>
          <w:p>
            <w:pPr>
              <w:jc w:val="right"/>
              <w:ind w:right="260"/>
              <w:spacing w:after="0"/>
              <w:rPr>
                <w:sz w:val="20"/>
                <w:szCs w:val="20"/>
                <w:color w:val="auto"/>
              </w:rPr>
            </w:pPr>
            <w:r>
              <w:rPr>
                <w:rFonts w:ascii="Arial" w:cs="Arial" w:eastAsia="Arial" w:hAnsi="Arial"/>
                <w:sz w:val="12"/>
                <w:szCs w:val="12"/>
                <w:color w:val="auto"/>
              </w:rPr>
              <w:t>(50,703)</w:t>
            </w: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80"/>
              <w:spacing w:after="0"/>
              <w:rPr>
                <w:sz w:val="20"/>
                <w:szCs w:val="20"/>
                <w:color w:val="auto"/>
              </w:rPr>
            </w:pPr>
            <w:r>
              <w:rPr>
                <w:rFonts w:ascii="Arial" w:cs="Arial" w:eastAsia="Arial" w:hAnsi="Arial"/>
                <w:sz w:val="12"/>
                <w:szCs w:val="12"/>
                <w:color w:val="auto"/>
              </w:rPr>
              <w:t>(5,105)</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5" w:name="page6"/>
    <w:bookmarkEnd w:id="5"/>
    <w:p>
      <w:pPr>
        <w:ind w:left="5000"/>
        <w:spacing w:after="0"/>
        <w:rPr>
          <w:sz w:val="20"/>
          <w:szCs w:val="20"/>
          <w:color w:val="auto"/>
        </w:rPr>
      </w:pPr>
      <w:r>
        <w:rPr>
          <w:rFonts w:ascii="Arial" w:cs="Arial" w:eastAsia="Arial" w:hAnsi="Arial"/>
          <w:sz w:val="12"/>
          <w:szCs w:val="12"/>
          <w:b w:val="1"/>
          <w:bCs w:val="1"/>
          <w:color w:val="auto"/>
        </w:rPr>
        <w:t>VENUS CONCEPT INC.</w:t>
      </w:r>
    </w:p>
    <w:p>
      <w:pPr>
        <w:spacing w:after="0" w:line="78" w:lineRule="exact"/>
        <w:rPr>
          <w:sz w:val="20"/>
          <w:szCs w:val="20"/>
          <w:color w:val="auto"/>
        </w:rPr>
      </w:pPr>
    </w:p>
    <w:p>
      <w:pPr>
        <w:ind w:left="4080"/>
        <w:spacing w:after="0"/>
        <w:rPr>
          <w:sz w:val="20"/>
          <w:szCs w:val="20"/>
          <w:color w:val="auto"/>
        </w:rPr>
      </w:pPr>
      <w:r>
        <w:rPr>
          <w:rFonts w:ascii="Arial" w:cs="Arial" w:eastAsia="Arial" w:hAnsi="Arial"/>
          <w:sz w:val="10"/>
          <w:szCs w:val="10"/>
          <w:b w:val="1"/>
          <w:bCs w:val="1"/>
          <w:color w:val="auto"/>
        </w:rPr>
        <w:t>Condensed Consolidated Statements of Stockholders’ Equity</w:t>
      </w:r>
    </w:p>
    <w:p>
      <w:pPr>
        <w:spacing w:after="0" w:line="42"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i w:val="1"/>
          <w:iCs w:val="1"/>
          <w:color w:val="auto"/>
        </w:rPr>
        <w:t>(Unaudited)</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i w:val="1"/>
          <w:iCs w:val="1"/>
          <w:color w:val="auto"/>
        </w:rPr>
        <w:t>(in thousands, except for shares)</w:t>
      </w:r>
    </w:p>
    <w:p>
      <w:pPr>
        <w:sectPr>
          <w:pgSz w:w="11900" w:h="16838" w:orient="portrait"/>
          <w:cols w:equalWidth="0" w:num="1">
            <w:col w:w="11220"/>
          </w:cols>
          <w:pgMar w:left="300" w:top="271" w:right="379" w:bottom="1440" w:gutter="0" w:footer="0" w:header="0"/>
        </w:sectPr>
      </w:pP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2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gridSpan w:val="5"/>
          </w:tcPr>
          <w:p>
            <w:pPr>
              <w:jc w:val="right"/>
              <w:ind w:right="20"/>
              <w:spacing w:after="0"/>
              <w:rPr>
                <w:sz w:val="20"/>
                <w:szCs w:val="20"/>
                <w:color w:val="auto"/>
              </w:rPr>
            </w:pPr>
            <w:r>
              <w:rPr>
                <w:rFonts w:ascii="Arial" w:cs="Arial" w:eastAsia="Arial" w:hAnsi="Arial"/>
                <w:sz w:val="8"/>
                <w:szCs w:val="8"/>
                <w:b w:val="1"/>
                <w:bCs w:val="1"/>
                <w:color w:val="auto"/>
              </w:rPr>
              <w:t>Preferred Stock</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107"/>
        </w:trPr>
        <w:tc>
          <w:tcPr>
            <w:tcW w:w="2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8"/>
                <w:szCs w:val="8"/>
                <w:b w:val="1"/>
                <w:bCs w:val="1"/>
                <w:color w:val="auto"/>
              </w:rPr>
              <w:t>Series A</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47"/>
        </w:trPr>
        <w:tc>
          <w:tcPr>
            <w:tcW w:w="2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76"/>
              <w:spacing w:after="0"/>
              <w:rPr>
                <w:sz w:val="20"/>
                <w:szCs w:val="20"/>
                <w:color w:val="auto"/>
              </w:rPr>
            </w:pPr>
            <w:r>
              <w:rPr>
                <w:rFonts w:ascii="Arial" w:cs="Arial" w:eastAsia="Arial" w:hAnsi="Arial"/>
                <w:sz w:val="8"/>
                <w:szCs w:val="8"/>
                <w:b w:val="1"/>
                <w:bCs w:val="1"/>
                <w:color w:val="auto"/>
              </w:rPr>
              <w:t>Shares</w:t>
            </w:r>
          </w:p>
        </w:tc>
        <w:tc>
          <w:tcPr>
            <w:tcW w:w="24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6"/>
              <w:spacing w:after="0"/>
              <w:rPr>
                <w:sz w:val="20"/>
                <w:szCs w:val="20"/>
                <w:color w:val="auto"/>
              </w:rPr>
            </w:pPr>
            <w:r>
              <w:rPr>
                <w:rFonts w:ascii="Arial" w:cs="Arial" w:eastAsia="Arial" w:hAnsi="Arial"/>
                <w:sz w:val="8"/>
                <w:szCs w:val="8"/>
                <w:b w:val="1"/>
                <w:bCs w:val="1"/>
                <w:color w:val="auto"/>
                <w:w w:val="92"/>
              </w:rPr>
              <w:t>Amount</w:t>
            </w:r>
          </w:p>
        </w:tc>
        <w:tc>
          <w:tcPr>
            <w:tcW w:w="80" w:type="dxa"/>
            <w:vAlign w:val="bottom"/>
          </w:tcPr>
          <w:p>
            <w:pPr>
              <w:spacing w:after="0"/>
              <w:rPr>
                <w:sz w:val="12"/>
                <w:szCs w:val="12"/>
                <w:color w:val="auto"/>
              </w:rPr>
            </w:pPr>
          </w:p>
        </w:tc>
      </w:tr>
      <w:tr>
        <w:trPr>
          <w:trHeight w:val="99"/>
        </w:trPr>
        <w:tc>
          <w:tcPr>
            <w:tcW w:w="2600" w:type="dxa"/>
            <w:vAlign w:val="bottom"/>
          </w:tcPr>
          <w:p>
            <w:pPr>
              <w:spacing w:after="0" w:line="99" w:lineRule="exact"/>
              <w:rPr>
                <w:sz w:val="20"/>
                <w:szCs w:val="20"/>
                <w:color w:val="auto"/>
              </w:rPr>
            </w:pPr>
            <w:r>
              <w:rPr>
                <w:rFonts w:ascii="Arial" w:cs="Arial" w:eastAsia="Arial" w:hAnsi="Arial"/>
                <w:sz w:val="9"/>
                <w:szCs w:val="9"/>
                <w:color w:val="auto"/>
              </w:rPr>
              <w:t>Balance — January 1, 2020</w:t>
            </w: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gridSpan w:val="3"/>
          </w:tcPr>
          <w:p>
            <w:pPr>
              <w:jc w:val="right"/>
              <w:ind w:right="240"/>
              <w:spacing w:after="0" w:line="99" w:lineRule="exact"/>
              <w:rPr>
                <w:sz w:val="20"/>
                <w:szCs w:val="20"/>
                <w:color w:val="auto"/>
              </w:rPr>
            </w:pPr>
            <w:r>
              <w:rPr>
                <w:rFonts w:ascii="Arial" w:cs="Arial" w:eastAsia="Arial" w:hAnsi="Arial"/>
                <w:sz w:val="9"/>
                <w:szCs w:val="9"/>
                <w:color w:val="auto"/>
              </w:rPr>
              <w:t>—</w:t>
            </w:r>
          </w:p>
        </w:tc>
        <w:tc>
          <w:tcPr>
            <w:tcW w:w="80" w:type="dxa"/>
            <w:vAlign w:val="bottom"/>
            <w:gridSpan w:val="2"/>
          </w:tcPr>
          <w:p>
            <w:pPr>
              <w:jc w:val="right"/>
              <w:ind w:right="40"/>
              <w:spacing w:after="0"/>
              <w:rPr>
                <w:sz w:val="20"/>
                <w:szCs w:val="20"/>
                <w:color w:val="auto"/>
              </w:rPr>
            </w:pPr>
            <w:r>
              <w:rPr>
                <w:rFonts w:ascii="Arial" w:cs="Arial" w:eastAsia="Arial" w:hAnsi="Arial"/>
                <w:sz w:val="4"/>
                <w:szCs w:val="4"/>
                <w:color w:val="auto"/>
                <w:w w:val="87"/>
              </w:rPr>
              <w:t>$</w:t>
            </w:r>
          </w:p>
        </w:tc>
        <w:tc>
          <w:tcPr>
            <w:tcW w:w="40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r>
      <w:tr>
        <w:trPr>
          <w:trHeight w:val="108"/>
        </w:trPr>
        <w:tc>
          <w:tcPr>
            <w:tcW w:w="2600" w:type="dxa"/>
            <w:vAlign w:val="bottom"/>
          </w:tcPr>
          <w:p>
            <w:pPr>
              <w:ind w:left="160"/>
              <w:spacing w:after="0"/>
              <w:rPr>
                <w:sz w:val="20"/>
                <w:szCs w:val="20"/>
                <w:color w:val="auto"/>
              </w:rPr>
            </w:pPr>
            <w:r>
              <w:rPr>
                <w:rFonts w:ascii="Arial" w:cs="Arial" w:eastAsia="Arial" w:hAnsi="Arial"/>
                <w:sz w:val="9"/>
                <w:szCs w:val="9"/>
                <w:color w:val="auto"/>
              </w:rPr>
              <w:t>Issuance of common stock</w:t>
            </w: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r>
      <w:tr>
        <w:trPr>
          <w:trHeight w:val="108"/>
        </w:trPr>
        <w:tc>
          <w:tcPr>
            <w:tcW w:w="2600" w:type="dxa"/>
            <w:vAlign w:val="bottom"/>
          </w:tcPr>
          <w:p>
            <w:pPr>
              <w:ind w:left="160"/>
              <w:spacing w:after="0"/>
              <w:rPr>
                <w:sz w:val="20"/>
                <w:szCs w:val="20"/>
                <w:color w:val="auto"/>
              </w:rPr>
            </w:pPr>
            <w:r>
              <w:rPr>
                <w:rFonts w:ascii="Arial" w:cs="Arial" w:eastAsia="Arial" w:hAnsi="Arial"/>
                <w:sz w:val="9"/>
                <w:szCs w:val="9"/>
                <w:color w:val="auto"/>
              </w:rPr>
              <w:t>2020 Private Placement shares, net of costs</w:t>
            </w: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tcPr>
          <w:p>
            <w:pPr>
              <w:jc w:val="right"/>
              <w:spacing w:after="0"/>
              <w:rPr>
                <w:sz w:val="20"/>
                <w:szCs w:val="20"/>
                <w:color w:val="auto"/>
              </w:rPr>
            </w:pPr>
            <w:r>
              <w:rPr>
                <w:rFonts w:ascii="Arial" w:cs="Arial" w:eastAsia="Arial" w:hAnsi="Arial"/>
                <w:sz w:val="9"/>
                <w:szCs w:val="9"/>
                <w:color w:val="auto"/>
              </w:rPr>
              <w:t>660,000</w:t>
            </w: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r>
      <w:tr>
        <w:trPr>
          <w:trHeight w:val="108"/>
        </w:trPr>
        <w:tc>
          <w:tcPr>
            <w:tcW w:w="2600" w:type="dxa"/>
            <w:vAlign w:val="bottom"/>
          </w:tcPr>
          <w:p>
            <w:pPr>
              <w:ind w:left="160"/>
              <w:spacing w:after="0"/>
              <w:rPr>
                <w:sz w:val="20"/>
                <w:szCs w:val="20"/>
                <w:color w:val="auto"/>
              </w:rPr>
            </w:pPr>
            <w:r>
              <w:rPr>
                <w:rFonts w:ascii="Arial" w:cs="Arial" w:eastAsia="Arial" w:hAnsi="Arial"/>
                <w:sz w:val="9"/>
                <w:szCs w:val="9"/>
                <w:color w:val="auto"/>
              </w:rPr>
              <w:t>2020 Private Placement Warrants, net of costs</w:t>
            </w: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r>
      <w:tr>
        <w:trPr>
          <w:trHeight w:val="108"/>
        </w:trPr>
        <w:tc>
          <w:tcPr>
            <w:tcW w:w="2600" w:type="dxa"/>
            <w:vAlign w:val="bottom"/>
          </w:tcPr>
          <w:p>
            <w:pPr>
              <w:ind w:left="160"/>
              <w:spacing w:after="0"/>
              <w:rPr>
                <w:sz w:val="20"/>
                <w:szCs w:val="20"/>
                <w:color w:val="auto"/>
              </w:rPr>
            </w:pPr>
            <w:r>
              <w:rPr>
                <w:rFonts w:ascii="Arial" w:cs="Arial" w:eastAsia="Arial" w:hAnsi="Arial"/>
                <w:sz w:val="9"/>
                <w:szCs w:val="9"/>
                <w:color w:val="auto"/>
              </w:rPr>
              <w:t>Beneficial conversion feature</w:t>
            </w: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r>
      <w:tr>
        <w:trPr>
          <w:trHeight w:val="108"/>
        </w:trPr>
        <w:tc>
          <w:tcPr>
            <w:tcW w:w="2600" w:type="dxa"/>
            <w:vAlign w:val="bottom"/>
          </w:tcPr>
          <w:p>
            <w:pPr>
              <w:ind w:left="160"/>
              <w:spacing w:after="0"/>
              <w:rPr>
                <w:sz w:val="20"/>
                <w:szCs w:val="20"/>
                <w:color w:val="auto"/>
              </w:rPr>
            </w:pPr>
            <w:r>
              <w:rPr>
                <w:rFonts w:ascii="Arial" w:cs="Arial" w:eastAsia="Arial" w:hAnsi="Arial"/>
                <w:sz w:val="9"/>
                <w:szCs w:val="9"/>
                <w:color w:val="auto"/>
              </w:rPr>
              <w:t>Dividends from subsidiaries</w:t>
            </w: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r>
      <w:tr>
        <w:trPr>
          <w:trHeight w:val="108"/>
        </w:trPr>
        <w:tc>
          <w:tcPr>
            <w:tcW w:w="2600" w:type="dxa"/>
            <w:vAlign w:val="bottom"/>
          </w:tcPr>
          <w:p>
            <w:pPr>
              <w:ind w:left="160"/>
              <w:spacing w:after="0"/>
              <w:rPr>
                <w:sz w:val="20"/>
                <w:szCs w:val="20"/>
                <w:color w:val="auto"/>
              </w:rPr>
            </w:pPr>
            <w:r>
              <w:rPr>
                <w:rFonts w:ascii="Arial" w:cs="Arial" w:eastAsia="Arial" w:hAnsi="Arial"/>
                <w:sz w:val="9"/>
                <w:szCs w:val="9"/>
                <w:color w:val="auto"/>
              </w:rPr>
              <w:t>Net loss - the Company</w:t>
            </w: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r>
      <w:tr>
        <w:trPr>
          <w:trHeight w:val="108"/>
        </w:trPr>
        <w:tc>
          <w:tcPr>
            <w:tcW w:w="2600" w:type="dxa"/>
            <w:vAlign w:val="bottom"/>
          </w:tcPr>
          <w:p>
            <w:pPr>
              <w:ind w:left="160"/>
              <w:spacing w:after="0"/>
              <w:rPr>
                <w:sz w:val="20"/>
                <w:szCs w:val="20"/>
                <w:color w:val="auto"/>
              </w:rPr>
            </w:pPr>
            <w:r>
              <w:rPr>
                <w:rFonts w:ascii="Arial" w:cs="Arial" w:eastAsia="Arial" w:hAnsi="Arial"/>
                <w:sz w:val="9"/>
                <w:szCs w:val="9"/>
                <w:color w:val="auto"/>
              </w:rPr>
              <w:t>Net loss - non-controlling interest</w:t>
            </w: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r>
      <w:tr>
        <w:trPr>
          <w:trHeight w:val="106"/>
        </w:trPr>
        <w:tc>
          <w:tcPr>
            <w:tcW w:w="2600" w:type="dxa"/>
            <w:vAlign w:val="bottom"/>
          </w:tcPr>
          <w:p>
            <w:pPr>
              <w:ind w:left="160"/>
              <w:spacing w:after="0"/>
              <w:rPr>
                <w:sz w:val="20"/>
                <w:szCs w:val="20"/>
                <w:color w:val="auto"/>
              </w:rPr>
            </w:pPr>
            <w:r>
              <w:rPr>
                <w:rFonts w:ascii="Arial" w:cs="Arial" w:eastAsia="Arial" w:hAnsi="Arial"/>
                <w:sz w:val="9"/>
                <w:szCs w:val="9"/>
                <w:color w:val="auto"/>
              </w:rPr>
              <w:t>Stock-based compensation</w:t>
            </w: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r>
      <w:tr>
        <w:trPr>
          <w:trHeight w:val="104"/>
        </w:trPr>
        <w:tc>
          <w:tcPr>
            <w:tcW w:w="2600" w:type="dxa"/>
            <w:vAlign w:val="bottom"/>
          </w:tcPr>
          <w:p>
            <w:pPr>
              <w:spacing w:after="0" w:line="97" w:lineRule="exact"/>
              <w:rPr>
                <w:sz w:val="20"/>
                <w:szCs w:val="20"/>
                <w:color w:val="auto"/>
              </w:rPr>
            </w:pPr>
            <w:r>
              <w:rPr>
                <w:rFonts w:ascii="Arial" w:cs="Arial" w:eastAsia="Arial" w:hAnsi="Arial"/>
                <w:sz w:val="9"/>
                <w:szCs w:val="9"/>
                <w:color w:val="auto"/>
              </w:rPr>
              <w:t>Balance — March 31, 2020</w:t>
            </w: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top w:val="single" w:sz="8" w:color="auto"/>
              <w:bottom w:val="single" w:sz="8" w:color="auto"/>
            </w:tcBorders>
            <w:gridSpan w:val="2"/>
          </w:tcPr>
          <w:p>
            <w:pPr>
              <w:jc w:val="right"/>
              <w:spacing w:after="0" w:line="97" w:lineRule="exact"/>
              <w:rPr>
                <w:sz w:val="20"/>
                <w:szCs w:val="20"/>
                <w:color w:val="auto"/>
              </w:rPr>
            </w:pPr>
            <w:r>
              <w:rPr>
                <w:rFonts w:ascii="Arial" w:cs="Arial" w:eastAsia="Arial" w:hAnsi="Arial"/>
                <w:sz w:val="9"/>
                <w:szCs w:val="9"/>
                <w:color w:val="auto"/>
              </w:rPr>
              <w:t>660,000</w:t>
            </w: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4"/>
                <w:szCs w:val="4"/>
                <w:color w:val="auto"/>
                <w:w w:val="87"/>
              </w:rPr>
              <w:t>$</w:t>
            </w:r>
          </w:p>
        </w:tc>
        <w:tc>
          <w:tcPr>
            <w:tcW w:w="40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r>
      <w:tr>
        <w:trPr>
          <w:trHeight w:val="232"/>
        </w:trPr>
        <w:tc>
          <w:tcPr>
            <w:tcW w:w="2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w w:val="92"/>
              </w:rPr>
              <w:t>Series C-</w:t>
            </w:r>
          </w:p>
        </w:tc>
      </w:tr>
      <w:tr>
        <w:trPr>
          <w:trHeight w:val="99"/>
        </w:trPr>
        <w:tc>
          <w:tcPr>
            <w:tcW w:w="2600" w:type="dxa"/>
            <w:vAlign w:val="bottom"/>
          </w:tcPr>
          <w:p>
            <w:pPr>
              <w:spacing w:after="0"/>
              <w:rPr>
                <w:sz w:val="8"/>
                <w:szCs w:val="8"/>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3"/>
              </w:rPr>
              <w:t>Series A</w:t>
            </w:r>
          </w:p>
        </w:tc>
        <w:tc>
          <w:tcPr>
            <w:tcW w:w="620" w:type="dxa"/>
            <w:vAlign w:val="bottom"/>
            <w:gridSpan w:val="2"/>
          </w:tcPr>
          <w:p>
            <w:pPr>
              <w:jc w:val="center"/>
              <w:ind w:right="60"/>
              <w:spacing w:after="0"/>
              <w:rPr>
                <w:sz w:val="20"/>
                <w:szCs w:val="20"/>
                <w:color w:val="auto"/>
              </w:rPr>
            </w:pPr>
            <w:r>
              <w:rPr>
                <w:rFonts w:ascii="Arial" w:cs="Arial" w:eastAsia="Arial" w:hAnsi="Arial"/>
                <w:sz w:val="8"/>
                <w:szCs w:val="8"/>
                <w:b w:val="1"/>
                <w:bCs w:val="1"/>
                <w:color w:val="auto"/>
                <w:w w:val="87"/>
              </w:rPr>
              <w:t>Series B</w:t>
            </w:r>
          </w:p>
        </w:tc>
        <w:tc>
          <w:tcPr>
            <w:tcW w:w="160" w:type="dxa"/>
            <w:vAlign w:val="bottom"/>
          </w:tcPr>
          <w:p>
            <w:pPr>
              <w:spacing w:after="0"/>
              <w:rPr>
                <w:sz w:val="8"/>
                <w:szCs w:val="8"/>
                <w:color w:val="auto"/>
              </w:rPr>
            </w:pPr>
          </w:p>
        </w:tc>
        <w:tc>
          <w:tcPr>
            <w:tcW w:w="760" w:type="dxa"/>
            <w:vAlign w:val="bottom"/>
            <w:gridSpan w:val="3"/>
          </w:tcPr>
          <w:p>
            <w:pPr>
              <w:jc w:val="center"/>
              <w:ind w:right="220"/>
              <w:spacing w:after="0"/>
              <w:rPr>
                <w:sz w:val="20"/>
                <w:szCs w:val="20"/>
                <w:color w:val="auto"/>
              </w:rPr>
            </w:pPr>
            <w:r>
              <w:rPr>
                <w:rFonts w:ascii="Arial" w:cs="Arial" w:eastAsia="Arial" w:hAnsi="Arial"/>
                <w:sz w:val="8"/>
                <w:szCs w:val="8"/>
                <w:b w:val="1"/>
                <w:bCs w:val="1"/>
                <w:color w:val="auto"/>
                <w:w w:val="93"/>
              </w:rPr>
              <w:t>Series C</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jc w:val="center"/>
              <w:spacing w:after="0"/>
              <w:rPr>
                <w:sz w:val="20"/>
                <w:szCs w:val="20"/>
                <w:color w:val="auto"/>
              </w:rPr>
            </w:pPr>
            <w:r>
              <w:rPr>
                <w:rFonts w:ascii="Arial" w:cs="Arial" w:eastAsia="Arial" w:hAnsi="Arial"/>
                <w:sz w:val="8"/>
                <w:szCs w:val="8"/>
                <w:b w:val="1"/>
                <w:bCs w:val="1"/>
                <w:color w:val="auto"/>
                <w:w w:val="88"/>
              </w:rPr>
              <w:t>1</w:t>
            </w:r>
          </w:p>
        </w:tc>
        <w:tc>
          <w:tcPr>
            <w:tcW w:w="80" w:type="dxa"/>
            <w:vAlign w:val="bottom"/>
          </w:tcPr>
          <w:p>
            <w:pPr>
              <w:spacing w:after="0"/>
              <w:rPr>
                <w:sz w:val="8"/>
                <w:szCs w:val="8"/>
                <w:color w:val="auto"/>
              </w:rPr>
            </w:pPr>
          </w:p>
        </w:tc>
      </w:tr>
      <w:tr>
        <w:trPr>
          <w:trHeight w:val="90"/>
        </w:trPr>
        <w:tc>
          <w:tcPr>
            <w:tcW w:w="2600" w:type="dxa"/>
            <w:vAlign w:val="bottom"/>
          </w:tcPr>
          <w:p>
            <w:pPr>
              <w:spacing w:after="0"/>
              <w:rPr>
                <w:sz w:val="7"/>
                <w:szCs w:val="7"/>
                <w:color w:val="auto"/>
              </w:rPr>
            </w:pPr>
          </w:p>
        </w:tc>
        <w:tc>
          <w:tcPr>
            <w:tcW w:w="7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5"/>
              </w:rPr>
              <w:t>Preferred</w:t>
            </w:r>
          </w:p>
        </w:tc>
        <w:tc>
          <w:tcPr>
            <w:tcW w:w="620" w:type="dxa"/>
            <w:vAlign w:val="bottom"/>
            <w:gridSpan w:val="2"/>
          </w:tcPr>
          <w:p>
            <w:pPr>
              <w:jc w:val="center"/>
              <w:ind w:right="60"/>
              <w:spacing w:after="0" w:line="90" w:lineRule="exact"/>
              <w:rPr>
                <w:sz w:val="20"/>
                <w:szCs w:val="20"/>
                <w:color w:val="auto"/>
              </w:rPr>
            </w:pPr>
            <w:r>
              <w:rPr>
                <w:rFonts w:ascii="Arial" w:cs="Arial" w:eastAsia="Arial" w:hAnsi="Arial"/>
                <w:sz w:val="8"/>
                <w:szCs w:val="8"/>
                <w:b w:val="1"/>
                <w:bCs w:val="1"/>
                <w:color w:val="auto"/>
              </w:rPr>
              <w:t>Preferred</w:t>
            </w:r>
          </w:p>
        </w:tc>
        <w:tc>
          <w:tcPr>
            <w:tcW w:w="160" w:type="dxa"/>
            <w:vAlign w:val="bottom"/>
          </w:tcPr>
          <w:p>
            <w:pPr>
              <w:spacing w:after="0"/>
              <w:rPr>
                <w:sz w:val="7"/>
                <w:szCs w:val="7"/>
                <w:color w:val="auto"/>
              </w:rPr>
            </w:pPr>
          </w:p>
        </w:tc>
        <w:tc>
          <w:tcPr>
            <w:tcW w:w="760" w:type="dxa"/>
            <w:vAlign w:val="bottom"/>
            <w:gridSpan w:val="3"/>
          </w:tcPr>
          <w:p>
            <w:pPr>
              <w:jc w:val="center"/>
              <w:ind w:right="220"/>
              <w:spacing w:after="0" w:line="90" w:lineRule="exact"/>
              <w:rPr>
                <w:sz w:val="20"/>
                <w:szCs w:val="20"/>
                <w:color w:val="auto"/>
              </w:rPr>
            </w:pPr>
            <w:r>
              <w:rPr>
                <w:rFonts w:ascii="Arial" w:cs="Arial" w:eastAsia="Arial" w:hAnsi="Arial"/>
                <w:sz w:val="8"/>
                <w:szCs w:val="8"/>
                <w:b w:val="1"/>
                <w:bCs w:val="1"/>
                <w:color w:val="auto"/>
                <w:w w:val="95"/>
              </w:rPr>
              <w:t>Preferred</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gridSpan w:val="2"/>
          </w:tcPr>
          <w:p>
            <w:pPr>
              <w:jc w:val="center"/>
              <w:ind w:right="80"/>
              <w:spacing w:after="0" w:line="90" w:lineRule="exact"/>
              <w:rPr>
                <w:sz w:val="20"/>
                <w:szCs w:val="20"/>
                <w:color w:val="auto"/>
              </w:rPr>
            </w:pPr>
            <w:r>
              <w:rPr>
                <w:rFonts w:ascii="Arial" w:cs="Arial" w:eastAsia="Arial" w:hAnsi="Arial"/>
                <w:sz w:val="8"/>
                <w:szCs w:val="8"/>
                <w:b w:val="1"/>
                <w:bCs w:val="1"/>
                <w:color w:val="auto"/>
              </w:rPr>
              <w:t>Preferred</w:t>
            </w:r>
          </w:p>
        </w:tc>
      </w:tr>
      <w:tr>
        <w:trPr>
          <w:trHeight w:val="101"/>
        </w:trPr>
        <w:tc>
          <w:tcPr>
            <w:tcW w:w="2600" w:type="dxa"/>
            <w:vAlign w:val="bottom"/>
          </w:tcPr>
          <w:p>
            <w:pPr>
              <w:spacing w:after="0"/>
              <w:rPr>
                <w:sz w:val="8"/>
                <w:szCs w:val="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89"/>
              </w:rPr>
              <w:t>Shares</w:t>
            </w:r>
          </w:p>
        </w:tc>
        <w:tc>
          <w:tcPr>
            <w:tcW w:w="220" w:type="dxa"/>
            <w:vAlign w:val="bottom"/>
          </w:tcPr>
          <w:p>
            <w:pPr>
              <w:spacing w:after="0"/>
              <w:rPr>
                <w:sz w:val="8"/>
                <w:szCs w:val="8"/>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89"/>
              </w:rPr>
              <w:t>Shares</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8"/>
                <w:szCs w:val="8"/>
                <w:b w:val="1"/>
                <w:bCs w:val="1"/>
                <w:color w:val="auto"/>
                <w:w w:val="89"/>
              </w:rPr>
              <w:t>Shares</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8"/>
                <w:szCs w:val="8"/>
                <w:b w:val="1"/>
                <w:bCs w:val="1"/>
                <w:color w:val="auto"/>
                <w:w w:val="89"/>
              </w:rPr>
              <w:t>Shares</w:t>
            </w:r>
          </w:p>
        </w:tc>
      </w:tr>
      <w:tr>
        <w:trPr>
          <w:trHeight w:val="99"/>
        </w:trPr>
        <w:tc>
          <w:tcPr>
            <w:tcW w:w="2600" w:type="dxa"/>
            <w:vAlign w:val="bottom"/>
          </w:tcPr>
          <w:p>
            <w:pPr>
              <w:spacing w:after="0" w:line="99" w:lineRule="exact"/>
              <w:rPr>
                <w:sz w:val="20"/>
                <w:szCs w:val="20"/>
                <w:color w:val="auto"/>
              </w:rPr>
            </w:pPr>
            <w:r>
              <w:rPr>
                <w:rFonts w:ascii="Arial" w:cs="Arial" w:eastAsia="Arial" w:hAnsi="Arial"/>
                <w:sz w:val="9"/>
                <w:szCs w:val="9"/>
                <w:color w:val="auto"/>
              </w:rPr>
              <w:t>Balance — January 1, 2019 (as restated, Note 2)</w:t>
            </w: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1,264,565</w:t>
            </w:r>
          </w:p>
        </w:tc>
        <w:tc>
          <w:tcPr>
            <w:tcW w:w="22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9"/>
                <w:szCs w:val="9"/>
                <w:color w:val="auto"/>
              </w:rPr>
              <w:t>2,632,109</w:t>
            </w:r>
          </w:p>
        </w:tc>
        <w:tc>
          <w:tcPr>
            <w:tcW w:w="60" w:type="dxa"/>
            <w:vAlign w:val="bottom"/>
          </w:tcPr>
          <w:p>
            <w:pPr>
              <w:spacing w:after="0"/>
              <w:rPr>
                <w:sz w:val="8"/>
                <w:szCs w:val="8"/>
                <w:color w:val="auto"/>
              </w:rPr>
            </w:pPr>
          </w:p>
        </w:tc>
        <w:tc>
          <w:tcPr>
            <w:tcW w:w="700" w:type="dxa"/>
            <w:vAlign w:val="bottom"/>
            <w:gridSpan w:val="3"/>
          </w:tcPr>
          <w:p>
            <w:pPr>
              <w:jc w:val="right"/>
              <w:spacing w:after="0" w:line="99" w:lineRule="exact"/>
              <w:rPr>
                <w:sz w:val="20"/>
                <w:szCs w:val="20"/>
                <w:color w:val="auto"/>
              </w:rPr>
            </w:pPr>
            <w:r>
              <w:rPr>
                <w:rFonts w:ascii="Arial" w:cs="Arial" w:eastAsia="Arial" w:hAnsi="Arial"/>
                <w:sz w:val="9"/>
                <w:szCs w:val="9"/>
                <w:color w:val="auto"/>
              </w:rPr>
              <w:t>4,615,567</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20"/>
              <w:spacing w:after="0" w:line="99" w:lineRule="exact"/>
              <w:rPr>
                <w:sz w:val="20"/>
                <w:szCs w:val="20"/>
                <w:color w:val="auto"/>
              </w:rPr>
            </w:pPr>
            <w:r>
              <w:rPr>
                <w:rFonts w:ascii="Arial" w:cs="Arial" w:eastAsia="Arial" w:hAnsi="Arial"/>
                <w:sz w:val="9"/>
                <w:szCs w:val="9"/>
                <w:color w:val="auto"/>
              </w:rPr>
              <w:t>56,983</w:t>
            </w:r>
          </w:p>
        </w:tc>
      </w:tr>
      <w:tr>
        <w:trPr>
          <w:trHeight w:val="108"/>
        </w:trPr>
        <w:tc>
          <w:tcPr>
            <w:tcW w:w="2600" w:type="dxa"/>
            <w:vAlign w:val="bottom"/>
          </w:tcPr>
          <w:p>
            <w:pPr>
              <w:ind w:left="160"/>
              <w:spacing w:after="0"/>
              <w:rPr>
                <w:sz w:val="20"/>
                <w:szCs w:val="20"/>
                <w:color w:val="auto"/>
              </w:rPr>
            </w:pPr>
            <w:r>
              <w:rPr>
                <w:rFonts w:ascii="Arial" w:cs="Arial" w:eastAsia="Arial" w:hAnsi="Arial"/>
                <w:sz w:val="9"/>
                <w:szCs w:val="9"/>
                <w:color w:val="auto"/>
              </w:rPr>
              <w:t>Equity issuance</w:t>
            </w: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9"/>
                <w:szCs w:val="9"/>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r>
      <w:tr>
        <w:trPr>
          <w:trHeight w:val="108"/>
        </w:trPr>
        <w:tc>
          <w:tcPr>
            <w:tcW w:w="2600" w:type="dxa"/>
            <w:vAlign w:val="bottom"/>
          </w:tcPr>
          <w:p>
            <w:pPr>
              <w:ind w:left="160"/>
              <w:spacing w:after="0"/>
              <w:rPr>
                <w:sz w:val="20"/>
                <w:szCs w:val="20"/>
                <w:color w:val="auto"/>
              </w:rPr>
            </w:pPr>
            <w:r>
              <w:rPr>
                <w:rFonts w:ascii="Arial" w:cs="Arial" w:eastAsia="Arial" w:hAnsi="Arial"/>
                <w:sz w:val="9"/>
                <w:szCs w:val="9"/>
                <w:color w:val="auto"/>
              </w:rPr>
              <w:t>Net loss - the Company</w:t>
            </w: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9"/>
                <w:szCs w:val="9"/>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r>
      <w:tr>
        <w:trPr>
          <w:trHeight w:val="108"/>
        </w:trPr>
        <w:tc>
          <w:tcPr>
            <w:tcW w:w="2600" w:type="dxa"/>
            <w:vAlign w:val="bottom"/>
          </w:tcPr>
          <w:p>
            <w:pPr>
              <w:ind w:left="160"/>
              <w:spacing w:after="0"/>
              <w:rPr>
                <w:sz w:val="20"/>
                <w:szCs w:val="20"/>
                <w:color w:val="auto"/>
              </w:rPr>
            </w:pPr>
            <w:r>
              <w:rPr>
                <w:rFonts w:ascii="Arial" w:cs="Arial" w:eastAsia="Arial" w:hAnsi="Arial"/>
                <w:sz w:val="9"/>
                <w:szCs w:val="9"/>
                <w:color w:val="auto"/>
              </w:rPr>
              <w:t>Net income - non-controlling interest</w:t>
            </w: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9"/>
                <w:szCs w:val="9"/>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r>
      <w:tr>
        <w:trPr>
          <w:trHeight w:val="108"/>
        </w:trPr>
        <w:tc>
          <w:tcPr>
            <w:tcW w:w="2600" w:type="dxa"/>
            <w:vAlign w:val="bottom"/>
          </w:tcPr>
          <w:p>
            <w:pPr>
              <w:ind w:left="160"/>
              <w:spacing w:after="0"/>
              <w:rPr>
                <w:sz w:val="20"/>
                <w:szCs w:val="20"/>
                <w:color w:val="auto"/>
              </w:rPr>
            </w:pPr>
            <w:r>
              <w:rPr>
                <w:rFonts w:ascii="Arial" w:cs="Arial" w:eastAsia="Arial" w:hAnsi="Arial"/>
                <w:sz w:val="9"/>
                <w:szCs w:val="9"/>
                <w:color w:val="auto"/>
              </w:rPr>
              <w:t>Acquisition of non-controlling interest</w:t>
            </w: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9"/>
                <w:szCs w:val="9"/>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r>
      <w:tr>
        <w:trPr>
          <w:trHeight w:val="108"/>
        </w:trPr>
        <w:tc>
          <w:tcPr>
            <w:tcW w:w="2600" w:type="dxa"/>
            <w:vAlign w:val="bottom"/>
          </w:tcPr>
          <w:p>
            <w:pPr>
              <w:ind w:left="160"/>
              <w:spacing w:after="0"/>
              <w:rPr>
                <w:sz w:val="20"/>
                <w:szCs w:val="20"/>
                <w:color w:val="auto"/>
              </w:rPr>
            </w:pPr>
            <w:r>
              <w:rPr>
                <w:rFonts w:ascii="Arial" w:cs="Arial" w:eastAsia="Arial" w:hAnsi="Arial"/>
                <w:sz w:val="9"/>
                <w:szCs w:val="9"/>
                <w:color w:val="auto"/>
              </w:rPr>
              <w:t>Options exercised</w:t>
            </w: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9"/>
                <w:szCs w:val="9"/>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r>
      <w:tr>
        <w:trPr>
          <w:trHeight w:val="106"/>
        </w:trPr>
        <w:tc>
          <w:tcPr>
            <w:tcW w:w="2600" w:type="dxa"/>
            <w:vAlign w:val="bottom"/>
          </w:tcPr>
          <w:p>
            <w:pPr>
              <w:ind w:left="160"/>
              <w:spacing w:after="0"/>
              <w:rPr>
                <w:sz w:val="20"/>
                <w:szCs w:val="20"/>
                <w:color w:val="auto"/>
              </w:rPr>
            </w:pPr>
            <w:r>
              <w:rPr>
                <w:rFonts w:ascii="Arial" w:cs="Arial" w:eastAsia="Arial" w:hAnsi="Arial"/>
                <w:sz w:val="9"/>
                <w:szCs w:val="9"/>
                <w:color w:val="auto"/>
              </w:rPr>
              <w:t>Stock-based compensation</w:t>
            </w:r>
          </w:p>
        </w:tc>
        <w:tc>
          <w:tcPr>
            <w:tcW w:w="540" w:type="dxa"/>
            <w:vAlign w:val="bottom"/>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r>
      <w:tr>
        <w:trPr>
          <w:trHeight w:val="104"/>
        </w:trPr>
        <w:tc>
          <w:tcPr>
            <w:tcW w:w="2600" w:type="dxa"/>
            <w:vAlign w:val="bottom"/>
          </w:tcPr>
          <w:p>
            <w:pPr>
              <w:spacing w:after="0" w:line="97" w:lineRule="exact"/>
              <w:rPr>
                <w:sz w:val="20"/>
                <w:szCs w:val="20"/>
                <w:color w:val="auto"/>
              </w:rPr>
            </w:pPr>
            <w:r>
              <w:rPr>
                <w:rFonts w:ascii="Arial" w:cs="Arial" w:eastAsia="Arial" w:hAnsi="Arial"/>
                <w:sz w:val="9"/>
                <w:szCs w:val="9"/>
                <w:color w:val="auto"/>
              </w:rPr>
              <w:t>Balance — March 31, 2019 (as restated, Note 2)</w:t>
            </w:r>
          </w:p>
        </w:tc>
        <w:tc>
          <w:tcPr>
            <w:tcW w:w="54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9"/>
                <w:szCs w:val="9"/>
                <w:color w:val="auto"/>
              </w:rPr>
              <w:t>1,264,565</w:t>
            </w:r>
          </w:p>
        </w:tc>
        <w:tc>
          <w:tcPr>
            <w:tcW w:w="220" w:type="dxa"/>
            <w:vAlign w:val="bottom"/>
          </w:tcPr>
          <w:p>
            <w:pPr>
              <w:spacing w:after="0"/>
              <w:rPr>
                <w:sz w:val="9"/>
                <w:szCs w:val="9"/>
                <w:color w:val="auto"/>
              </w:rPr>
            </w:pPr>
          </w:p>
        </w:tc>
        <w:tc>
          <w:tcPr>
            <w:tcW w:w="5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9"/>
                <w:szCs w:val="9"/>
                <w:color w:val="auto"/>
              </w:rPr>
              <w:t>2,632,109</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Borders>
              <w:top w:val="single" w:sz="8" w:color="auto"/>
              <w:bottom w:val="single" w:sz="8" w:color="auto"/>
            </w:tcBorders>
            <w:gridSpan w:val="2"/>
          </w:tcPr>
          <w:p>
            <w:pPr>
              <w:jc w:val="right"/>
              <w:spacing w:after="0" w:line="97" w:lineRule="exact"/>
              <w:rPr>
                <w:sz w:val="20"/>
                <w:szCs w:val="20"/>
                <w:color w:val="auto"/>
              </w:rPr>
            </w:pPr>
            <w:r>
              <w:rPr>
                <w:rFonts w:ascii="Arial" w:cs="Arial" w:eastAsia="Arial" w:hAnsi="Arial"/>
                <w:sz w:val="9"/>
                <w:szCs w:val="9"/>
                <w:color w:val="auto"/>
              </w:rPr>
              <w:t>4,615,567</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gridSpan w:val="2"/>
          </w:tcPr>
          <w:p>
            <w:pPr>
              <w:jc w:val="right"/>
              <w:ind w:right="20"/>
              <w:spacing w:after="0" w:line="97" w:lineRule="exact"/>
              <w:rPr>
                <w:sz w:val="20"/>
                <w:szCs w:val="20"/>
                <w:color w:val="auto"/>
              </w:rPr>
            </w:pPr>
            <w:r>
              <w:rPr>
                <w:rFonts w:ascii="Arial" w:cs="Arial" w:eastAsia="Arial" w:hAnsi="Arial"/>
                <w:sz w:val="9"/>
                <w:szCs w:val="9"/>
                <w:color w:val="auto"/>
              </w:rPr>
              <w:t>56,983</w:t>
            </w:r>
          </w:p>
        </w:tc>
      </w:tr>
    </w:tbl>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2"/>
        </w:trPr>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gridSpan w:val="3"/>
          </w:tcPr>
          <w:p>
            <w:pPr>
              <w:jc w:val="center"/>
              <w:ind w:left="56"/>
              <w:spacing w:after="0"/>
              <w:rPr>
                <w:sz w:val="20"/>
                <w:szCs w:val="20"/>
                <w:color w:val="auto"/>
              </w:rPr>
            </w:pPr>
            <w:r>
              <w:rPr>
                <w:rFonts w:ascii="Arial" w:cs="Arial" w:eastAsia="Arial" w:hAnsi="Arial"/>
                <w:sz w:val="8"/>
                <w:szCs w:val="8"/>
                <w:b w:val="1"/>
                <w:bCs w:val="1"/>
                <w:color w:val="auto"/>
                <w:w w:val="97"/>
              </w:rPr>
              <w:t>Additional</w:t>
            </w: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3"/>
          </w:tcPr>
          <w:p>
            <w:pPr>
              <w:ind w:left="60"/>
              <w:spacing w:after="0"/>
              <w:rPr>
                <w:sz w:val="20"/>
                <w:szCs w:val="20"/>
                <w:color w:val="auto"/>
              </w:rPr>
            </w:pPr>
            <w:r>
              <w:rPr>
                <w:rFonts w:ascii="Arial" w:cs="Arial" w:eastAsia="Arial" w:hAnsi="Arial"/>
                <w:sz w:val="8"/>
                <w:szCs w:val="8"/>
                <w:b w:val="1"/>
                <w:bCs w:val="1"/>
                <w:color w:val="auto"/>
              </w:rPr>
              <w:t>Non-</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93"/>
              </w:rPr>
              <w:t>Total</w:t>
            </w: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880" w:type="dxa"/>
            <w:vAlign w:val="bottom"/>
            <w:gridSpan w:val="6"/>
          </w:tcPr>
          <w:p>
            <w:pPr>
              <w:jc w:val="right"/>
              <w:spacing w:after="0"/>
              <w:rPr>
                <w:sz w:val="20"/>
                <w:szCs w:val="20"/>
                <w:color w:val="auto"/>
              </w:rPr>
            </w:pPr>
            <w:r>
              <w:rPr>
                <w:rFonts w:ascii="Arial" w:cs="Arial" w:eastAsia="Arial" w:hAnsi="Arial"/>
                <w:sz w:val="8"/>
                <w:szCs w:val="8"/>
                <w:b w:val="1"/>
                <w:bCs w:val="1"/>
                <w:color w:val="auto"/>
              </w:rPr>
              <w:t>Common Stock</w:t>
            </w: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gridSpan w:val="2"/>
          </w:tcPr>
          <w:p>
            <w:pPr>
              <w:jc w:val="center"/>
              <w:ind w:left="96"/>
              <w:spacing w:after="0"/>
              <w:rPr>
                <w:sz w:val="20"/>
                <w:szCs w:val="20"/>
                <w:color w:val="auto"/>
              </w:rPr>
            </w:pPr>
            <w:r>
              <w:rPr>
                <w:rFonts w:ascii="Arial" w:cs="Arial" w:eastAsia="Arial" w:hAnsi="Arial"/>
                <w:sz w:val="8"/>
                <w:szCs w:val="8"/>
                <w:b w:val="1"/>
                <w:bCs w:val="1"/>
                <w:color w:val="auto"/>
                <w:w w:val="92"/>
              </w:rPr>
              <w:t>'Paid-</w:t>
            </w: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4"/>
          </w:tcPr>
          <w:p>
            <w:pPr>
              <w:jc w:val="right"/>
              <w:ind w:right="400"/>
              <w:spacing w:after="0"/>
              <w:rPr>
                <w:sz w:val="20"/>
                <w:szCs w:val="20"/>
                <w:color w:val="auto"/>
              </w:rPr>
            </w:pPr>
            <w:r>
              <w:rPr>
                <w:rFonts w:ascii="Arial" w:cs="Arial" w:eastAsia="Arial" w:hAnsi="Arial"/>
                <w:sz w:val="8"/>
                <w:szCs w:val="8"/>
                <w:b w:val="1"/>
                <w:bCs w:val="1"/>
                <w:color w:val="auto"/>
              </w:rPr>
              <w:t>Accumulated</w:t>
            </w:r>
          </w:p>
        </w:tc>
        <w:tc>
          <w:tcPr>
            <w:tcW w:w="80" w:type="dxa"/>
            <w:vAlign w:val="bottom"/>
          </w:tcPr>
          <w:p>
            <w:pPr>
              <w:spacing w:after="0"/>
              <w:rPr>
                <w:sz w:val="9"/>
                <w:szCs w:val="9"/>
                <w:color w:val="auto"/>
              </w:rPr>
            </w:pPr>
          </w:p>
        </w:tc>
        <w:tc>
          <w:tcPr>
            <w:tcW w:w="800" w:type="dxa"/>
            <w:vAlign w:val="bottom"/>
            <w:gridSpan w:val="4"/>
          </w:tcPr>
          <w:p>
            <w:pPr>
              <w:ind w:left="40"/>
              <w:spacing w:after="0"/>
              <w:rPr>
                <w:sz w:val="20"/>
                <w:szCs w:val="20"/>
                <w:color w:val="auto"/>
              </w:rPr>
            </w:pPr>
            <w:r>
              <w:rPr>
                <w:rFonts w:ascii="Arial" w:cs="Arial" w:eastAsia="Arial" w:hAnsi="Arial"/>
                <w:sz w:val="8"/>
                <w:szCs w:val="8"/>
                <w:b w:val="1"/>
                <w:bCs w:val="1"/>
                <w:color w:val="auto"/>
              </w:rPr>
              <w:t>controlling</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90"/>
              </w:rPr>
              <w:t>Stockholders’</w:t>
            </w:r>
          </w:p>
        </w:tc>
        <w:tc>
          <w:tcPr>
            <w:tcW w:w="0" w:type="dxa"/>
            <w:vAlign w:val="bottom"/>
          </w:tcPr>
          <w:p>
            <w:pPr>
              <w:spacing w:after="0"/>
              <w:rPr>
                <w:sz w:val="1"/>
                <w:szCs w:val="1"/>
                <w:color w:val="auto"/>
              </w:rPr>
            </w:pPr>
          </w:p>
        </w:tc>
      </w:tr>
      <w:tr>
        <w:trPr>
          <w:trHeight w:val="147"/>
        </w:trPr>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8"/>
                <w:szCs w:val="8"/>
                <w:b w:val="1"/>
                <w:bCs w:val="1"/>
                <w:color w:val="auto"/>
                <w:w w:val="89"/>
              </w:rPr>
              <w:t>Shares</w:t>
            </w:r>
          </w:p>
        </w:tc>
        <w:tc>
          <w:tcPr>
            <w:tcW w:w="220" w:type="dxa"/>
            <w:vAlign w:val="bottom"/>
            <w:gridSpan w:val="3"/>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rPr>
                <w:sz w:val="20"/>
                <w:szCs w:val="20"/>
                <w:color w:val="auto"/>
              </w:rPr>
            </w:pPr>
            <w:r>
              <w:rPr>
                <w:rFonts w:ascii="Arial" w:cs="Arial" w:eastAsia="Arial" w:hAnsi="Arial"/>
                <w:sz w:val="8"/>
                <w:szCs w:val="8"/>
                <w:b w:val="1"/>
                <w:bCs w:val="1"/>
                <w:color w:val="auto"/>
                <w:w w:val="99"/>
              </w:rPr>
              <w:t>Amount</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3"/>
          </w:tcPr>
          <w:p>
            <w:pPr>
              <w:jc w:val="center"/>
              <w:ind w:left="36"/>
              <w:spacing w:after="0"/>
              <w:rPr>
                <w:sz w:val="20"/>
                <w:szCs w:val="20"/>
                <w:color w:val="auto"/>
              </w:rPr>
            </w:pPr>
            <w:r>
              <w:rPr>
                <w:rFonts w:ascii="Arial" w:cs="Arial" w:eastAsia="Arial" w:hAnsi="Arial"/>
                <w:sz w:val="8"/>
                <w:szCs w:val="8"/>
                <w:b w:val="1"/>
                <w:bCs w:val="1"/>
                <w:color w:val="auto"/>
                <w:w w:val="98"/>
              </w:rPr>
              <w:t>in-Capital</w:t>
            </w:r>
          </w:p>
        </w:tc>
        <w:tc>
          <w:tcPr>
            <w:tcW w:w="2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36"/>
              <w:spacing w:after="0"/>
              <w:rPr>
                <w:sz w:val="20"/>
                <w:szCs w:val="20"/>
                <w:color w:val="auto"/>
              </w:rPr>
            </w:pPr>
            <w:r>
              <w:rPr>
                <w:rFonts w:ascii="Arial" w:cs="Arial" w:eastAsia="Arial" w:hAnsi="Arial"/>
                <w:sz w:val="8"/>
                <w:szCs w:val="8"/>
                <w:b w:val="1"/>
                <w:bCs w:val="1"/>
                <w:color w:val="auto"/>
                <w:w w:val="89"/>
              </w:rPr>
              <w:t>Deficit</w:t>
            </w:r>
          </w:p>
        </w:tc>
        <w:tc>
          <w:tcPr>
            <w:tcW w:w="24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56"/>
              <w:spacing w:after="0"/>
              <w:rPr>
                <w:sz w:val="20"/>
                <w:szCs w:val="20"/>
                <w:color w:val="auto"/>
              </w:rPr>
            </w:pPr>
            <w:r>
              <w:rPr>
                <w:rFonts w:ascii="Arial" w:cs="Arial" w:eastAsia="Arial" w:hAnsi="Arial"/>
                <w:sz w:val="8"/>
                <w:szCs w:val="8"/>
                <w:b w:val="1"/>
                <w:bCs w:val="1"/>
                <w:color w:val="auto"/>
                <w:w w:val="89"/>
              </w:rPr>
              <w:t>Interest</w:t>
            </w:r>
          </w:p>
        </w:tc>
        <w:tc>
          <w:tcPr>
            <w:tcW w:w="220" w:type="dxa"/>
            <w:vAlign w:val="bottom"/>
            <w:gridSpan w:val="2"/>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96"/>
              <w:spacing w:after="0"/>
              <w:rPr>
                <w:sz w:val="20"/>
                <w:szCs w:val="20"/>
                <w:color w:val="auto"/>
              </w:rPr>
            </w:pPr>
            <w:r>
              <w:rPr>
                <w:rFonts w:ascii="Arial" w:cs="Arial" w:eastAsia="Arial" w:hAnsi="Arial"/>
                <w:sz w:val="8"/>
                <w:szCs w:val="8"/>
                <w:b w:val="1"/>
                <w:bCs w:val="1"/>
                <w:color w:val="auto"/>
                <w:w w:val="97"/>
              </w:rPr>
              <w:t>Equity</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680" w:type="dxa"/>
            <w:vAlign w:val="bottom"/>
            <w:gridSpan w:val="3"/>
          </w:tcPr>
          <w:p>
            <w:pPr>
              <w:jc w:val="right"/>
              <w:ind w:right="20"/>
              <w:spacing w:after="0" w:line="99" w:lineRule="exact"/>
              <w:rPr>
                <w:sz w:val="20"/>
                <w:szCs w:val="20"/>
                <w:color w:val="auto"/>
              </w:rPr>
            </w:pPr>
            <w:r>
              <w:rPr>
                <w:rFonts w:ascii="Arial" w:cs="Arial" w:eastAsia="Arial" w:hAnsi="Arial"/>
                <w:sz w:val="9"/>
                <w:szCs w:val="9"/>
                <w:color w:val="auto"/>
              </w:rPr>
              <w:t>28,686,116</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420" w:type="dxa"/>
            <w:vAlign w:val="bottom"/>
          </w:tcPr>
          <w:p>
            <w:pPr>
              <w:jc w:val="right"/>
              <w:spacing w:after="0" w:line="99" w:lineRule="exact"/>
              <w:rPr>
                <w:sz w:val="20"/>
                <w:szCs w:val="20"/>
                <w:color w:val="auto"/>
              </w:rPr>
            </w:pPr>
            <w:r>
              <w:rPr>
                <w:rFonts w:ascii="Arial" w:cs="Arial" w:eastAsia="Arial" w:hAnsi="Arial"/>
                <w:sz w:val="9"/>
                <w:szCs w:val="9"/>
                <w:color w:val="auto"/>
              </w:rPr>
              <w:t>24</w:t>
            </w:r>
          </w:p>
        </w:tc>
        <w:tc>
          <w:tcPr>
            <w:tcW w:w="400" w:type="dxa"/>
            <w:vAlign w:val="bottom"/>
            <w:gridSpan w:val="2"/>
          </w:tcPr>
          <w:p>
            <w:pPr>
              <w:jc w:val="right"/>
              <w:ind w:right="96"/>
              <w:spacing w:after="0" w:line="99"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gridSpan w:val="2"/>
          </w:tcPr>
          <w:p>
            <w:pPr>
              <w:jc w:val="right"/>
              <w:spacing w:after="0" w:line="99" w:lineRule="exact"/>
              <w:rPr>
                <w:sz w:val="20"/>
                <w:szCs w:val="20"/>
                <w:color w:val="auto"/>
              </w:rPr>
            </w:pPr>
            <w:r>
              <w:rPr>
                <w:rFonts w:ascii="Arial" w:cs="Arial" w:eastAsia="Arial" w:hAnsi="Arial"/>
                <w:sz w:val="9"/>
                <w:szCs w:val="9"/>
                <w:color w:val="auto"/>
                <w:w w:val="85"/>
              </w:rPr>
              <w:t>149,840</w:t>
            </w:r>
          </w:p>
        </w:tc>
        <w:tc>
          <w:tcPr>
            <w:tcW w:w="220" w:type="dxa"/>
            <w:vAlign w:val="bottom"/>
          </w:tcPr>
          <w:p>
            <w:pPr>
              <w:spacing w:after="0"/>
              <w:rPr>
                <w:sz w:val="8"/>
                <w:szCs w:val="8"/>
                <w:color w:val="auto"/>
              </w:rPr>
            </w:pPr>
          </w:p>
        </w:tc>
        <w:tc>
          <w:tcPr>
            <w:tcW w:w="10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180" w:type="dxa"/>
            <w:vAlign w:val="bottom"/>
          </w:tcPr>
          <w:p>
            <w:pPr>
              <w:spacing w:after="0"/>
              <w:rPr>
                <w:sz w:val="8"/>
                <w:szCs w:val="8"/>
                <w:color w:val="auto"/>
              </w:rPr>
            </w:pPr>
          </w:p>
        </w:tc>
        <w:tc>
          <w:tcPr>
            <w:tcW w:w="660" w:type="dxa"/>
            <w:vAlign w:val="bottom"/>
            <w:gridSpan w:val="2"/>
          </w:tcPr>
          <w:p>
            <w:pPr>
              <w:jc w:val="right"/>
              <w:ind w:right="55"/>
              <w:spacing w:after="0" w:line="99" w:lineRule="exact"/>
              <w:rPr>
                <w:sz w:val="20"/>
                <w:szCs w:val="20"/>
                <w:color w:val="auto"/>
              </w:rPr>
            </w:pPr>
            <w:r>
              <w:rPr>
                <w:rFonts w:ascii="Arial" w:cs="Arial" w:eastAsia="Arial" w:hAnsi="Arial"/>
                <w:sz w:val="9"/>
                <w:szCs w:val="9"/>
                <w:color w:val="auto"/>
              </w:rPr>
              <w:t>(75,686)</w:t>
            </w:r>
          </w:p>
        </w:tc>
        <w:tc>
          <w:tcPr>
            <w:tcW w:w="100" w:type="dxa"/>
            <w:vAlign w:val="bottom"/>
          </w:tcPr>
          <w:p>
            <w:pPr>
              <w:spacing w:after="0"/>
              <w:rPr>
                <w:sz w:val="8"/>
                <w:szCs w:val="8"/>
                <w:color w:val="auto"/>
              </w:rPr>
            </w:pPr>
          </w:p>
        </w:tc>
        <w:tc>
          <w:tcPr>
            <w:tcW w:w="80" w:type="dxa"/>
            <w:vAlign w:val="bottom"/>
          </w:tcPr>
          <w:p>
            <w:pPr>
              <w:jc w:val="right"/>
              <w:ind w:right="18"/>
              <w:spacing w:after="0"/>
              <w:rPr>
                <w:sz w:val="20"/>
                <w:szCs w:val="20"/>
                <w:color w:val="auto"/>
              </w:rPr>
            </w:pPr>
            <w:r>
              <w:rPr>
                <w:rFonts w:ascii="Arial" w:cs="Arial" w:eastAsia="Arial" w:hAnsi="Arial"/>
                <w:sz w:val="4"/>
                <w:szCs w:val="4"/>
                <w:color w:val="auto"/>
                <w:w w:val="87"/>
              </w:rPr>
              <w:t>$</w:t>
            </w:r>
          </w:p>
        </w:tc>
        <w:tc>
          <w:tcPr>
            <w:tcW w:w="10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Arial" w:cs="Arial" w:eastAsia="Arial" w:hAnsi="Arial"/>
                <w:sz w:val="9"/>
                <w:szCs w:val="9"/>
                <w:color w:val="auto"/>
              </w:rPr>
              <w:t>2,500</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10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Arial" w:cs="Arial" w:eastAsia="Arial" w:hAnsi="Arial"/>
                <w:sz w:val="9"/>
                <w:szCs w:val="9"/>
                <w:color w:val="auto"/>
              </w:rPr>
              <w:t>76,678</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80" w:type="dxa"/>
            <w:vAlign w:val="bottom"/>
            <w:gridSpan w:val="3"/>
          </w:tcPr>
          <w:p>
            <w:pPr>
              <w:jc w:val="right"/>
              <w:ind w:right="20"/>
              <w:spacing w:after="0"/>
              <w:rPr>
                <w:sz w:val="20"/>
                <w:szCs w:val="20"/>
                <w:color w:val="auto"/>
              </w:rPr>
            </w:pPr>
            <w:r>
              <w:rPr>
                <w:rFonts w:ascii="Arial" w:cs="Arial" w:eastAsia="Arial" w:hAnsi="Arial"/>
                <w:sz w:val="9"/>
                <w:szCs w:val="9"/>
                <w:color w:val="auto"/>
              </w:rPr>
              <w:t>1,208,169</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right"/>
              <w:ind w:right="19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680" w:type="dxa"/>
            <w:vAlign w:val="bottom"/>
            <w:gridSpan w:val="3"/>
          </w:tcPr>
          <w:p>
            <w:pPr>
              <w:jc w:val="right"/>
              <w:ind w:right="20"/>
              <w:spacing w:after="0"/>
              <w:rPr>
                <w:sz w:val="20"/>
                <w:szCs w:val="20"/>
                <w:color w:val="auto"/>
              </w:rPr>
            </w:pPr>
            <w:r>
              <w:rPr>
                <w:rFonts w:ascii="Arial" w:cs="Arial" w:eastAsia="Arial" w:hAnsi="Arial"/>
                <w:sz w:val="9"/>
                <w:szCs w:val="9"/>
                <w:color w:val="auto"/>
              </w:rPr>
              <w:t>2,300,000</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jc w:val="right"/>
              <w:spacing w:after="0"/>
              <w:rPr>
                <w:sz w:val="20"/>
                <w:szCs w:val="20"/>
                <w:color w:val="auto"/>
              </w:rPr>
            </w:pPr>
            <w:r>
              <w:rPr>
                <w:rFonts w:ascii="Arial" w:cs="Arial" w:eastAsia="Arial" w:hAnsi="Arial"/>
                <w:sz w:val="9"/>
                <w:szCs w:val="9"/>
                <w:color w:val="auto"/>
                <w:w w:val="79"/>
              </w:rPr>
              <w:t>12,115</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12,115</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820" w:type="dxa"/>
            <w:vAlign w:val="bottom"/>
            <w:gridSpan w:val="5"/>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jc w:val="right"/>
              <w:spacing w:after="0"/>
              <w:rPr>
                <w:sz w:val="20"/>
                <w:szCs w:val="20"/>
                <w:color w:val="auto"/>
              </w:rPr>
            </w:pPr>
            <w:r>
              <w:rPr>
                <w:rFonts w:ascii="Arial" w:cs="Arial" w:eastAsia="Arial" w:hAnsi="Arial"/>
                <w:sz w:val="9"/>
                <w:szCs w:val="9"/>
                <w:color w:val="auto"/>
                <w:w w:val="97"/>
              </w:rPr>
              <w:t>4,621</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4,621</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820" w:type="dxa"/>
            <w:vAlign w:val="bottom"/>
            <w:gridSpan w:val="5"/>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jc w:val="right"/>
              <w:spacing w:after="0"/>
              <w:rPr>
                <w:sz w:val="20"/>
                <w:szCs w:val="20"/>
                <w:color w:val="auto"/>
              </w:rPr>
            </w:pPr>
            <w:r>
              <w:rPr>
                <w:rFonts w:ascii="Arial" w:cs="Arial" w:eastAsia="Arial" w:hAnsi="Arial"/>
                <w:sz w:val="9"/>
                <w:szCs w:val="9"/>
                <w:color w:val="auto"/>
                <w:w w:val="97"/>
              </w:rPr>
              <w:t>3,564</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3,564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820" w:type="dxa"/>
            <w:vAlign w:val="bottom"/>
            <w:gridSpan w:val="5"/>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right"/>
              <w:ind w:right="19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9"/>
                <w:szCs w:val="9"/>
                <w:color w:val="auto"/>
              </w:rPr>
              <w:t>(218)</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right"/>
              <w:spacing w:after="0"/>
              <w:rPr>
                <w:sz w:val="20"/>
                <w:szCs w:val="20"/>
                <w:color w:val="auto"/>
              </w:rPr>
            </w:pPr>
            <w:r>
              <w:rPr>
                <w:rFonts w:ascii="Arial" w:cs="Arial" w:eastAsia="Arial" w:hAnsi="Arial"/>
                <w:sz w:val="9"/>
                <w:szCs w:val="9"/>
                <w:color w:val="auto"/>
              </w:rPr>
              <w:t>(218)</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820" w:type="dxa"/>
            <w:vAlign w:val="bottom"/>
            <w:gridSpan w:val="5"/>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right"/>
              <w:ind w:right="19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gridSpan w:val="2"/>
          </w:tcPr>
          <w:p>
            <w:pPr>
              <w:jc w:val="right"/>
              <w:ind w:right="55"/>
              <w:spacing w:after="0"/>
              <w:rPr>
                <w:sz w:val="20"/>
                <w:szCs w:val="20"/>
                <w:color w:val="auto"/>
              </w:rPr>
            </w:pPr>
            <w:r>
              <w:rPr>
                <w:rFonts w:ascii="Arial" w:cs="Arial" w:eastAsia="Arial" w:hAnsi="Arial"/>
                <w:sz w:val="9"/>
                <w:szCs w:val="9"/>
                <w:color w:val="auto"/>
              </w:rPr>
              <w:t>(50,190)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right"/>
              <w:spacing w:after="0"/>
              <w:rPr>
                <w:sz w:val="20"/>
                <w:szCs w:val="20"/>
                <w:color w:val="auto"/>
              </w:rPr>
            </w:pPr>
            <w:r>
              <w:rPr>
                <w:rFonts w:ascii="Arial" w:cs="Arial" w:eastAsia="Arial" w:hAnsi="Arial"/>
                <w:sz w:val="9"/>
                <w:szCs w:val="9"/>
                <w:color w:val="auto"/>
              </w:rPr>
              <w:t>(50,190)</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820" w:type="dxa"/>
            <w:vAlign w:val="bottom"/>
            <w:gridSpan w:val="5"/>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right"/>
              <w:ind w:right="19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9"/>
                <w:szCs w:val="9"/>
                <w:color w:val="auto"/>
              </w:rPr>
              <w:t>(513)</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right"/>
              <w:spacing w:after="0"/>
              <w:rPr>
                <w:sz w:val="20"/>
                <w:szCs w:val="20"/>
                <w:color w:val="auto"/>
              </w:rPr>
            </w:pPr>
            <w:r>
              <w:rPr>
                <w:rFonts w:ascii="Arial" w:cs="Arial" w:eastAsia="Arial" w:hAnsi="Arial"/>
                <w:sz w:val="9"/>
                <w:szCs w:val="9"/>
                <w:color w:val="auto"/>
              </w:rPr>
              <w:t>(513)</w:t>
            </w:r>
          </w:p>
        </w:tc>
        <w:tc>
          <w:tcPr>
            <w:tcW w:w="0" w:type="dxa"/>
            <w:vAlign w:val="bottom"/>
          </w:tcPr>
          <w:p>
            <w:pPr>
              <w:spacing w:after="0"/>
              <w:rPr>
                <w:sz w:val="1"/>
                <w:szCs w:val="1"/>
                <w:color w:val="auto"/>
              </w:rPr>
            </w:pPr>
          </w:p>
        </w:tc>
      </w:tr>
      <w:tr>
        <w:trPr>
          <w:trHeight w:val="106"/>
        </w:trPr>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9"/>
                <w:szCs w:val="9"/>
                <w:color w:val="auto"/>
              </w:rPr>
              <w:t>—</w:t>
            </w:r>
          </w:p>
        </w:tc>
        <w:tc>
          <w:tcPr>
            <w:tcW w:w="220" w:type="dxa"/>
            <w:vAlign w:val="bottom"/>
            <w:gridSpan w:val="3"/>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517</w:t>
            </w: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240" w:type="dxa"/>
            <w:vAlign w:val="bottom"/>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220" w:type="dxa"/>
            <w:vAlign w:val="bottom"/>
            <w:gridSpan w:val="2"/>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517</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680" w:type="dxa"/>
            <w:vAlign w:val="bottom"/>
            <w:gridSpan w:val="3"/>
          </w:tcPr>
          <w:p>
            <w:pPr>
              <w:jc w:val="right"/>
              <w:ind w:right="20"/>
              <w:spacing w:after="0" w:line="97" w:lineRule="exact"/>
              <w:rPr>
                <w:sz w:val="20"/>
                <w:szCs w:val="20"/>
                <w:color w:val="auto"/>
              </w:rPr>
            </w:pPr>
            <w:r>
              <w:rPr>
                <w:rFonts w:ascii="Arial" w:cs="Arial" w:eastAsia="Arial" w:hAnsi="Arial"/>
                <w:sz w:val="9"/>
                <w:szCs w:val="9"/>
                <w:color w:val="auto"/>
              </w:rPr>
              <w:t>32,194,285</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jc w:val="right"/>
              <w:spacing w:after="0" w:line="97" w:lineRule="exact"/>
              <w:rPr>
                <w:sz w:val="20"/>
                <w:szCs w:val="20"/>
                <w:color w:val="auto"/>
              </w:rPr>
            </w:pPr>
            <w:r>
              <w:rPr>
                <w:rFonts w:ascii="Arial" w:cs="Arial" w:eastAsia="Arial" w:hAnsi="Arial"/>
                <w:sz w:val="9"/>
                <w:szCs w:val="9"/>
                <w:color w:val="auto"/>
                <w:w w:val="78"/>
              </w:rPr>
              <w:t>$</w:t>
            </w:r>
          </w:p>
        </w:tc>
        <w:tc>
          <w:tcPr>
            <w:tcW w:w="420" w:type="dxa"/>
            <w:vAlign w:val="bottom"/>
          </w:tcPr>
          <w:p>
            <w:pPr>
              <w:jc w:val="right"/>
              <w:spacing w:after="0" w:line="97" w:lineRule="exact"/>
              <w:rPr>
                <w:sz w:val="20"/>
                <w:szCs w:val="20"/>
                <w:color w:val="auto"/>
              </w:rPr>
            </w:pPr>
            <w:r>
              <w:rPr>
                <w:rFonts w:ascii="Arial" w:cs="Arial" w:eastAsia="Arial" w:hAnsi="Arial"/>
                <w:sz w:val="9"/>
                <w:szCs w:val="9"/>
                <w:color w:val="auto"/>
              </w:rPr>
              <w:t>24</w:t>
            </w:r>
          </w:p>
        </w:tc>
        <w:tc>
          <w:tcPr>
            <w:tcW w:w="400" w:type="dxa"/>
            <w:vAlign w:val="bottom"/>
            <w:gridSpan w:val="2"/>
          </w:tcPr>
          <w:p>
            <w:pPr>
              <w:jc w:val="right"/>
              <w:ind w:right="96"/>
              <w:spacing w:after="0" w:line="97"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gridSpan w:val="2"/>
          </w:tcPr>
          <w:p>
            <w:pPr>
              <w:jc w:val="right"/>
              <w:spacing w:after="0" w:line="97" w:lineRule="exact"/>
              <w:rPr>
                <w:sz w:val="20"/>
                <w:szCs w:val="20"/>
                <w:color w:val="auto"/>
              </w:rPr>
            </w:pPr>
            <w:r>
              <w:rPr>
                <w:rFonts w:ascii="Arial" w:cs="Arial" w:eastAsia="Arial" w:hAnsi="Arial"/>
                <w:sz w:val="9"/>
                <w:szCs w:val="9"/>
                <w:color w:val="auto"/>
                <w:w w:val="85"/>
              </w:rPr>
              <w:t>170,657</w:t>
            </w:r>
          </w:p>
        </w:tc>
        <w:tc>
          <w:tcPr>
            <w:tcW w:w="220" w:type="dxa"/>
            <w:vAlign w:val="bottom"/>
          </w:tcPr>
          <w:p>
            <w:pPr>
              <w:spacing w:after="0"/>
              <w:rPr>
                <w:sz w:val="8"/>
                <w:szCs w:val="8"/>
                <w:color w:val="auto"/>
              </w:rPr>
            </w:pPr>
          </w:p>
        </w:tc>
        <w:tc>
          <w:tcPr>
            <w:tcW w:w="100" w:type="dxa"/>
            <w:vAlign w:val="bottom"/>
          </w:tcPr>
          <w:p>
            <w:pPr>
              <w:jc w:val="right"/>
              <w:spacing w:after="0" w:line="97" w:lineRule="exact"/>
              <w:rPr>
                <w:sz w:val="20"/>
                <w:szCs w:val="20"/>
                <w:color w:val="auto"/>
              </w:rPr>
            </w:pPr>
            <w:r>
              <w:rPr>
                <w:rFonts w:ascii="Arial" w:cs="Arial" w:eastAsia="Arial" w:hAnsi="Arial"/>
                <w:sz w:val="9"/>
                <w:szCs w:val="9"/>
                <w:color w:val="auto"/>
                <w:w w:val="78"/>
              </w:rPr>
              <w:t>$</w:t>
            </w:r>
          </w:p>
        </w:tc>
        <w:tc>
          <w:tcPr>
            <w:tcW w:w="180" w:type="dxa"/>
            <w:vAlign w:val="bottom"/>
          </w:tcPr>
          <w:p>
            <w:pPr>
              <w:spacing w:after="0"/>
              <w:rPr>
                <w:sz w:val="8"/>
                <w:szCs w:val="8"/>
                <w:color w:val="auto"/>
              </w:rPr>
            </w:pPr>
          </w:p>
        </w:tc>
        <w:tc>
          <w:tcPr>
            <w:tcW w:w="660" w:type="dxa"/>
            <w:vAlign w:val="bottom"/>
            <w:gridSpan w:val="2"/>
          </w:tcPr>
          <w:p>
            <w:pPr>
              <w:jc w:val="right"/>
              <w:ind w:right="55"/>
              <w:spacing w:after="0" w:line="97" w:lineRule="exact"/>
              <w:rPr>
                <w:sz w:val="20"/>
                <w:szCs w:val="20"/>
                <w:color w:val="auto"/>
              </w:rPr>
            </w:pPr>
            <w:r>
              <w:rPr>
                <w:rFonts w:ascii="Arial" w:cs="Arial" w:eastAsia="Arial" w:hAnsi="Arial"/>
                <w:sz w:val="9"/>
                <w:szCs w:val="9"/>
                <w:color w:val="auto"/>
              </w:rPr>
              <w:t>(125,876)</w:t>
            </w:r>
          </w:p>
        </w:tc>
        <w:tc>
          <w:tcPr>
            <w:tcW w:w="100" w:type="dxa"/>
            <w:vAlign w:val="bottom"/>
          </w:tcPr>
          <w:p>
            <w:pPr>
              <w:spacing w:after="0"/>
              <w:rPr>
                <w:sz w:val="8"/>
                <w:szCs w:val="8"/>
                <w:color w:val="auto"/>
              </w:rPr>
            </w:pPr>
          </w:p>
        </w:tc>
        <w:tc>
          <w:tcPr>
            <w:tcW w:w="80" w:type="dxa"/>
            <w:vAlign w:val="bottom"/>
          </w:tcPr>
          <w:p>
            <w:pPr>
              <w:jc w:val="right"/>
              <w:ind w:right="18"/>
              <w:spacing w:after="0"/>
              <w:rPr>
                <w:sz w:val="20"/>
                <w:szCs w:val="20"/>
                <w:color w:val="auto"/>
              </w:rPr>
            </w:pPr>
            <w:r>
              <w:rPr>
                <w:rFonts w:ascii="Arial" w:cs="Arial" w:eastAsia="Arial" w:hAnsi="Arial"/>
                <w:sz w:val="4"/>
                <w:szCs w:val="4"/>
                <w:color w:val="auto"/>
                <w:w w:val="87"/>
              </w:rPr>
              <w:t>$</w:t>
            </w:r>
          </w:p>
        </w:tc>
        <w:tc>
          <w:tcPr>
            <w:tcW w:w="10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1,769</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jc w:val="right"/>
              <w:spacing w:after="0" w:line="97" w:lineRule="exact"/>
              <w:rPr>
                <w:sz w:val="20"/>
                <w:szCs w:val="20"/>
                <w:color w:val="auto"/>
              </w:rPr>
            </w:pPr>
            <w:r>
              <w:rPr>
                <w:rFonts w:ascii="Arial" w:cs="Arial" w:eastAsia="Arial" w:hAnsi="Arial"/>
                <w:sz w:val="9"/>
                <w:szCs w:val="9"/>
                <w:color w:val="auto"/>
                <w:w w:val="78"/>
              </w:rPr>
              <w:t>$</w:t>
            </w:r>
          </w:p>
        </w:tc>
        <w:tc>
          <w:tcPr>
            <w:tcW w:w="100" w:type="dxa"/>
            <w:vAlign w:val="bottom"/>
          </w:tcPr>
          <w:p>
            <w:pPr>
              <w:spacing w:after="0"/>
              <w:rPr>
                <w:sz w:val="8"/>
                <w:szCs w:val="8"/>
                <w:color w:val="auto"/>
              </w:rPr>
            </w:pPr>
          </w:p>
        </w:tc>
        <w:tc>
          <w:tcPr>
            <w:tcW w:w="700" w:type="dxa"/>
            <w:vAlign w:val="bottom"/>
          </w:tcPr>
          <w:p>
            <w:pPr>
              <w:jc w:val="right"/>
              <w:spacing w:after="0" w:line="97" w:lineRule="exact"/>
              <w:rPr>
                <w:sz w:val="20"/>
                <w:szCs w:val="20"/>
                <w:color w:val="auto"/>
              </w:rPr>
            </w:pPr>
            <w:r>
              <w:rPr>
                <w:rFonts w:ascii="Arial" w:cs="Arial" w:eastAsia="Arial" w:hAnsi="Arial"/>
                <w:sz w:val="9"/>
                <w:szCs w:val="9"/>
                <w:color w:val="auto"/>
              </w:rPr>
              <w:t>46,574</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vMerge w:val="restart"/>
          </w:tcPr>
          <w:p>
            <w:pPr>
              <w:jc w:val="center"/>
              <w:ind w:right="15"/>
              <w:spacing w:after="0"/>
              <w:rPr>
                <w:sz w:val="20"/>
                <w:szCs w:val="20"/>
                <w:color w:val="auto"/>
              </w:rPr>
            </w:pPr>
            <w:r>
              <w:rPr>
                <w:rFonts w:ascii="Arial" w:cs="Arial" w:eastAsia="Arial" w:hAnsi="Arial"/>
                <w:sz w:val="8"/>
                <w:szCs w:val="8"/>
                <w:b w:val="1"/>
                <w:bCs w:val="1"/>
                <w:color w:val="auto"/>
                <w:w w:val="97"/>
              </w:rPr>
              <w:t>Additional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restart"/>
          </w:tcPr>
          <w:p>
            <w:pPr>
              <w:jc w:val="center"/>
              <w:ind w:right="240"/>
              <w:spacing w:after="0"/>
              <w:rPr>
                <w:sz w:val="20"/>
                <w:szCs w:val="20"/>
                <w:color w:val="auto"/>
              </w:rPr>
            </w:pPr>
            <w:r>
              <w:rPr>
                <w:rFonts w:ascii="Arial" w:cs="Arial" w:eastAsia="Arial" w:hAnsi="Arial"/>
                <w:sz w:val="8"/>
                <w:szCs w:val="8"/>
                <w:b w:val="1"/>
                <w:bCs w:val="1"/>
                <w:color w:val="auto"/>
                <w:w w:val="98"/>
              </w:rPr>
              <w:t>Non-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64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8"/>
                <w:szCs w:val="8"/>
                <w:b w:val="1"/>
                <w:bCs w:val="1"/>
                <w:color w:val="auto"/>
                <w:w w:val="93"/>
              </w:rPr>
              <w:t>Series D</w:t>
            </w:r>
          </w:p>
        </w:tc>
        <w:tc>
          <w:tcPr>
            <w:tcW w:w="18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3"/>
          </w:tcPr>
          <w:p>
            <w:pPr>
              <w:jc w:val="right"/>
              <w:ind w:right="76"/>
              <w:spacing w:after="0"/>
              <w:rPr>
                <w:sz w:val="20"/>
                <w:szCs w:val="20"/>
                <w:color w:val="auto"/>
              </w:rPr>
            </w:pPr>
            <w:r>
              <w:rPr>
                <w:rFonts w:ascii="Arial" w:cs="Arial" w:eastAsia="Arial" w:hAnsi="Arial"/>
                <w:sz w:val="8"/>
                <w:szCs w:val="8"/>
                <w:b w:val="1"/>
                <w:bCs w:val="1"/>
                <w:color w:val="auto"/>
              </w:rPr>
              <w:t>Common Stock</w:t>
            </w: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center"/>
              <w:ind w:right="15"/>
              <w:spacing w:after="0"/>
              <w:rPr>
                <w:sz w:val="20"/>
                <w:szCs w:val="20"/>
                <w:color w:val="auto"/>
              </w:rPr>
            </w:pPr>
            <w:r>
              <w:rPr>
                <w:rFonts w:ascii="Arial" w:cs="Arial" w:eastAsia="Arial" w:hAnsi="Arial"/>
                <w:sz w:val="8"/>
                <w:szCs w:val="8"/>
                <w:b w:val="1"/>
                <w:bCs w:val="1"/>
                <w:color w:val="auto"/>
              </w:rPr>
              <w:t>'Paid-</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8"/>
                <w:szCs w:val="8"/>
                <w:b w:val="1"/>
                <w:bCs w:val="1"/>
                <w:color w:val="auto"/>
              </w:rPr>
              <w:t>Accumulated</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3"/>
          </w:tcPr>
          <w:p>
            <w:pPr>
              <w:jc w:val="center"/>
              <w:ind w:right="220"/>
              <w:spacing w:after="0"/>
              <w:rPr>
                <w:sz w:val="20"/>
                <w:szCs w:val="20"/>
                <w:color w:val="auto"/>
              </w:rPr>
            </w:pPr>
            <w:r>
              <w:rPr>
                <w:rFonts w:ascii="Arial" w:cs="Arial" w:eastAsia="Arial" w:hAnsi="Arial"/>
                <w:sz w:val="8"/>
                <w:szCs w:val="8"/>
                <w:b w:val="1"/>
                <w:bCs w:val="1"/>
                <w:color w:val="auto"/>
                <w:w w:val="96"/>
              </w:rPr>
              <w:t>controlling</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w w:val="90"/>
              </w:rPr>
              <w:t>Stockholders’</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640" w:type="dxa"/>
            <w:vAlign w:val="bottom"/>
            <w:tcBorders>
              <w:right w:val="single" w:sz="8" w:color="auto"/>
            </w:tcBorders>
            <w:gridSpan w:val="3"/>
          </w:tcPr>
          <w:p>
            <w:pPr>
              <w:jc w:val="center"/>
              <w:ind w:right="140"/>
              <w:spacing w:after="0" w:line="90" w:lineRule="exact"/>
              <w:rPr>
                <w:sz w:val="20"/>
                <w:szCs w:val="20"/>
                <w:color w:val="auto"/>
              </w:rPr>
            </w:pPr>
            <w:r>
              <w:rPr>
                <w:rFonts w:ascii="Arial" w:cs="Arial" w:eastAsia="Arial" w:hAnsi="Arial"/>
                <w:sz w:val="8"/>
                <w:szCs w:val="8"/>
                <w:b w:val="1"/>
                <w:bCs w:val="1"/>
                <w:color w:val="auto"/>
                <w:w w:val="95"/>
              </w:rPr>
              <w:t>Preferred</w:t>
            </w:r>
          </w:p>
        </w:tc>
        <w:tc>
          <w:tcPr>
            <w:tcW w:w="180" w:type="dxa"/>
            <w:vAlign w:val="bottom"/>
            <w:gridSpan w:val="2"/>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89"/>
              </w:rPr>
              <w:t>Shares</w:t>
            </w:r>
          </w:p>
        </w:tc>
        <w:tc>
          <w:tcPr>
            <w:tcW w:w="140" w:type="dxa"/>
            <w:vAlign w:val="bottom"/>
            <w:tcBorders>
              <w:right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35"/>
              <w:spacing w:after="0"/>
              <w:rPr>
                <w:sz w:val="20"/>
                <w:szCs w:val="20"/>
                <w:color w:val="auto"/>
              </w:rPr>
            </w:pPr>
            <w:r>
              <w:rPr>
                <w:rFonts w:ascii="Arial" w:cs="Arial" w:eastAsia="Arial" w:hAnsi="Arial"/>
                <w:sz w:val="8"/>
                <w:szCs w:val="8"/>
                <w:b w:val="1"/>
                <w:bCs w:val="1"/>
                <w:color w:val="auto"/>
                <w:w w:val="82"/>
              </w:rPr>
              <w:t>Shares</w:t>
            </w:r>
          </w:p>
        </w:tc>
        <w:tc>
          <w:tcPr>
            <w:tcW w:w="240" w:type="dxa"/>
            <w:vAlign w:val="bottom"/>
          </w:tcPr>
          <w:p>
            <w:pPr>
              <w:spacing w:after="0"/>
              <w:rPr>
                <w:sz w:val="8"/>
                <w:szCs w:val="8"/>
                <w:color w:val="auto"/>
              </w:rPr>
            </w:pPr>
          </w:p>
        </w:tc>
        <w:tc>
          <w:tcPr>
            <w:tcW w:w="40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8"/>
                <w:szCs w:val="8"/>
                <w:b w:val="1"/>
                <w:bCs w:val="1"/>
                <w:color w:val="auto"/>
              </w:rPr>
              <w:t>Amount</w:t>
            </w:r>
          </w:p>
        </w:tc>
        <w:tc>
          <w:tcPr>
            <w:tcW w:w="2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jc w:val="center"/>
              <w:ind w:right="15"/>
              <w:spacing w:after="0"/>
              <w:rPr>
                <w:sz w:val="20"/>
                <w:szCs w:val="20"/>
                <w:color w:val="auto"/>
              </w:rPr>
            </w:pPr>
            <w:r>
              <w:rPr>
                <w:rFonts w:ascii="Arial" w:cs="Arial" w:eastAsia="Arial" w:hAnsi="Arial"/>
                <w:sz w:val="8"/>
                <w:szCs w:val="8"/>
                <w:b w:val="1"/>
                <w:bCs w:val="1"/>
                <w:color w:val="auto"/>
              </w:rPr>
              <w:t>in-Capital</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Borders>
              <w:bottom w:val="single" w:sz="8" w:color="auto"/>
            </w:tcBorders>
            <w:gridSpan w:val="2"/>
          </w:tcPr>
          <w:p>
            <w:pPr>
              <w:jc w:val="right"/>
              <w:ind w:right="195"/>
              <w:spacing w:after="0"/>
              <w:rPr>
                <w:sz w:val="20"/>
                <w:szCs w:val="20"/>
                <w:color w:val="auto"/>
              </w:rPr>
            </w:pPr>
            <w:r>
              <w:rPr>
                <w:rFonts w:ascii="Arial" w:cs="Arial" w:eastAsia="Arial" w:hAnsi="Arial"/>
                <w:sz w:val="8"/>
                <w:szCs w:val="8"/>
                <w:b w:val="1"/>
                <w:bCs w:val="1"/>
                <w:color w:val="auto"/>
              </w:rPr>
              <w:t>Deficit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8"/>
                <w:szCs w:val="8"/>
                <w:b w:val="1"/>
                <w:bCs w:val="1"/>
                <w:color w:val="auto"/>
                <w:w w:val="96"/>
              </w:rPr>
              <w:t>Interest</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center"/>
              <w:ind w:right="56"/>
              <w:spacing w:after="0"/>
              <w:rPr>
                <w:sz w:val="20"/>
                <w:szCs w:val="20"/>
                <w:color w:val="auto"/>
              </w:rPr>
            </w:pPr>
            <w:r>
              <w:rPr>
                <w:rFonts w:ascii="Arial" w:cs="Arial" w:eastAsia="Arial" w:hAnsi="Arial"/>
                <w:sz w:val="8"/>
                <w:szCs w:val="8"/>
                <w:b w:val="1"/>
                <w:bCs w:val="1"/>
                <w:color w:val="auto"/>
                <w:w w:val="97"/>
              </w:rPr>
              <w:t>Equity</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80" w:type="dxa"/>
            <w:vAlign w:val="bottom"/>
            <w:gridSpan w:val="2"/>
          </w:tcPr>
          <w:p>
            <w:pPr>
              <w:jc w:val="right"/>
              <w:spacing w:after="0" w:line="99" w:lineRule="exact"/>
              <w:rPr>
                <w:sz w:val="20"/>
                <w:szCs w:val="20"/>
                <w:color w:val="auto"/>
              </w:rPr>
            </w:pPr>
            <w:r>
              <w:rPr>
                <w:rFonts w:ascii="Arial" w:cs="Arial" w:eastAsia="Arial" w:hAnsi="Arial"/>
                <w:sz w:val="9"/>
                <w:szCs w:val="9"/>
                <w:color w:val="auto"/>
              </w:rPr>
              <w:t>647,189</w:t>
            </w:r>
          </w:p>
        </w:tc>
        <w:tc>
          <w:tcPr>
            <w:tcW w:w="10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jc w:val="right"/>
              <w:spacing w:after="0" w:line="99" w:lineRule="exact"/>
              <w:rPr>
                <w:sz w:val="20"/>
                <w:szCs w:val="20"/>
                <w:color w:val="auto"/>
              </w:rPr>
            </w:pPr>
            <w:r>
              <w:rPr>
                <w:rFonts w:ascii="Arial" w:cs="Arial" w:eastAsia="Arial" w:hAnsi="Arial"/>
                <w:sz w:val="9"/>
                <w:szCs w:val="9"/>
                <w:color w:val="auto"/>
                <w:w w:val="94"/>
              </w:rPr>
              <w:t>4,772,956</w:t>
            </w:r>
          </w:p>
        </w:tc>
        <w:tc>
          <w:tcPr>
            <w:tcW w:w="400" w:type="dxa"/>
            <w:vAlign w:val="bottom"/>
            <w:gridSpan w:val="2"/>
          </w:tcPr>
          <w:p>
            <w:pPr>
              <w:jc w:val="right"/>
              <w:ind w:right="116"/>
              <w:spacing w:after="0" w:line="99" w:lineRule="exact"/>
              <w:rPr>
                <w:sz w:val="20"/>
                <w:szCs w:val="20"/>
                <w:color w:val="auto"/>
              </w:rPr>
            </w:pPr>
            <w:r>
              <w:rPr>
                <w:rFonts w:ascii="Arial" w:cs="Arial" w:eastAsia="Arial" w:hAnsi="Arial"/>
                <w:sz w:val="9"/>
                <w:szCs w:val="9"/>
                <w:color w:val="auto"/>
              </w:rPr>
              <w:t>$</w:t>
            </w: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5</w:t>
            </w:r>
          </w:p>
        </w:tc>
        <w:tc>
          <w:tcPr>
            <w:tcW w:w="22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4"/>
                <w:szCs w:val="4"/>
                <w:color w:val="auto"/>
                <w:w w:val="87"/>
              </w:rPr>
              <w:t>$</w:t>
            </w:r>
          </w:p>
        </w:tc>
        <w:tc>
          <w:tcPr>
            <w:tcW w:w="480" w:type="dxa"/>
            <w:vAlign w:val="bottom"/>
            <w:gridSpan w:val="2"/>
          </w:tcPr>
          <w:p>
            <w:pPr>
              <w:jc w:val="right"/>
              <w:spacing w:after="0" w:line="99" w:lineRule="exact"/>
              <w:rPr>
                <w:sz w:val="20"/>
                <w:szCs w:val="20"/>
                <w:color w:val="auto"/>
              </w:rPr>
            </w:pPr>
            <w:r>
              <w:rPr>
                <w:rFonts w:ascii="Arial" w:cs="Arial" w:eastAsia="Arial" w:hAnsi="Arial"/>
                <w:sz w:val="9"/>
                <w:szCs w:val="9"/>
                <w:color w:val="auto"/>
              </w:rPr>
              <w:t>67,495</w:t>
            </w:r>
          </w:p>
        </w:tc>
        <w:tc>
          <w:tcPr>
            <w:tcW w:w="100" w:type="dxa"/>
            <w:vAlign w:val="bottom"/>
          </w:tcPr>
          <w:p>
            <w:pPr>
              <w:spacing w:after="0"/>
              <w:rPr>
                <w:sz w:val="8"/>
                <w:szCs w:val="8"/>
                <w:color w:val="auto"/>
              </w:rPr>
            </w:pPr>
          </w:p>
        </w:tc>
        <w:tc>
          <w:tcPr>
            <w:tcW w:w="18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760" w:type="dxa"/>
            <w:vAlign w:val="bottom"/>
            <w:gridSpan w:val="3"/>
          </w:tcPr>
          <w:p>
            <w:pPr>
              <w:jc w:val="right"/>
              <w:ind w:right="60"/>
              <w:spacing w:after="0" w:line="99" w:lineRule="exact"/>
              <w:rPr>
                <w:sz w:val="20"/>
                <w:szCs w:val="20"/>
                <w:color w:val="auto"/>
              </w:rPr>
            </w:pPr>
            <w:r>
              <w:rPr>
                <w:rFonts w:ascii="Arial" w:cs="Arial" w:eastAsia="Arial" w:hAnsi="Arial"/>
                <w:sz w:val="9"/>
                <w:szCs w:val="9"/>
                <w:color w:val="auto"/>
              </w:rPr>
              <w:t>(35,067)</w:t>
            </w:r>
          </w:p>
        </w:tc>
        <w:tc>
          <w:tcPr>
            <w:tcW w:w="80" w:type="dxa"/>
            <w:vAlign w:val="bottom"/>
          </w:tcPr>
          <w:p>
            <w:pPr>
              <w:spacing w:after="0"/>
              <w:rPr>
                <w:sz w:val="8"/>
                <w:szCs w:val="8"/>
                <w:color w:val="auto"/>
              </w:rPr>
            </w:pPr>
          </w:p>
        </w:tc>
        <w:tc>
          <w:tcPr>
            <w:tcW w:w="100" w:type="dxa"/>
            <w:vAlign w:val="bottom"/>
          </w:tcPr>
          <w:p>
            <w:pPr>
              <w:ind w:left="60"/>
              <w:spacing w:after="0"/>
              <w:rPr>
                <w:sz w:val="20"/>
                <w:szCs w:val="20"/>
                <w:color w:val="auto"/>
              </w:rPr>
            </w:pPr>
            <w:r>
              <w:rPr>
                <w:rFonts w:ascii="Arial" w:cs="Arial" w:eastAsia="Arial" w:hAnsi="Arial"/>
                <w:sz w:val="1"/>
                <w:szCs w:val="1"/>
                <w:color w:val="auto"/>
                <w:w w:val="4294967288"/>
              </w:rPr>
              <w:t>$</w:t>
            </w:r>
          </w:p>
        </w:tc>
        <w:tc>
          <w:tcPr>
            <w:tcW w:w="540" w:type="dxa"/>
            <w:vAlign w:val="bottom"/>
            <w:gridSpan w:val="2"/>
          </w:tcPr>
          <w:p>
            <w:pPr>
              <w:jc w:val="right"/>
              <w:ind w:right="20"/>
              <w:spacing w:after="0" w:line="99" w:lineRule="exact"/>
              <w:rPr>
                <w:sz w:val="20"/>
                <w:szCs w:val="20"/>
                <w:color w:val="auto"/>
              </w:rPr>
            </w:pPr>
            <w:r>
              <w:rPr>
                <w:rFonts w:ascii="Arial" w:cs="Arial" w:eastAsia="Arial" w:hAnsi="Arial"/>
                <w:sz w:val="9"/>
                <w:szCs w:val="9"/>
                <w:color w:val="auto"/>
              </w:rPr>
              <w:t>4,022</w:t>
            </w:r>
          </w:p>
        </w:tc>
        <w:tc>
          <w:tcPr>
            <w:tcW w:w="160" w:type="dxa"/>
            <w:vAlign w:val="bottom"/>
          </w:tcPr>
          <w:p>
            <w:pPr>
              <w:spacing w:after="0"/>
              <w:rPr>
                <w:sz w:val="8"/>
                <w:szCs w:val="8"/>
                <w:color w:val="auto"/>
              </w:rPr>
            </w:pPr>
          </w:p>
        </w:tc>
        <w:tc>
          <w:tcPr>
            <w:tcW w:w="16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w:t>
            </w:r>
          </w:p>
        </w:tc>
        <w:tc>
          <w:tcPr>
            <w:tcW w:w="700" w:type="dxa"/>
            <w:vAlign w:val="bottom"/>
          </w:tcPr>
          <w:p>
            <w:pPr>
              <w:jc w:val="right"/>
              <w:spacing w:after="0" w:line="99" w:lineRule="exact"/>
              <w:rPr>
                <w:sz w:val="20"/>
                <w:szCs w:val="20"/>
                <w:color w:val="auto"/>
              </w:rPr>
            </w:pPr>
            <w:r>
              <w:rPr>
                <w:rFonts w:ascii="Arial" w:cs="Arial" w:eastAsia="Arial" w:hAnsi="Arial"/>
                <w:sz w:val="9"/>
                <w:szCs w:val="9"/>
                <w:color w:val="auto"/>
              </w:rPr>
              <w:t>36,455</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64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9"/>
                <w:szCs w:val="9"/>
                <w:color w:val="auto"/>
              </w:rPr>
              <w:t>—</w:t>
            </w:r>
          </w:p>
        </w:tc>
        <w:tc>
          <w:tcPr>
            <w:tcW w:w="18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64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9"/>
                <w:szCs w:val="9"/>
                <w:color w:val="auto"/>
              </w:rPr>
              <w:t>—</w:t>
            </w:r>
          </w:p>
        </w:tc>
        <w:tc>
          <w:tcPr>
            <w:tcW w:w="18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9"/>
                <w:szCs w:val="9"/>
                <w:color w:val="auto"/>
              </w:rPr>
              <w:t>(5,273)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9"/>
                <w:szCs w:val="9"/>
                <w:color w:val="auto"/>
              </w:rPr>
              <w:t>(5,273)</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64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9"/>
                <w:szCs w:val="9"/>
                <w:color w:val="auto"/>
              </w:rPr>
              <w:t>—</w:t>
            </w:r>
          </w:p>
        </w:tc>
        <w:tc>
          <w:tcPr>
            <w:tcW w:w="18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9"/>
                <w:szCs w:val="9"/>
                <w:color w:val="auto"/>
              </w:rPr>
              <w:t>168</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168</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64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9"/>
                <w:szCs w:val="9"/>
                <w:color w:val="auto"/>
              </w:rPr>
              <w:t>—</w:t>
            </w:r>
          </w:p>
        </w:tc>
        <w:tc>
          <w:tcPr>
            <w:tcW w:w="18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64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9"/>
                <w:szCs w:val="9"/>
                <w:color w:val="auto"/>
              </w:rPr>
              <w:t>—</w:t>
            </w:r>
          </w:p>
        </w:tc>
        <w:tc>
          <w:tcPr>
            <w:tcW w:w="18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3,506</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80" w:type="dxa"/>
            <w:vAlign w:val="bottom"/>
            <w:gridSpan w:val="2"/>
          </w:tcPr>
          <w:p>
            <w:pPr>
              <w:jc w:val="right"/>
              <w:spacing w:after="0"/>
              <w:rPr>
                <w:sz w:val="20"/>
                <w:szCs w:val="20"/>
                <w:color w:val="auto"/>
              </w:rPr>
            </w:pPr>
            <w:r>
              <w:rPr>
                <w:rFonts w:ascii="Arial" w:cs="Arial" w:eastAsia="Arial" w:hAnsi="Arial"/>
                <w:sz w:val="9"/>
                <w:szCs w:val="9"/>
                <w:color w:val="auto"/>
              </w:rPr>
              <w:t>7</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7</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40" w:type="dxa"/>
            <w:vAlign w:val="bottom"/>
            <w:tcBorders>
              <w:right w:val="single" w:sz="8" w:color="auto"/>
            </w:tcBorders>
            <w:gridSpan w:val="2"/>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color w:val="auto"/>
              </w:rPr>
              <w:t>375</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375</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8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647,189</w:t>
            </w:r>
          </w:p>
        </w:tc>
        <w:tc>
          <w:tcPr>
            <w:tcW w:w="10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jc w:val="right"/>
              <w:spacing w:after="0" w:line="97" w:lineRule="exact"/>
              <w:rPr>
                <w:sz w:val="20"/>
                <w:szCs w:val="20"/>
                <w:color w:val="auto"/>
              </w:rPr>
            </w:pPr>
            <w:r>
              <w:rPr>
                <w:rFonts w:ascii="Arial" w:cs="Arial" w:eastAsia="Arial" w:hAnsi="Arial"/>
                <w:sz w:val="9"/>
                <w:szCs w:val="9"/>
                <w:color w:val="auto"/>
                <w:w w:val="94"/>
              </w:rPr>
              <w:t>4,776,462</w:t>
            </w:r>
          </w:p>
        </w:tc>
        <w:tc>
          <w:tcPr>
            <w:tcW w:w="240" w:type="dxa"/>
            <w:vAlign w:val="bottom"/>
          </w:tcPr>
          <w:p>
            <w:pPr>
              <w:spacing w:after="0"/>
              <w:rPr>
                <w:sz w:val="8"/>
                <w:szCs w:val="8"/>
                <w:color w:val="auto"/>
              </w:rPr>
            </w:pPr>
          </w:p>
        </w:tc>
        <w:tc>
          <w:tcPr>
            <w:tcW w:w="160" w:type="dxa"/>
            <w:vAlign w:val="bottom"/>
          </w:tcPr>
          <w:p>
            <w:pPr>
              <w:jc w:val="right"/>
              <w:ind w:right="116"/>
              <w:spacing w:after="0"/>
              <w:rPr>
                <w:sz w:val="20"/>
                <w:szCs w:val="20"/>
                <w:color w:val="auto"/>
              </w:rPr>
            </w:pPr>
            <w:r>
              <w:rPr>
                <w:rFonts w:ascii="Arial" w:cs="Arial" w:eastAsia="Arial" w:hAnsi="Arial"/>
                <w:sz w:val="1"/>
                <w:szCs w:val="1"/>
                <w:color w:val="auto"/>
                <w:w w:val="4294967288"/>
              </w:rPr>
              <w:t>$</w:t>
            </w:r>
          </w:p>
        </w:tc>
        <w:tc>
          <w:tcPr>
            <w:tcW w:w="240" w:type="dxa"/>
            <w:vAlign w:val="bottom"/>
          </w:tcPr>
          <w:p>
            <w:pPr>
              <w:jc w:val="right"/>
              <w:spacing w:after="0" w:line="97" w:lineRule="exact"/>
              <w:rPr>
                <w:sz w:val="20"/>
                <w:szCs w:val="20"/>
                <w:color w:val="auto"/>
              </w:rPr>
            </w:pPr>
            <w:r>
              <w:rPr>
                <w:rFonts w:ascii="Arial" w:cs="Arial" w:eastAsia="Arial" w:hAnsi="Arial"/>
                <w:sz w:val="9"/>
                <w:szCs w:val="9"/>
                <w:color w:val="auto"/>
              </w:rPr>
              <w:t>5</w:t>
            </w:r>
          </w:p>
        </w:tc>
        <w:tc>
          <w:tcPr>
            <w:tcW w:w="22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4"/>
                <w:szCs w:val="4"/>
                <w:color w:val="auto"/>
                <w:w w:val="87"/>
              </w:rPr>
              <w:t>$</w:t>
            </w:r>
          </w:p>
        </w:tc>
        <w:tc>
          <w:tcPr>
            <w:tcW w:w="480" w:type="dxa"/>
            <w:vAlign w:val="bottom"/>
            <w:gridSpan w:val="2"/>
          </w:tcPr>
          <w:p>
            <w:pPr>
              <w:jc w:val="right"/>
              <w:spacing w:after="0" w:line="97" w:lineRule="exact"/>
              <w:rPr>
                <w:sz w:val="20"/>
                <w:szCs w:val="20"/>
                <w:color w:val="auto"/>
              </w:rPr>
            </w:pPr>
            <w:r>
              <w:rPr>
                <w:rFonts w:ascii="Arial" w:cs="Arial" w:eastAsia="Arial" w:hAnsi="Arial"/>
                <w:sz w:val="9"/>
                <w:szCs w:val="9"/>
                <w:color w:val="auto"/>
              </w:rPr>
              <w:t>67,877</w:t>
            </w:r>
          </w:p>
        </w:tc>
        <w:tc>
          <w:tcPr>
            <w:tcW w:w="100" w:type="dxa"/>
            <w:vAlign w:val="bottom"/>
          </w:tcPr>
          <w:p>
            <w:pPr>
              <w:spacing w:after="0"/>
              <w:rPr>
                <w:sz w:val="8"/>
                <w:szCs w:val="8"/>
                <w:color w:val="auto"/>
              </w:rPr>
            </w:pPr>
          </w:p>
        </w:tc>
        <w:tc>
          <w:tcPr>
            <w:tcW w:w="180" w:type="dxa"/>
            <w:vAlign w:val="bottom"/>
          </w:tcPr>
          <w:p>
            <w:pPr>
              <w:jc w:val="right"/>
              <w:spacing w:after="0" w:line="97" w:lineRule="exact"/>
              <w:rPr>
                <w:sz w:val="20"/>
                <w:szCs w:val="20"/>
                <w:color w:val="auto"/>
              </w:rPr>
            </w:pPr>
            <w:r>
              <w:rPr>
                <w:rFonts w:ascii="Arial" w:cs="Arial" w:eastAsia="Arial" w:hAnsi="Arial"/>
                <w:sz w:val="9"/>
                <w:szCs w:val="9"/>
                <w:color w:val="auto"/>
              </w:rPr>
              <w:t>$</w:t>
            </w:r>
          </w:p>
        </w:tc>
        <w:tc>
          <w:tcPr>
            <w:tcW w:w="760" w:type="dxa"/>
            <w:vAlign w:val="bottom"/>
            <w:gridSpan w:val="3"/>
          </w:tcPr>
          <w:p>
            <w:pPr>
              <w:jc w:val="right"/>
              <w:ind w:right="60"/>
              <w:spacing w:after="0" w:line="97" w:lineRule="exact"/>
              <w:rPr>
                <w:sz w:val="20"/>
                <w:szCs w:val="20"/>
                <w:color w:val="auto"/>
              </w:rPr>
            </w:pPr>
            <w:r>
              <w:rPr>
                <w:rFonts w:ascii="Arial" w:cs="Arial" w:eastAsia="Arial" w:hAnsi="Arial"/>
                <w:sz w:val="9"/>
                <w:szCs w:val="9"/>
                <w:color w:val="auto"/>
              </w:rPr>
              <w:t>(40,340)</w:t>
            </w:r>
          </w:p>
        </w:tc>
        <w:tc>
          <w:tcPr>
            <w:tcW w:w="80" w:type="dxa"/>
            <w:vAlign w:val="bottom"/>
          </w:tcPr>
          <w:p>
            <w:pPr>
              <w:spacing w:after="0"/>
              <w:rPr>
                <w:sz w:val="8"/>
                <w:szCs w:val="8"/>
                <w:color w:val="auto"/>
              </w:rPr>
            </w:pPr>
          </w:p>
        </w:tc>
        <w:tc>
          <w:tcPr>
            <w:tcW w:w="100" w:type="dxa"/>
            <w:vAlign w:val="bottom"/>
          </w:tcPr>
          <w:p>
            <w:pPr>
              <w:ind w:left="60"/>
              <w:spacing w:after="0"/>
              <w:rPr>
                <w:sz w:val="20"/>
                <w:szCs w:val="20"/>
                <w:color w:val="auto"/>
              </w:rPr>
            </w:pPr>
            <w:r>
              <w:rPr>
                <w:rFonts w:ascii="Arial" w:cs="Arial" w:eastAsia="Arial" w:hAnsi="Arial"/>
                <w:sz w:val="1"/>
                <w:szCs w:val="1"/>
                <w:color w:val="auto"/>
                <w:w w:val="4294967288"/>
              </w:rPr>
              <w:t>$</w:t>
            </w:r>
          </w:p>
        </w:tc>
        <w:tc>
          <w:tcPr>
            <w:tcW w:w="540" w:type="dxa"/>
            <w:vAlign w:val="bottom"/>
            <w:gridSpan w:val="2"/>
          </w:tcPr>
          <w:p>
            <w:pPr>
              <w:jc w:val="right"/>
              <w:ind w:right="20"/>
              <w:spacing w:after="0" w:line="97" w:lineRule="exact"/>
              <w:rPr>
                <w:sz w:val="20"/>
                <w:szCs w:val="20"/>
                <w:color w:val="auto"/>
              </w:rPr>
            </w:pPr>
            <w:r>
              <w:rPr>
                <w:rFonts w:ascii="Arial" w:cs="Arial" w:eastAsia="Arial" w:hAnsi="Arial"/>
                <w:sz w:val="9"/>
                <w:szCs w:val="9"/>
                <w:color w:val="auto"/>
              </w:rPr>
              <w:t>4,190</w:t>
            </w:r>
          </w:p>
        </w:tc>
        <w:tc>
          <w:tcPr>
            <w:tcW w:w="160" w:type="dxa"/>
            <w:vAlign w:val="bottom"/>
          </w:tcPr>
          <w:p>
            <w:pPr>
              <w:spacing w:after="0"/>
              <w:rPr>
                <w:sz w:val="8"/>
                <w:szCs w:val="8"/>
                <w:color w:val="auto"/>
              </w:rPr>
            </w:pPr>
          </w:p>
        </w:tc>
        <w:tc>
          <w:tcPr>
            <w:tcW w:w="16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w:t>
            </w:r>
          </w:p>
        </w:tc>
        <w:tc>
          <w:tcPr>
            <w:tcW w:w="700" w:type="dxa"/>
            <w:vAlign w:val="bottom"/>
          </w:tcPr>
          <w:p>
            <w:pPr>
              <w:jc w:val="right"/>
              <w:spacing w:after="0" w:line="97" w:lineRule="exact"/>
              <w:rPr>
                <w:sz w:val="20"/>
                <w:szCs w:val="20"/>
                <w:color w:val="auto"/>
              </w:rPr>
            </w:pPr>
            <w:r>
              <w:rPr>
                <w:rFonts w:ascii="Arial" w:cs="Arial" w:eastAsia="Arial" w:hAnsi="Arial"/>
                <w:sz w:val="9"/>
                <w:szCs w:val="9"/>
                <w:color w:val="auto"/>
              </w:rPr>
              <w:t>31,732</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-1622425</wp:posOffset>
            </wp:positionV>
            <wp:extent cx="7178040" cy="742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74295"/>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-1479550</wp:posOffset>
            </wp:positionV>
            <wp:extent cx="717804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6858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-1342390</wp:posOffset>
            </wp:positionV>
            <wp:extent cx="717804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6858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-1205230</wp:posOffset>
            </wp:positionV>
            <wp:extent cx="717804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6858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-1068070</wp:posOffset>
            </wp:positionV>
            <wp:extent cx="717804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6858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-576580</wp:posOffset>
            </wp:positionV>
            <wp:extent cx="7178040" cy="742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74295"/>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-433705</wp:posOffset>
            </wp:positionV>
            <wp:extent cx="717804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6858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-296545</wp:posOffset>
            </wp:positionV>
            <wp:extent cx="717804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6858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-159385</wp:posOffset>
            </wp:positionV>
            <wp:extent cx="717804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68580"/>
                    </a:xfrm>
                    <a:prstGeom prst="rect">
                      <a:avLst/>
                    </a:prstGeom>
                    <a:noFill/>
                  </pic:spPr>
                </pic:pic>
              </a:graphicData>
            </a:graphic>
          </wp:anchor>
        </w:drawing>
      </w:r>
    </w:p>
    <w:p>
      <w:pPr>
        <w:spacing w:after="0" w:line="153" w:lineRule="exact"/>
        <w:rPr>
          <w:sz w:val="20"/>
          <w:szCs w:val="20"/>
          <w:color w:val="auto"/>
        </w:rPr>
      </w:pPr>
    </w:p>
    <w:p>
      <w:pPr>
        <w:sectPr>
          <w:pgSz w:w="11900" w:h="16838" w:orient="portrait"/>
          <w:cols w:equalWidth="0" w:num="2">
            <w:col w:w="5460" w:space="140"/>
            <w:col w:w="5620"/>
          </w:cols>
          <w:pgMar w:left="300" w:top="271" w:right="379" w:bottom="1440" w:gutter="0" w:footer="0" w:header="0"/>
          <w:type w:val="continuous"/>
        </w:sectPr>
      </w:pPr>
    </w:p>
    <w:p>
      <w:pPr>
        <w:jc w:val="center"/>
        <w:ind w:right="-79"/>
        <w:spacing w:after="0"/>
        <w:rPr>
          <w:sz w:val="20"/>
          <w:szCs w:val="20"/>
          <w:color w:val="auto"/>
        </w:rPr>
      </w:pPr>
      <w:r>
        <w:rPr>
          <w:rFonts w:ascii="Arial" w:cs="Arial" w:eastAsia="Arial" w:hAnsi="Arial"/>
          <w:sz w:val="10"/>
          <w:szCs w:val="10"/>
          <w:i w:val="1"/>
          <w:iCs w:val="1"/>
          <w:color w:val="auto"/>
        </w:rPr>
        <w:t>The accompanying notes are an integral part of these condensed consolidated financial statements.</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20"/>
          </w:cols>
          <w:pgMar w:left="300" w:top="271" w:right="379" w:bottom="1440" w:gutter="0" w:footer="0" w:header="0"/>
          <w:type w:val="continuous"/>
        </w:sectPr>
      </w:pPr>
    </w:p>
    <w:bookmarkStart w:id="6" w:name="page7"/>
    <w:bookmarkEnd w:id="6"/>
    <w:p>
      <w:pPr>
        <w:ind w:left="4440"/>
        <w:spacing w:after="0"/>
        <w:rPr>
          <w:sz w:val="20"/>
          <w:szCs w:val="20"/>
          <w:color w:val="auto"/>
        </w:rPr>
      </w:pPr>
      <w:r>
        <w:rPr>
          <w:rFonts w:ascii="Arial" w:cs="Arial" w:eastAsia="Arial" w:hAnsi="Arial"/>
          <w:sz w:val="12"/>
          <w:szCs w:val="12"/>
          <w:b w:val="1"/>
          <w:bCs w:val="1"/>
          <w:color w:val="auto"/>
        </w:rPr>
        <w:t>VENUS CONCEPT INC.</w:t>
      </w:r>
    </w:p>
    <w:p>
      <w:pPr>
        <w:spacing w:after="0" w:line="78" w:lineRule="exact"/>
        <w:rPr>
          <w:sz w:val="20"/>
          <w:szCs w:val="20"/>
          <w:color w:val="auto"/>
        </w:rPr>
      </w:pPr>
    </w:p>
    <w:p>
      <w:pPr>
        <w:ind w:left="3780"/>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(in thousands)</w:t>
      </w:r>
    </w:p>
    <w:p>
      <w:pPr>
        <w:spacing w:after="0" w:line="148" w:lineRule="exact"/>
        <w:rPr>
          <w:sz w:val="20"/>
          <w:szCs w:val="20"/>
          <w:color w:val="auto"/>
        </w:rPr>
      </w:pPr>
    </w:p>
    <w:p>
      <w:pPr>
        <w:jc w:val="center"/>
        <w:ind w:left="6860"/>
        <w:spacing w:after="0"/>
        <w:rPr>
          <w:sz w:val="20"/>
          <w:szCs w:val="20"/>
          <w:color w:val="auto"/>
        </w:rPr>
      </w:pPr>
      <w:r>
        <w:rPr>
          <w:rFonts w:ascii="Arial" w:cs="Arial" w:eastAsia="Arial" w:hAnsi="Arial"/>
          <w:sz w:val="8"/>
          <w:szCs w:val="8"/>
          <w:b w:val="1"/>
          <w:bCs w:val="1"/>
          <w:color w:val="auto"/>
        </w:rPr>
        <w:t>Three Months</w:t>
      </w:r>
    </w:p>
    <w:p>
      <w:pPr>
        <w:spacing w:after="0" w:line="6" w:lineRule="exact"/>
        <w:rPr>
          <w:sz w:val="20"/>
          <w:szCs w:val="20"/>
          <w:color w:val="auto"/>
        </w:rPr>
      </w:pPr>
    </w:p>
    <w:p>
      <w:pPr>
        <w:jc w:val="center"/>
        <w:ind w:left="6860"/>
        <w:spacing w:after="0"/>
        <w:rPr>
          <w:sz w:val="20"/>
          <w:szCs w:val="20"/>
          <w:color w:val="auto"/>
        </w:rPr>
      </w:pPr>
      <w:r>
        <w:rPr>
          <w:rFonts w:ascii="Arial" w:cs="Arial" w:eastAsia="Arial" w:hAnsi="Arial"/>
          <w:sz w:val="8"/>
          <w:szCs w:val="8"/>
          <w:b w:val="1"/>
          <w:bCs w:val="1"/>
          <w:color w:val="auto"/>
        </w:rPr>
        <w:t>Ended 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88"/>
        </w:trPr>
        <w:tc>
          <w:tcPr>
            <w:tcW w:w="6980" w:type="dxa"/>
            <w:vAlign w:val="bottom"/>
            <w:tcBorders>
              <w:bottom w:val="single" w:sz="8" w:color="CFF0FC"/>
            </w:tcBorders>
          </w:tcPr>
          <w:p>
            <w:pPr>
              <w:spacing w:after="0"/>
              <w:rPr>
                <w:sz w:val="7"/>
                <w:szCs w:val="7"/>
                <w:color w:val="auto"/>
              </w:rPr>
            </w:pPr>
          </w:p>
        </w:tc>
        <w:tc>
          <w:tcPr>
            <w:tcW w:w="960" w:type="dxa"/>
            <w:vAlign w:val="bottom"/>
            <w:tcBorders>
              <w:top w:val="single" w:sz="8" w:color="auto"/>
              <w:bottom w:val="single" w:sz="8" w:color="auto"/>
            </w:tcBorders>
          </w:tcPr>
          <w:p>
            <w:pPr>
              <w:jc w:val="right"/>
              <w:ind w:right="151"/>
              <w:spacing w:after="0" w:line="88" w:lineRule="exact"/>
              <w:rPr>
                <w:sz w:val="20"/>
                <w:szCs w:val="20"/>
                <w:color w:val="auto"/>
              </w:rPr>
            </w:pPr>
            <w:r>
              <w:rPr>
                <w:rFonts w:ascii="Arial" w:cs="Arial" w:eastAsia="Arial" w:hAnsi="Arial"/>
                <w:sz w:val="8"/>
                <w:szCs w:val="8"/>
                <w:b w:val="1"/>
                <w:bCs w:val="1"/>
                <w:color w:val="auto"/>
              </w:rPr>
              <w:t>2020</w:t>
            </w:r>
          </w:p>
        </w:tc>
        <w:tc>
          <w:tcPr>
            <w:tcW w:w="440" w:type="dxa"/>
            <w:vAlign w:val="bottom"/>
            <w:tcBorders>
              <w:top w:val="single" w:sz="8" w:color="auto"/>
              <w:bottom w:val="single" w:sz="8" w:color="auto"/>
            </w:tcBorders>
          </w:tcPr>
          <w:p>
            <w:pPr>
              <w:spacing w:after="0"/>
              <w:rPr>
                <w:sz w:val="7"/>
                <w:szCs w:val="7"/>
                <w:color w:val="auto"/>
              </w:rPr>
            </w:pPr>
          </w:p>
        </w:tc>
        <w:tc>
          <w:tcPr>
            <w:tcW w:w="280" w:type="dxa"/>
            <w:vAlign w:val="bottom"/>
            <w:tcBorders>
              <w:top w:val="single" w:sz="8" w:color="auto"/>
              <w:bottom w:val="single" w:sz="8" w:color="CFF0FC"/>
            </w:tcBorders>
          </w:tcPr>
          <w:p>
            <w:pPr>
              <w:spacing w:after="0"/>
              <w:rPr>
                <w:sz w:val="7"/>
                <w:szCs w:val="7"/>
                <w:color w:val="auto"/>
              </w:rPr>
            </w:pPr>
          </w:p>
        </w:tc>
        <w:tc>
          <w:tcPr>
            <w:tcW w:w="320" w:type="dxa"/>
            <w:vAlign w:val="bottom"/>
            <w:tcBorders>
              <w:top w:val="single" w:sz="8" w:color="auto"/>
              <w:bottom w:val="single" w:sz="8" w:color="auto"/>
            </w:tcBorders>
          </w:tcPr>
          <w:p>
            <w:pPr>
              <w:spacing w:after="0"/>
              <w:rPr>
                <w:sz w:val="7"/>
                <w:szCs w:val="7"/>
                <w:color w:val="auto"/>
              </w:rPr>
            </w:pPr>
          </w:p>
        </w:tc>
        <w:tc>
          <w:tcPr>
            <w:tcW w:w="1080" w:type="dxa"/>
            <w:vAlign w:val="bottom"/>
            <w:tcBorders>
              <w:top w:val="single" w:sz="8" w:color="auto"/>
              <w:bottom w:val="single" w:sz="8" w:color="auto"/>
            </w:tcBorders>
          </w:tcPr>
          <w:p>
            <w:pPr>
              <w:jc w:val="right"/>
              <w:ind w:right="578"/>
              <w:spacing w:after="0" w:line="88" w:lineRule="exact"/>
              <w:rPr>
                <w:sz w:val="20"/>
                <w:szCs w:val="20"/>
                <w:color w:val="auto"/>
              </w:rPr>
            </w:pPr>
            <w:r>
              <w:rPr>
                <w:rFonts w:ascii="Arial" w:cs="Arial" w:eastAsia="Arial" w:hAnsi="Arial"/>
                <w:sz w:val="8"/>
                <w:szCs w:val="8"/>
                <w:b w:val="1"/>
                <w:bCs w:val="1"/>
                <w:color w:val="auto"/>
              </w:rPr>
              <w:t>2019</w:t>
            </w:r>
          </w:p>
        </w:tc>
        <w:tc>
          <w:tcPr>
            <w:tcW w:w="100" w:type="dxa"/>
            <w:vAlign w:val="bottom"/>
            <w:tcBorders>
              <w:bottom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980" w:type="dxa"/>
            <w:vAlign w:val="bottom"/>
            <w:shd w:val="clear" w:color="auto" w:fill="CFF0FC"/>
          </w:tcPr>
          <w:p>
            <w:pPr>
              <w:spacing w:after="0" w:line="88" w:lineRule="exact"/>
              <w:rPr>
                <w:sz w:val="20"/>
                <w:szCs w:val="20"/>
                <w:color w:val="auto"/>
              </w:rPr>
            </w:pPr>
            <w:r>
              <w:rPr>
                <w:rFonts w:ascii="Arial" w:cs="Arial" w:eastAsia="Arial" w:hAnsi="Arial"/>
                <w:sz w:val="8"/>
                <w:szCs w:val="8"/>
                <w:b w:val="1"/>
                <w:bCs w:val="1"/>
                <w:color w:val="auto"/>
              </w:rPr>
              <w:t>CASH FLOWS FROM OPERATING ACTIVITIES:</w:t>
            </w:r>
          </w:p>
        </w:tc>
        <w:tc>
          <w:tcPr>
            <w:tcW w:w="960" w:type="dxa"/>
            <w:vAlign w:val="bottom"/>
            <w:shd w:val="clear" w:color="auto" w:fill="CFF0FC"/>
          </w:tcPr>
          <w:p>
            <w:pPr>
              <w:spacing w:after="0"/>
              <w:rPr>
                <w:sz w:val="7"/>
                <w:szCs w:val="7"/>
                <w:color w:val="auto"/>
              </w:rPr>
            </w:pPr>
          </w:p>
        </w:tc>
        <w:tc>
          <w:tcPr>
            <w:tcW w:w="44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10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980" w:type="dxa"/>
            <w:vAlign w:val="bottom"/>
          </w:tcPr>
          <w:p>
            <w:pPr>
              <w:spacing w:after="0"/>
              <w:rPr>
                <w:sz w:val="20"/>
                <w:szCs w:val="20"/>
                <w:color w:val="auto"/>
              </w:rPr>
            </w:pPr>
            <w:r>
              <w:rPr>
                <w:rFonts w:ascii="Arial" w:cs="Arial" w:eastAsia="Arial" w:hAnsi="Arial"/>
                <w:sz w:val="8"/>
                <w:szCs w:val="8"/>
                <w:color w:val="auto"/>
              </w:rPr>
              <w:t>Net loss</w:t>
            </w:r>
          </w:p>
        </w:tc>
        <w:tc>
          <w:tcPr>
            <w:tcW w:w="960" w:type="dxa"/>
            <w:vAlign w:val="bottom"/>
          </w:tcPr>
          <w:p>
            <w:pPr>
              <w:jc w:val="right"/>
              <w:ind w:right="891"/>
              <w:spacing w:after="0"/>
              <w:rPr>
                <w:sz w:val="20"/>
                <w:szCs w:val="20"/>
                <w:color w:val="auto"/>
              </w:rPr>
            </w:pPr>
            <w:r>
              <w:rPr>
                <w:rFonts w:ascii="Arial" w:cs="Arial" w:eastAsia="Arial" w:hAnsi="Arial"/>
                <w:sz w:val="5"/>
                <w:szCs w:val="5"/>
                <w:color w:val="auto"/>
                <w:w w:val="70"/>
              </w:rPr>
              <w:t>$</w:t>
            </w:r>
          </w:p>
        </w:tc>
        <w:tc>
          <w:tcPr>
            <w:tcW w:w="720" w:type="dxa"/>
            <w:vAlign w:val="bottom"/>
            <w:gridSpan w:val="2"/>
          </w:tcPr>
          <w:p>
            <w:pPr>
              <w:jc w:val="right"/>
              <w:ind w:right="240"/>
              <w:spacing w:after="0"/>
              <w:rPr>
                <w:sz w:val="20"/>
                <w:szCs w:val="20"/>
                <w:color w:val="auto"/>
              </w:rPr>
            </w:pPr>
            <w:r>
              <w:rPr>
                <w:rFonts w:ascii="Arial" w:cs="Arial" w:eastAsia="Arial" w:hAnsi="Arial"/>
                <w:sz w:val="8"/>
                <w:szCs w:val="8"/>
                <w:color w:val="auto"/>
              </w:rPr>
              <w:t>(50,703)</w:t>
            </w:r>
          </w:p>
        </w:tc>
        <w:tc>
          <w:tcPr>
            <w:tcW w:w="320" w:type="dxa"/>
            <w:vAlign w:val="bottom"/>
          </w:tcPr>
          <w:p>
            <w:pPr>
              <w:jc w:val="right"/>
              <w:ind w:right="254"/>
              <w:spacing w:after="0"/>
              <w:rPr>
                <w:sz w:val="20"/>
                <w:szCs w:val="20"/>
                <w:color w:val="auto"/>
              </w:rPr>
            </w:pPr>
            <w:r>
              <w:rPr>
                <w:rFonts w:ascii="Arial" w:cs="Arial" w:eastAsia="Arial" w:hAnsi="Arial"/>
                <w:sz w:val="5"/>
                <w:szCs w:val="5"/>
                <w:color w:val="auto"/>
                <w:w w:val="70"/>
              </w:rPr>
              <w:t>$</w:t>
            </w:r>
          </w:p>
        </w:tc>
        <w:tc>
          <w:tcPr>
            <w:tcW w:w="1180" w:type="dxa"/>
            <w:vAlign w:val="bottom"/>
            <w:gridSpan w:val="2"/>
          </w:tcPr>
          <w:p>
            <w:pPr>
              <w:jc w:val="right"/>
              <w:ind w:right="60"/>
              <w:spacing w:after="0"/>
              <w:rPr>
                <w:sz w:val="20"/>
                <w:szCs w:val="20"/>
                <w:color w:val="auto"/>
              </w:rPr>
            </w:pPr>
            <w:r>
              <w:rPr>
                <w:rFonts w:ascii="Arial" w:cs="Arial" w:eastAsia="Arial" w:hAnsi="Arial"/>
                <w:sz w:val="8"/>
                <w:szCs w:val="8"/>
                <w:color w:val="auto"/>
              </w:rPr>
              <w:t>(5,105)</w:t>
            </w:r>
          </w:p>
        </w:tc>
        <w:tc>
          <w:tcPr>
            <w:tcW w:w="0" w:type="dxa"/>
            <w:vAlign w:val="bottom"/>
          </w:tcPr>
          <w:p>
            <w:pPr>
              <w:spacing w:after="0"/>
              <w:rPr>
                <w:sz w:val="1"/>
                <w:szCs w:val="1"/>
                <w:color w:val="auto"/>
              </w:rPr>
            </w:pPr>
          </w:p>
        </w:tc>
      </w:tr>
      <w:tr>
        <w:trPr>
          <w:trHeight w:val="99"/>
        </w:trPr>
        <w:tc>
          <w:tcPr>
            <w:tcW w:w="6980" w:type="dxa"/>
            <w:vAlign w:val="bottom"/>
            <w:shd w:val="clear" w:color="auto" w:fill="CFF0FC"/>
          </w:tcPr>
          <w:p>
            <w:pPr>
              <w:spacing w:after="0"/>
              <w:rPr>
                <w:sz w:val="20"/>
                <w:szCs w:val="20"/>
                <w:color w:val="auto"/>
              </w:rPr>
            </w:pPr>
            <w:r>
              <w:rPr>
                <w:rFonts w:ascii="Arial" w:cs="Arial" w:eastAsia="Arial" w:hAnsi="Arial"/>
                <w:sz w:val="8"/>
                <w:szCs w:val="8"/>
                <w:color w:val="auto"/>
              </w:rPr>
              <w:t>Adjustments to reconcile net loss to net cash used in operating activities:</w:t>
            </w:r>
          </w:p>
        </w:tc>
        <w:tc>
          <w:tcPr>
            <w:tcW w:w="9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0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980" w:type="dxa"/>
            <w:vAlign w:val="bottom"/>
          </w:tcPr>
          <w:p>
            <w:pPr>
              <w:ind w:left="160"/>
              <w:spacing w:after="0"/>
              <w:rPr>
                <w:sz w:val="20"/>
                <w:szCs w:val="20"/>
                <w:color w:val="auto"/>
              </w:rPr>
            </w:pPr>
            <w:r>
              <w:rPr>
                <w:rFonts w:ascii="Arial" w:cs="Arial" w:eastAsia="Arial" w:hAnsi="Arial"/>
                <w:sz w:val="8"/>
                <w:szCs w:val="8"/>
                <w:color w:val="auto"/>
              </w:rPr>
              <w:t>Goodwill impairment</w:t>
            </w:r>
          </w:p>
        </w:tc>
        <w:tc>
          <w:tcPr>
            <w:tcW w:w="9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27,450</w:t>
            </w: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9"/>
        </w:trPr>
        <w:tc>
          <w:tcPr>
            <w:tcW w:w="6980" w:type="dxa"/>
            <w:vAlign w:val="bottom"/>
            <w:shd w:val="clear" w:color="auto" w:fill="CFF0FC"/>
          </w:tcPr>
          <w:p>
            <w:pPr>
              <w:ind w:left="160"/>
              <w:spacing w:after="0"/>
              <w:rPr>
                <w:sz w:val="20"/>
                <w:szCs w:val="20"/>
                <w:color w:val="auto"/>
              </w:rPr>
            </w:pPr>
            <w:r>
              <w:rPr>
                <w:rFonts w:ascii="Arial" w:cs="Arial" w:eastAsia="Arial" w:hAnsi="Arial"/>
                <w:sz w:val="8"/>
                <w:szCs w:val="8"/>
                <w:color w:val="auto"/>
              </w:rPr>
              <w:t>Depreciation and amortization</w:t>
            </w:r>
          </w:p>
        </w:tc>
        <w:tc>
          <w:tcPr>
            <w:tcW w:w="96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8"/>
                <w:szCs w:val="8"/>
                <w:color w:val="auto"/>
              </w:rPr>
              <w:t>1,245</w:t>
            </w:r>
          </w:p>
        </w:tc>
        <w:tc>
          <w:tcPr>
            <w:tcW w:w="2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8"/>
                <w:szCs w:val="8"/>
                <w:color w:val="auto"/>
              </w:rPr>
              <w:t>325</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980" w:type="dxa"/>
            <w:vAlign w:val="bottom"/>
          </w:tcPr>
          <w:p>
            <w:pPr>
              <w:ind w:left="160"/>
              <w:spacing w:after="0"/>
              <w:rPr>
                <w:sz w:val="20"/>
                <w:szCs w:val="20"/>
                <w:color w:val="auto"/>
              </w:rPr>
            </w:pPr>
            <w:r>
              <w:rPr>
                <w:rFonts w:ascii="Arial" w:cs="Arial" w:eastAsia="Arial" w:hAnsi="Arial"/>
                <w:sz w:val="8"/>
                <w:szCs w:val="8"/>
                <w:color w:val="auto"/>
              </w:rPr>
              <w:t>Stock-based compensation</w:t>
            </w:r>
          </w:p>
        </w:tc>
        <w:tc>
          <w:tcPr>
            <w:tcW w:w="9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517</w:t>
            </w: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jc w:val="right"/>
              <w:spacing w:after="0"/>
              <w:rPr>
                <w:sz w:val="20"/>
                <w:szCs w:val="20"/>
                <w:color w:val="auto"/>
              </w:rPr>
            </w:pPr>
            <w:r>
              <w:rPr>
                <w:rFonts w:ascii="Arial" w:cs="Arial" w:eastAsia="Arial" w:hAnsi="Arial"/>
                <w:sz w:val="8"/>
                <w:szCs w:val="8"/>
                <w:color w:val="auto"/>
              </w:rPr>
              <w:t>375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980" w:type="dxa"/>
            <w:vAlign w:val="bottom"/>
            <w:shd w:val="clear" w:color="auto" w:fill="CFF0FC"/>
          </w:tcPr>
          <w:p>
            <w:pPr>
              <w:ind w:left="160"/>
              <w:spacing w:after="0"/>
              <w:rPr>
                <w:sz w:val="20"/>
                <w:szCs w:val="20"/>
                <w:color w:val="auto"/>
              </w:rPr>
            </w:pPr>
            <w:r>
              <w:rPr>
                <w:rFonts w:ascii="Arial" w:cs="Arial" w:eastAsia="Arial" w:hAnsi="Arial"/>
                <w:sz w:val="8"/>
                <w:szCs w:val="8"/>
                <w:color w:val="auto"/>
              </w:rPr>
              <w:t>Provision for bad debt</w:t>
            </w:r>
          </w:p>
        </w:tc>
        <w:tc>
          <w:tcPr>
            <w:tcW w:w="96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8"/>
                <w:szCs w:val="8"/>
                <w:color w:val="auto"/>
              </w:rPr>
              <w:t>1,547</w:t>
            </w:r>
          </w:p>
        </w:tc>
        <w:tc>
          <w:tcPr>
            <w:tcW w:w="2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8"/>
                <w:szCs w:val="8"/>
                <w:color w:val="auto"/>
              </w:rPr>
              <w:t>561</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980" w:type="dxa"/>
            <w:vAlign w:val="bottom"/>
          </w:tcPr>
          <w:p>
            <w:pPr>
              <w:ind w:left="160"/>
              <w:spacing w:after="0"/>
              <w:rPr>
                <w:sz w:val="20"/>
                <w:szCs w:val="20"/>
                <w:color w:val="auto"/>
              </w:rPr>
            </w:pPr>
            <w:r>
              <w:rPr>
                <w:rFonts w:ascii="Arial" w:cs="Arial" w:eastAsia="Arial" w:hAnsi="Arial"/>
                <w:sz w:val="8"/>
                <w:szCs w:val="8"/>
                <w:color w:val="auto"/>
              </w:rPr>
              <w:t>Provision for inventory obsolescence</w:t>
            </w:r>
          </w:p>
        </w:tc>
        <w:tc>
          <w:tcPr>
            <w:tcW w:w="9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324</w:t>
            </w: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jc w:val="right"/>
              <w:spacing w:after="0"/>
              <w:rPr>
                <w:sz w:val="20"/>
                <w:szCs w:val="20"/>
                <w:color w:val="auto"/>
              </w:rPr>
            </w:pPr>
            <w:r>
              <w:rPr>
                <w:rFonts w:ascii="Arial" w:cs="Arial" w:eastAsia="Arial" w:hAnsi="Arial"/>
                <w:sz w:val="8"/>
                <w:szCs w:val="8"/>
                <w:color w:val="auto"/>
              </w:rPr>
              <w:t>223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980" w:type="dxa"/>
            <w:vAlign w:val="bottom"/>
            <w:shd w:val="clear" w:color="auto" w:fill="CFF0FC"/>
          </w:tcPr>
          <w:p>
            <w:pPr>
              <w:ind w:left="160"/>
              <w:spacing w:after="0"/>
              <w:rPr>
                <w:sz w:val="20"/>
                <w:szCs w:val="20"/>
                <w:color w:val="auto"/>
              </w:rPr>
            </w:pPr>
            <w:r>
              <w:rPr>
                <w:rFonts w:ascii="Arial" w:cs="Arial" w:eastAsia="Arial" w:hAnsi="Arial"/>
                <w:sz w:val="8"/>
                <w:szCs w:val="8"/>
                <w:color w:val="auto"/>
              </w:rPr>
              <w:t>Finance expenses</w:t>
            </w:r>
          </w:p>
        </w:tc>
        <w:tc>
          <w:tcPr>
            <w:tcW w:w="96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8"/>
                <w:szCs w:val="8"/>
                <w:color w:val="auto"/>
              </w:rPr>
              <w:t>2,032</w:t>
            </w:r>
          </w:p>
        </w:tc>
        <w:tc>
          <w:tcPr>
            <w:tcW w:w="2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8"/>
                <w:szCs w:val="8"/>
                <w:color w:val="auto"/>
              </w:rPr>
              <w:t>218</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980" w:type="dxa"/>
            <w:vAlign w:val="bottom"/>
          </w:tcPr>
          <w:p>
            <w:pPr>
              <w:ind w:left="160"/>
              <w:spacing w:after="0"/>
              <w:rPr>
                <w:sz w:val="20"/>
                <w:szCs w:val="20"/>
                <w:color w:val="auto"/>
              </w:rPr>
            </w:pPr>
            <w:r>
              <w:rPr>
                <w:rFonts w:ascii="Arial" w:cs="Arial" w:eastAsia="Arial" w:hAnsi="Arial"/>
                <w:sz w:val="8"/>
                <w:szCs w:val="8"/>
                <w:color w:val="auto"/>
              </w:rPr>
              <w:t>Deferred tax expense</w:t>
            </w:r>
          </w:p>
        </w:tc>
        <w:tc>
          <w:tcPr>
            <w:tcW w:w="9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281</w:t>
            </w: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jc w:val="right"/>
              <w:spacing w:after="0"/>
              <w:rPr>
                <w:sz w:val="20"/>
                <w:szCs w:val="20"/>
                <w:color w:val="auto"/>
              </w:rPr>
            </w:pPr>
            <w:r>
              <w:rPr>
                <w:rFonts w:ascii="Arial" w:cs="Arial" w:eastAsia="Arial" w:hAnsi="Arial"/>
                <w:sz w:val="8"/>
                <w:szCs w:val="8"/>
                <w:color w:val="auto"/>
              </w:rPr>
              <w:t>414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980" w:type="dxa"/>
            <w:vAlign w:val="bottom"/>
            <w:shd w:val="clear" w:color="auto" w:fill="CFF0FC"/>
          </w:tcPr>
          <w:p>
            <w:pPr>
              <w:ind w:left="160"/>
              <w:spacing w:after="0"/>
              <w:rPr>
                <w:sz w:val="20"/>
                <w:szCs w:val="20"/>
                <w:color w:val="auto"/>
              </w:rPr>
            </w:pPr>
            <w:r>
              <w:rPr>
                <w:rFonts w:ascii="Arial" w:cs="Arial" w:eastAsia="Arial" w:hAnsi="Arial"/>
                <w:sz w:val="8"/>
                <w:szCs w:val="8"/>
                <w:color w:val="auto"/>
              </w:rPr>
              <w:t>Change in fair value of earn-out liability</w:t>
            </w:r>
          </w:p>
        </w:tc>
        <w:tc>
          <w:tcPr>
            <w:tcW w:w="96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8"/>
                <w:szCs w:val="8"/>
                <w:color w:val="auto"/>
              </w:rPr>
              <w:t>179</w:t>
            </w:r>
          </w:p>
        </w:tc>
        <w:tc>
          <w:tcPr>
            <w:tcW w:w="2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8"/>
                <w:szCs w:val="8"/>
                <w:color w:val="auto"/>
              </w:rPr>
              <w:t>411</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980" w:type="dxa"/>
            <w:vAlign w:val="bottom"/>
          </w:tcPr>
          <w:p>
            <w:pPr>
              <w:ind w:left="160"/>
              <w:spacing w:after="0"/>
              <w:rPr>
                <w:sz w:val="20"/>
                <w:szCs w:val="20"/>
                <w:color w:val="auto"/>
              </w:rPr>
            </w:pPr>
            <w:r>
              <w:rPr>
                <w:rFonts w:ascii="Arial" w:cs="Arial" w:eastAsia="Arial" w:hAnsi="Arial"/>
                <w:sz w:val="8"/>
                <w:szCs w:val="8"/>
                <w:color w:val="auto"/>
              </w:rPr>
              <w:t>Loss on disposal of property and equipment</w:t>
            </w:r>
          </w:p>
        </w:tc>
        <w:tc>
          <w:tcPr>
            <w:tcW w:w="9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29</w:t>
            </w: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9"/>
        </w:trPr>
        <w:tc>
          <w:tcPr>
            <w:tcW w:w="6980" w:type="dxa"/>
            <w:vAlign w:val="bottom"/>
            <w:shd w:val="clear" w:color="auto" w:fill="CFF0FC"/>
          </w:tcPr>
          <w:p>
            <w:pPr>
              <w:spacing w:after="0"/>
              <w:rPr>
                <w:sz w:val="20"/>
                <w:szCs w:val="20"/>
                <w:color w:val="auto"/>
              </w:rPr>
            </w:pPr>
            <w:r>
              <w:rPr>
                <w:rFonts w:ascii="Arial" w:cs="Arial" w:eastAsia="Arial" w:hAnsi="Arial"/>
                <w:sz w:val="8"/>
                <w:szCs w:val="8"/>
                <w:color w:val="auto"/>
              </w:rPr>
              <w:t>Changes in operating assets and liabilities:</w:t>
            </w:r>
          </w:p>
        </w:tc>
        <w:tc>
          <w:tcPr>
            <w:tcW w:w="9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0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980" w:type="dxa"/>
            <w:vAlign w:val="bottom"/>
          </w:tcPr>
          <w:p>
            <w:pPr>
              <w:ind w:left="320"/>
              <w:spacing w:after="0"/>
              <w:rPr>
                <w:sz w:val="20"/>
                <w:szCs w:val="20"/>
                <w:color w:val="auto"/>
              </w:rPr>
            </w:pPr>
            <w:r>
              <w:rPr>
                <w:rFonts w:ascii="Arial" w:cs="Arial" w:eastAsia="Arial" w:hAnsi="Arial"/>
                <w:sz w:val="8"/>
                <w:szCs w:val="8"/>
                <w:color w:val="auto"/>
              </w:rPr>
              <w:t>Accounts receivable short- and long-term</w:t>
            </w:r>
          </w:p>
        </w:tc>
        <w:tc>
          <w:tcPr>
            <w:tcW w:w="9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10,194</w:t>
            </w: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8"/>
                <w:szCs w:val="8"/>
                <w:color w:val="auto"/>
              </w:rPr>
              <w:t>(5,961)</w:t>
            </w:r>
          </w:p>
        </w:tc>
        <w:tc>
          <w:tcPr>
            <w:tcW w:w="0" w:type="dxa"/>
            <w:vAlign w:val="bottom"/>
          </w:tcPr>
          <w:p>
            <w:pPr>
              <w:spacing w:after="0"/>
              <w:rPr>
                <w:sz w:val="1"/>
                <w:szCs w:val="1"/>
                <w:color w:val="auto"/>
              </w:rPr>
            </w:pPr>
          </w:p>
        </w:tc>
      </w:tr>
      <w:tr>
        <w:trPr>
          <w:trHeight w:val="99"/>
        </w:trPr>
        <w:tc>
          <w:tcPr>
            <w:tcW w:w="6980" w:type="dxa"/>
            <w:vAlign w:val="bottom"/>
            <w:shd w:val="clear" w:color="auto" w:fill="CFF0FC"/>
          </w:tcPr>
          <w:p>
            <w:pPr>
              <w:ind w:left="320"/>
              <w:spacing w:after="0"/>
              <w:rPr>
                <w:sz w:val="20"/>
                <w:szCs w:val="20"/>
                <w:color w:val="auto"/>
              </w:rPr>
            </w:pPr>
            <w:r>
              <w:rPr>
                <w:rFonts w:ascii="Arial" w:cs="Arial" w:eastAsia="Arial" w:hAnsi="Arial"/>
                <w:sz w:val="8"/>
                <w:szCs w:val="8"/>
                <w:color w:val="auto"/>
              </w:rPr>
              <w:t>Inventories</w:t>
            </w:r>
          </w:p>
        </w:tc>
        <w:tc>
          <w:tcPr>
            <w:tcW w:w="960" w:type="dxa"/>
            <w:vAlign w:val="bottom"/>
            <w:shd w:val="clear" w:color="auto" w:fill="CFF0FC"/>
          </w:tcPr>
          <w:p>
            <w:pPr>
              <w:spacing w:after="0"/>
              <w:rPr>
                <w:sz w:val="8"/>
                <w:szCs w:val="8"/>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(522)</w:t>
            </w:r>
          </w:p>
        </w:tc>
        <w:tc>
          <w:tcPr>
            <w:tcW w:w="320" w:type="dxa"/>
            <w:vAlign w:val="bottom"/>
            <w:shd w:val="clear" w:color="auto" w:fill="CFF0FC"/>
          </w:tcPr>
          <w:p>
            <w:pPr>
              <w:spacing w:after="0"/>
              <w:rPr>
                <w:sz w:val="8"/>
                <w:szCs w:val="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8"/>
                <w:szCs w:val="8"/>
                <w:color w:val="auto"/>
              </w:rPr>
              <w:t>165</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980" w:type="dxa"/>
            <w:vAlign w:val="bottom"/>
          </w:tcPr>
          <w:p>
            <w:pPr>
              <w:ind w:left="320"/>
              <w:spacing w:after="0"/>
              <w:rPr>
                <w:sz w:val="20"/>
                <w:szCs w:val="20"/>
                <w:color w:val="auto"/>
              </w:rPr>
            </w:pPr>
            <w:r>
              <w:rPr>
                <w:rFonts w:ascii="Arial" w:cs="Arial" w:eastAsia="Arial" w:hAnsi="Arial"/>
                <w:sz w:val="8"/>
                <w:szCs w:val="8"/>
                <w:color w:val="auto"/>
              </w:rPr>
              <w:t>Prepaid expenses</w:t>
            </w:r>
          </w:p>
        </w:tc>
        <w:tc>
          <w:tcPr>
            <w:tcW w:w="960" w:type="dxa"/>
            <w:vAlign w:val="bottom"/>
          </w:tcPr>
          <w:p>
            <w:pPr>
              <w:spacing w:after="0"/>
              <w:rPr>
                <w:sz w:val="8"/>
                <w:szCs w:val="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8"/>
                <w:szCs w:val="8"/>
                <w:color w:val="auto"/>
              </w:rPr>
              <w:t>(29)</w:t>
            </w:r>
          </w:p>
        </w:tc>
        <w:tc>
          <w:tcPr>
            <w:tcW w:w="320" w:type="dxa"/>
            <w:vAlign w:val="bottom"/>
          </w:tcPr>
          <w:p>
            <w:pPr>
              <w:spacing w:after="0"/>
              <w:rPr>
                <w:sz w:val="8"/>
                <w:szCs w:val="8"/>
                <w:color w:val="auto"/>
              </w:rPr>
            </w:pPr>
          </w:p>
        </w:tc>
        <w:tc>
          <w:tcPr>
            <w:tcW w:w="1080" w:type="dxa"/>
            <w:vAlign w:val="bottom"/>
          </w:tcPr>
          <w:p>
            <w:pPr>
              <w:jc w:val="right"/>
              <w:spacing w:after="0"/>
              <w:rPr>
                <w:sz w:val="20"/>
                <w:szCs w:val="20"/>
                <w:color w:val="auto"/>
              </w:rPr>
            </w:pPr>
            <w:r>
              <w:rPr>
                <w:rFonts w:ascii="Arial" w:cs="Arial" w:eastAsia="Arial" w:hAnsi="Arial"/>
                <w:sz w:val="8"/>
                <w:szCs w:val="8"/>
                <w:color w:val="auto"/>
              </w:rPr>
              <w:t>32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980" w:type="dxa"/>
            <w:vAlign w:val="bottom"/>
            <w:shd w:val="clear" w:color="auto" w:fill="CFF0FC"/>
          </w:tcPr>
          <w:p>
            <w:pPr>
              <w:ind w:left="320"/>
              <w:spacing w:after="0"/>
              <w:rPr>
                <w:sz w:val="20"/>
                <w:szCs w:val="20"/>
                <w:color w:val="auto"/>
              </w:rPr>
            </w:pPr>
            <w:r>
              <w:rPr>
                <w:rFonts w:ascii="Arial" w:cs="Arial" w:eastAsia="Arial" w:hAnsi="Arial"/>
                <w:sz w:val="8"/>
                <w:szCs w:val="8"/>
                <w:color w:val="auto"/>
              </w:rPr>
              <w:t>Other current assets</w:t>
            </w:r>
          </w:p>
        </w:tc>
        <w:tc>
          <w:tcPr>
            <w:tcW w:w="96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8"/>
                <w:szCs w:val="8"/>
                <w:color w:val="auto"/>
              </w:rPr>
              <w:t>381</w:t>
            </w:r>
          </w:p>
        </w:tc>
        <w:tc>
          <w:tcPr>
            <w:tcW w:w="2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8"/>
                <w:szCs w:val="8"/>
                <w:color w:val="auto"/>
              </w:rPr>
              <w:t>114</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980" w:type="dxa"/>
            <w:vAlign w:val="bottom"/>
          </w:tcPr>
          <w:p>
            <w:pPr>
              <w:ind w:left="320"/>
              <w:spacing w:after="0"/>
              <w:rPr>
                <w:sz w:val="20"/>
                <w:szCs w:val="20"/>
                <w:color w:val="auto"/>
              </w:rPr>
            </w:pPr>
            <w:r>
              <w:rPr>
                <w:rFonts w:ascii="Arial" w:cs="Arial" w:eastAsia="Arial" w:hAnsi="Arial"/>
                <w:sz w:val="8"/>
                <w:szCs w:val="8"/>
                <w:color w:val="auto"/>
              </w:rPr>
              <w:t>Other long-term assets</w:t>
            </w:r>
          </w:p>
        </w:tc>
        <w:tc>
          <w:tcPr>
            <w:tcW w:w="9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5</w:t>
            </w: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8"/>
                <w:szCs w:val="8"/>
                <w:color w:val="auto"/>
              </w:rPr>
              <w:t>(49)</w:t>
            </w:r>
          </w:p>
        </w:tc>
        <w:tc>
          <w:tcPr>
            <w:tcW w:w="0" w:type="dxa"/>
            <w:vAlign w:val="bottom"/>
          </w:tcPr>
          <w:p>
            <w:pPr>
              <w:spacing w:after="0"/>
              <w:rPr>
                <w:sz w:val="1"/>
                <w:szCs w:val="1"/>
                <w:color w:val="auto"/>
              </w:rPr>
            </w:pPr>
          </w:p>
        </w:tc>
      </w:tr>
      <w:tr>
        <w:trPr>
          <w:trHeight w:val="99"/>
        </w:trPr>
        <w:tc>
          <w:tcPr>
            <w:tcW w:w="6980" w:type="dxa"/>
            <w:vAlign w:val="bottom"/>
            <w:shd w:val="clear" w:color="auto" w:fill="CFF0FC"/>
          </w:tcPr>
          <w:p>
            <w:pPr>
              <w:ind w:left="320"/>
              <w:spacing w:after="0"/>
              <w:rPr>
                <w:sz w:val="20"/>
                <w:szCs w:val="20"/>
                <w:color w:val="auto"/>
              </w:rPr>
            </w:pPr>
            <w:r>
              <w:rPr>
                <w:rFonts w:ascii="Arial" w:cs="Arial" w:eastAsia="Arial" w:hAnsi="Arial"/>
                <w:sz w:val="8"/>
                <w:szCs w:val="8"/>
                <w:color w:val="auto"/>
              </w:rPr>
              <w:t>Trade payables</w:t>
            </w:r>
          </w:p>
        </w:tc>
        <w:tc>
          <w:tcPr>
            <w:tcW w:w="960" w:type="dxa"/>
            <w:vAlign w:val="bottom"/>
            <w:shd w:val="clear" w:color="auto" w:fill="CFF0FC"/>
          </w:tcPr>
          <w:p>
            <w:pPr>
              <w:spacing w:after="0"/>
              <w:rPr>
                <w:sz w:val="8"/>
                <w:szCs w:val="8"/>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(193)</w:t>
            </w:r>
          </w:p>
        </w:tc>
        <w:tc>
          <w:tcPr>
            <w:tcW w:w="320" w:type="dxa"/>
            <w:vAlign w:val="bottom"/>
            <w:shd w:val="clear" w:color="auto" w:fill="CFF0FC"/>
          </w:tcPr>
          <w:p>
            <w:pPr>
              <w:spacing w:after="0"/>
              <w:rPr>
                <w:sz w:val="8"/>
                <w:szCs w:val="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8"/>
                <w:szCs w:val="8"/>
                <w:color w:val="auto"/>
              </w:rPr>
              <w:t>(1,105)</w:t>
            </w:r>
          </w:p>
        </w:tc>
        <w:tc>
          <w:tcPr>
            <w:tcW w:w="0" w:type="dxa"/>
            <w:vAlign w:val="bottom"/>
          </w:tcPr>
          <w:p>
            <w:pPr>
              <w:spacing w:after="0"/>
              <w:rPr>
                <w:sz w:val="1"/>
                <w:szCs w:val="1"/>
                <w:color w:val="auto"/>
              </w:rPr>
            </w:pPr>
          </w:p>
        </w:tc>
      </w:tr>
      <w:tr>
        <w:trPr>
          <w:trHeight w:val="99"/>
        </w:trPr>
        <w:tc>
          <w:tcPr>
            <w:tcW w:w="6980" w:type="dxa"/>
            <w:vAlign w:val="bottom"/>
          </w:tcPr>
          <w:p>
            <w:pPr>
              <w:ind w:left="320"/>
              <w:spacing w:after="0"/>
              <w:rPr>
                <w:sz w:val="20"/>
                <w:szCs w:val="20"/>
                <w:color w:val="auto"/>
              </w:rPr>
            </w:pPr>
            <w:r>
              <w:rPr>
                <w:rFonts w:ascii="Arial" w:cs="Arial" w:eastAsia="Arial" w:hAnsi="Arial"/>
                <w:sz w:val="8"/>
                <w:szCs w:val="8"/>
                <w:color w:val="auto"/>
              </w:rPr>
              <w:t>Accrued expenses and other current liabilities</w:t>
            </w:r>
          </w:p>
        </w:tc>
        <w:tc>
          <w:tcPr>
            <w:tcW w:w="960" w:type="dxa"/>
            <w:vAlign w:val="bottom"/>
          </w:tcPr>
          <w:p>
            <w:pPr>
              <w:spacing w:after="0"/>
              <w:rPr>
                <w:sz w:val="8"/>
                <w:szCs w:val="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8"/>
                <w:szCs w:val="8"/>
                <w:color w:val="auto"/>
              </w:rPr>
              <w:t>(6,960)</w:t>
            </w:r>
          </w:p>
        </w:tc>
        <w:tc>
          <w:tcPr>
            <w:tcW w:w="320" w:type="dxa"/>
            <w:vAlign w:val="bottom"/>
          </w:tcPr>
          <w:p>
            <w:pPr>
              <w:spacing w:after="0"/>
              <w:rPr>
                <w:sz w:val="8"/>
                <w:szCs w:val="8"/>
                <w:color w:val="auto"/>
              </w:rPr>
            </w:pPr>
          </w:p>
        </w:tc>
        <w:tc>
          <w:tcPr>
            <w:tcW w:w="1080" w:type="dxa"/>
            <w:vAlign w:val="bottom"/>
          </w:tcPr>
          <w:p>
            <w:pPr>
              <w:jc w:val="right"/>
              <w:spacing w:after="0"/>
              <w:rPr>
                <w:sz w:val="20"/>
                <w:szCs w:val="20"/>
                <w:color w:val="auto"/>
              </w:rPr>
            </w:pPr>
            <w:r>
              <w:rPr>
                <w:rFonts w:ascii="Arial" w:cs="Arial" w:eastAsia="Arial" w:hAnsi="Arial"/>
                <w:sz w:val="8"/>
                <w:szCs w:val="8"/>
                <w:color w:val="auto"/>
              </w:rPr>
              <w:t>1,389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980" w:type="dxa"/>
            <w:vAlign w:val="bottom"/>
            <w:shd w:val="clear" w:color="auto" w:fill="CFF0FC"/>
          </w:tcPr>
          <w:p>
            <w:pPr>
              <w:ind w:left="320"/>
              <w:spacing w:after="0"/>
              <w:rPr>
                <w:sz w:val="20"/>
                <w:szCs w:val="20"/>
                <w:color w:val="auto"/>
              </w:rPr>
            </w:pPr>
            <w:r>
              <w:rPr>
                <w:rFonts w:ascii="Arial" w:cs="Arial" w:eastAsia="Arial" w:hAnsi="Arial"/>
                <w:sz w:val="8"/>
                <w:szCs w:val="8"/>
                <w:color w:val="auto"/>
              </w:rPr>
              <w:t>Severance pay funds</w:t>
            </w:r>
          </w:p>
        </w:tc>
        <w:tc>
          <w:tcPr>
            <w:tcW w:w="96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8"/>
                <w:szCs w:val="8"/>
                <w:color w:val="auto"/>
              </w:rPr>
              <w:t>52</w:t>
            </w:r>
          </w:p>
        </w:tc>
        <w:tc>
          <w:tcPr>
            <w:tcW w:w="2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8"/>
                <w:szCs w:val="8"/>
                <w:color w:val="auto"/>
              </w:rPr>
              <w:t>(24)</w:t>
            </w:r>
          </w:p>
        </w:tc>
        <w:tc>
          <w:tcPr>
            <w:tcW w:w="0" w:type="dxa"/>
            <w:vAlign w:val="bottom"/>
          </w:tcPr>
          <w:p>
            <w:pPr>
              <w:spacing w:after="0"/>
              <w:rPr>
                <w:sz w:val="1"/>
                <w:szCs w:val="1"/>
                <w:color w:val="auto"/>
              </w:rPr>
            </w:pPr>
          </w:p>
        </w:tc>
      </w:tr>
      <w:tr>
        <w:trPr>
          <w:trHeight w:val="99"/>
        </w:trPr>
        <w:tc>
          <w:tcPr>
            <w:tcW w:w="6980" w:type="dxa"/>
            <w:vAlign w:val="bottom"/>
          </w:tcPr>
          <w:p>
            <w:pPr>
              <w:ind w:left="320"/>
              <w:spacing w:after="0"/>
              <w:rPr>
                <w:sz w:val="20"/>
                <w:szCs w:val="20"/>
                <w:color w:val="auto"/>
              </w:rPr>
            </w:pPr>
            <w:r>
              <w:rPr>
                <w:rFonts w:ascii="Arial" w:cs="Arial" w:eastAsia="Arial" w:hAnsi="Arial"/>
                <w:sz w:val="8"/>
                <w:szCs w:val="8"/>
                <w:color w:val="auto"/>
              </w:rPr>
              <w:t>Unearned interest income</w:t>
            </w:r>
          </w:p>
        </w:tc>
        <w:tc>
          <w:tcPr>
            <w:tcW w:w="960" w:type="dxa"/>
            <w:vAlign w:val="bottom"/>
          </w:tcPr>
          <w:p>
            <w:pPr>
              <w:spacing w:after="0"/>
              <w:rPr>
                <w:sz w:val="8"/>
                <w:szCs w:val="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8"/>
                <w:szCs w:val="8"/>
                <w:color w:val="auto"/>
              </w:rPr>
              <w:t>(973)</w:t>
            </w:r>
          </w:p>
        </w:tc>
        <w:tc>
          <w:tcPr>
            <w:tcW w:w="320" w:type="dxa"/>
            <w:vAlign w:val="bottom"/>
          </w:tcPr>
          <w:p>
            <w:pPr>
              <w:spacing w:after="0"/>
              <w:rPr>
                <w:sz w:val="8"/>
                <w:szCs w:val="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8"/>
                <w:szCs w:val="8"/>
                <w:color w:val="auto"/>
              </w:rPr>
              <w:t>(108)</w:t>
            </w:r>
          </w:p>
        </w:tc>
        <w:tc>
          <w:tcPr>
            <w:tcW w:w="0" w:type="dxa"/>
            <w:vAlign w:val="bottom"/>
          </w:tcPr>
          <w:p>
            <w:pPr>
              <w:spacing w:after="0"/>
              <w:rPr>
                <w:sz w:val="1"/>
                <w:szCs w:val="1"/>
                <w:color w:val="auto"/>
              </w:rPr>
            </w:pPr>
          </w:p>
        </w:tc>
      </w:tr>
      <w:tr>
        <w:trPr>
          <w:trHeight w:val="99"/>
        </w:trPr>
        <w:tc>
          <w:tcPr>
            <w:tcW w:w="6980" w:type="dxa"/>
            <w:vAlign w:val="bottom"/>
            <w:shd w:val="clear" w:color="auto" w:fill="CFF0FC"/>
          </w:tcPr>
          <w:p>
            <w:pPr>
              <w:ind w:left="320"/>
              <w:spacing w:after="0"/>
              <w:rPr>
                <w:sz w:val="20"/>
                <w:szCs w:val="20"/>
                <w:color w:val="auto"/>
              </w:rPr>
            </w:pPr>
            <w:r>
              <w:rPr>
                <w:rFonts w:ascii="Arial" w:cs="Arial" w:eastAsia="Arial" w:hAnsi="Arial"/>
                <w:sz w:val="8"/>
                <w:szCs w:val="8"/>
                <w:color w:val="auto"/>
              </w:rPr>
              <w:t>Other long-term liabilities</w:t>
            </w:r>
          </w:p>
        </w:tc>
        <w:tc>
          <w:tcPr>
            <w:tcW w:w="960" w:type="dxa"/>
            <w:vAlign w:val="bottom"/>
            <w:shd w:val="clear" w:color="auto" w:fill="CFF0FC"/>
          </w:tcPr>
          <w:p>
            <w:pPr>
              <w:spacing w:after="0"/>
              <w:rPr>
                <w:sz w:val="8"/>
                <w:szCs w:val="8"/>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(261)</w:t>
            </w:r>
          </w:p>
        </w:tc>
        <w:tc>
          <w:tcPr>
            <w:tcW w:w="320" w:type="dxa"/>
            <w:vAlign w:val="bottom"/>
            <w:shd w:val="clear" w:color="auto" w:fill="CFF0FC"/>
          </w:tcPr>
          <w:p>
            <w:pPr>
              <w:spacing w:after="0"/>
              <w:rPr>
                <w:sz w:val="8"/>
                <w:szCs w:val="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8"/>
                <w:szCs w:val="8"/>
                <w:color w:val="auto"/>
              </w:rPr>
              <w:t>(410)</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500"/>
              <w:spacing w:after="0"/>
              <w:rPr>
                <w:sz w:val="20"/>
                <w:szCs w:val="20"/>
                <w:color w:val="auto"/>
              </w:rPr>
            </w:pPr>
            <w:r>
              <w:rPr>
                <w:rFonts w:ascii="Arial" w:cs="Arial" w:eastAsia="Arial" w:hAnsi="Arial"/>
                <w:sz w:val="8"/>
                <w:szCs w:val="8"/>
                <w:color w:val="auto"/>
              </w:rPr>
              <w:t>Net cash used in operating activities</w:t>
            </w:r>
          </w:p>
        </w:tc>
        <w:tc>
          <w:tcPr>
            <w:tcW w:w="9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98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720" w:type="dxa"/>
            <w:vAlign w:val="bottom"/>
            <w:gridSpan w:val="2"/>
          </w:tcPr>
          <w:p>
            <w:pPr>
              <w:jc w:val="right"/>
              <w:ind w:right="240"/>
              <w:spacing w:after="0" w:line="88" w:lineRule="exact"/>
              <w:rPr>
                <w:sz w:val="20"/>
                <w:szCs w:val="20"/>
                <w:color w:val="auto"/>
              </w:rPr>
            </w:pPr>
            <w:r>
              <w:rPr>
                <w:rFonts w:ascii="Arial" w:cs="Arial" w:eastAsia="Arial" w:hAnsi="Arial"/>
                <w:sz w:val="8"/>
                <w:szCs w:val="8"/>
                <w:color w:val="auto"/>
              </w:rPr>
              <w:t>(15,405)</w:t>
            </w:r>
          </w:p>
        </w:tc>
        <w:tc>
          <w:tcPr>
            <w:tcW w:w="320" w:type="dxa"/>
            <w:vAlign w:val="bottom"/>
          </w:tcPr>
          <w:p>
            <w:pPr>
              <w:spacing w:after="0"/>
              <w:rPr>
                <w:sz w:val="7"/>
                <w:szCs w:val="7"/>
                <w:color w:val="auto"/>
              </w:rPr>
            </w:pPr>
          </w:p>
        </w:tc>
        <w:tc>
          <w:tcPr>
            <w:tcW w:w="1180" w:type="dxa"/>
            <w:vAlign w:val="bottom"/>
            <w:gridSpan w:val="2"/>
          </w:tcPr>
          <w:p>
            <w:pPr>
              <w:jc w:val="right"/>
              <w:ind w:right="60"/>
              <w:spacing w:after="0" w:line="88" w:lineRule="exact"/>
              <w:rPr>
                <w:sz w:val="20"/>
                <w:szCs w:val="20"/>
                <w:color w:val="auto"/>
              </w:rPr>
            </w:pPr>
            <w:r>
              <w:rPr>
                <w:rFonts w:ascii="Arial" w:cs="Arial" w:eastAsia="Arial" w:hAnsi="Arial"/>
                <w:sz w:val="8"/>
                <w:szCs w:val="8"/>
                <w:color w:val="auto"/>
              </w:rPr>
              <w:t>(8,535)</w:t>
            </w:r>
          </w:p>
        </w:tc>
        <w:tc>
          <w:tcPr>
            <w:tcW w:w="0" w:type="dxa"/>
            <w:vAlign w:val="bottom"/>
          </w:tcPr>
          <w:p>
            <w:pPr>
              <w:spacing w:after="0"/>
              <w:rPr>
                <w:sz w:val="1"/>
                <w:szCs w:val="1"/>
                <w:color w:val="auto"/>
              </w:rPr>
            </w:pPr>
          </w:p>
        </w:tc>
      </w:tr>
      <w:tr>
        <w:trPr>
          <w:trHeight w:val="88"/>
        </w:trPr>
        <w:tc>
          <w:tcPr>
            <w:tcW w:w="6980" w:type="dxa"/>
            <w:vAlign w:val="bottom"/>
            <w:tcBorders>
              <w:top w:val="single" w:sz="8" w:color="CFF0FC"/>
            </w:tcBorders>
            <w:shd w:val="clear" w:color="auto" w:fill="CFF0FC"/>
          </w:tcPr>
          <w:p>
            <w:pPr>
              <w:spacing w:after="0" w:line="88" w:lineRule="exact"/>
              <w:rPr>
                <w:sz w:val="20"/>
                <w:szCs w:val="20"/>
                <w:color w:val="auto"/>
              </w:rPr>
            </w:pPr>
            <w:r>
              <w:rPr>
                <w:rFonts w:ascii="Arial" w:cs="Arial" w:eastAsia="Arial" w:hAnsi="Arial"/>
                <w:sz w:val="8"/>
                <w:szCs w:val="8"/>
                <w:b w:val="1"/>
                <w:bCs w:val="1"/>
                <w:color w:val="auto"/>
              </w:rPr>
              <w:t>CASH FLOWS FROM INVESTING ACTIVITIES:</w:t>
            </w:r>
          </w:p>
        </w:tc>
        <w:tc>
          <w:tcPr>
            <w:tcW w:w="960" w:type="dxa"/>
            <w:vAlign w:val="bottom"/>
            <w:tcBorders>
              <w:top w:val="single" w:sz="8" w:color="auto"/>
            </w:tcBorders>
            <w:shd w:val="clear" w:color="auto" w:fill="CFF0FC"/>
          </w:tcPr>
          <w:p>
            <w:pPr>
              <w:spacing w:after="0"/>
              <w:rPr>
                <w:sz w:val="7"/>
                <w:szCs w:val="7"/>
                <w:color w:val="auto"/>
              </w:rPr>
            </w:pPr>
          </w:p>
        </w:tc>
        <w:tc>
          <w:tcPr>
            <w:tcW w:w="440" w:type="dxa"/>
            <w:vAlign w:val="bottom"/>
            <w:tcBorders>
              <w:top w:val="single" w:sz="8" w:color="auto"/>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320" w:type="dxa"/>
            <w:vAlign w:val="bottom"/>
            <w:tcBorders>
              <w:top w:val="single" w:sz="8" w:color="auto"/>
            </w:tcBorders>
            <w:shd w:val="clear" w:color="auto" w:fill="CFF0FC"/>
          </w:tcPr>
          <w:p>
            <w:pPr>
              <w:spacing w:after="0"/>
              <w:rPr>
                <w:sz w:val="7"/>
                <w:szCs w:val="7"/>
                <w:color w:val="auto"/>
              </w:rPr>
            </w:pPr>
          </w:p>
        </w:tc>
        <w:tc>
          <w:tcPr>
            <w:tcW w:w="1080" w:type="dxa"/>
            <w:vAlign w:val="bottom"/>
            <w:tcBorders>
              <w:top w:val="single" w:sz="8" w:color="auto"/>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980" w:type="dxa"/>
            <w:vAlign w:val="bottom"/>
          </w:tcPr>
          <w:p>
            <w:pPr>
              <w:ind w:left="160"/>
              <w:spacing w:after="0"/>
              <w:rPr>
                <w:sz w:val="20"/>
                <w:szCs w:val="20"/>
                <w:color w:val="auto"/>
              </w:rPr>
            </w:pPr>
            <w:r>
              <w:rPr>
                <w:rFonts w:ascii="Arial" w:cs="Arial" w:eastAsia="Arial" w:hAnsi="Arial"/>
                <w:sz w:val="8"/>
                <w:szCs w:val="8"/>
                <w:color w:val="auto"/>
              </w:rPr>
              <w:t>Proceeds from sale of property and equipment</w:t>
            </w:r>
          </w:p>
        </w:tc>
        <w:tc>
          <w:tcPr>
            <w:tcW w:w="960" w:type="dxa"/>
            <w:vAlign w:val="bottom"/>
          </w:tcPr>
          <w:p>
            <w:pPr>
              <w:spacing w:after="0"/>
              <w:rPr>
                <w:sz w:val="8"/>
                <w:szCs w:val="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8"/>
                <w:szCs w:val="8"/>
                <w:color w:val="auto"/>
              </w:rPr>
              <w:t>—</w:t>
            </w:r>
          </w:p>
        </w:tc>
        <w:tc>
          <w:tcPr>
            <w:tcW w:w="320" w:type="dxa"/>
            <w:vAlign w:val="bottom"/>
          </w:tcPr>
          <w:p>
            <w:pPr>
              <w:spacing w:after="0"/>
              <w:rPr>
                <w:sz w:val="8"/>
                <w:szCs w:val="8"/>
                <w:color w:val="auto"/>
              </w:rPr>
            </w:pPr>
          </w:p>
        </w:tc>
        <w:tc>
          <w:tcPr>
            <w:tcW w:w="1080" w:type="dxa"/>
            <w:vAlign w:val="bottom"/>
          </w:tcPr>
          <w:p>
            <w:pPr>
              <w:jc w:val="right"/>
              <w:spacing w:after="0"/>
              <w:rPr>
                <w:sz w:val="20"/>
                <w:szCs w:val="20"/>
                <w:color w:val="auto"/>
              </w:rPr>
            </w:pPr>
            <w:r>
              <w:rPr>
                <w:rFonts w:ascii="Arial" w:cs="Arial" w:eastAsia="Arial" w:hAnsi="Arial"/>
                <w:sz w:val="8"/>
                <w:szCs w:val="8"/>
                <w:color w:val="auto"/>
              </w:rPr>
              <w:t>148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980" w:type="dxa"/>
            <w:vAlign w:val="bottom"/>
            <w:shd w:val="clear" w:color="auto" w:fill="CFF0FC"/>
          </w:tcPr>
          <w:p>
            <w:pPr>
              <w:ind w:left="160"/>
              <w:spacing w:after="0"/>
              <w:rPr>
                <w:sz w:val="20"/>
                <w:szCs w:val="20"/>
                <w:color w:val="auto"/>
              </w:rPr>
            </w:pPr>
            <w:r>
              <w:rPr>
                <w:rFonts w:ascii="Arial" w:cs="Arial" w:eastAsia="Arial" w:hAnsi="Arial"/>
                <w:sz w:val="8"/>
                <w:szCs w:val="8"/>
                <w:color w:val="auto"/>
              </w:rPr>
              <w:t>Purchases of property and equipment</w:t>
            </w:r>
          </w:p>
        </w:tc>
        <w:tc>
          <w:tcPr>
            <w:tcW w:w="960" w:type="dxa"/>
            <w:vAlign w:val="bottom"/>
            <w:shd w:val="clear" w:color="auto" w:fill="CFF0FC"/>
          </w:tcPr>
          <w:p>
            <w:pPr>
              <w:spacing w:after="0"/>
              <w:rPr>
                <w:sz w:val="8"/>
                <w:szCs w:val="8"/>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(61)</w:t>
            </w:r>
          </w:p>
        </w:tc>
        <w:tc>
          <w:tcPr>
            <w:tcW w:w="320" w:type="dxa"/>
            <w:vAlign w:val="bottom"/>
            <w:shd w:val="clear" w:color="auto" w:fill="CFF0FC"/>
          </w:tcPr>
          <w:p>
            <w:pPr>
              <w:spacing w:after="0"/>
              <w:rPr>
                <w:sz w:val="8"/>
                <w:szCs w:val="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8"/>
                <w:szCs w:val="8"/>
                <w:color w:val="auto"/>
              </w:rPr>
              <w:t>(393)</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500"/>
              <w:spacing w:after="0"/>
              <w:rPr>
                <w:sz w:val="20"/>
                <w:szCs w:val="20"/>
                <w:color w:val="auto"/>
              </w:rPr>
            </w:pPr>
            <w:r>
              <w:rPr>
                <w:rFonts w:ascii="Arial" w:cs="Arial" w:eastAsia="Arial" w:hAnsi="Arial"/>
                <w:sz w:val="8"/>
                <w:szCs w:val="8"/>
                <w:color w:val="auto"/>
              </w:rPr>
              <w:t>Net cash used in investing activities</w:t>
            </w:r>
          </w:p>
        </w:tc>
        <w:tc>
          <w:tcPr>
            <w:tcW w:w="9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98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720" w:type="dxa"/>
            <w:vAlign w:val="bottom"/>
            <w:gridSpan w:val="2"/>
          </w:tcPr>
          <w:p>
            <w:pPr>
              <w:jc w:val="right"/>
              <w:ind w:right="240"/>
              <w:spacing w:after="0" w:line="88" w:lineRule="exact"/>
              <w:rPr>
                <w:sz w:val="20"/>
                <w:szCs w:val="20"/>
                <w:color w:val="auto"/>
              </w:rPr>
            </w:pPr>
            <w:r>
              <w:rPr>
                <w:rFonts w:ascii="Arial" w:cs="Arial" w:eastAsia="Arial" w:hAnsi="Arial"/>
                <w:sz w:val="8"/>
                <w:szCs w:val="8"/>
                <w:color w:val="auto"/>
              </w:rPr>
              <w:t>(61)</w:t>
            </w:r>
          </w:p>
        </w:tc>
        <w:tc>
          <w:tcPr>
            <w:tcW w:w="320" w:type="dxa"/>
            <w:vAlign w:val="bottom"/>
          </w:tcPr>
          <w:p>
            <w:pPr>
              <w:spacing w:after="0"/>
              <w:rPr>
                <w:sz w:val="7"/>
                <w:szCs w:val="7"/>
                <w:color w:val="auto"/>
              </w:rPr>
            </w:pPr>
          </w:p>
        </w:tc>
        <w:tc>
          <w:tcPr>
            <w:tcW w:w="1180" w:type="dxa"/>
            <w:vAlign w:val="bottom"/>
            <w:gridSpan w:val="2"/>
          </w:tcPr>
          <w:p>
            <w:pPr>
              <w:jc w:val="right"/>
              <w:ind w:right="60"/>
              <w:spacing w:after="0" w:line="88" w:lineRule="exact"/>
              <w:rPr>
                <w:sz w:val="20"/>
                <w:szCs w:val="20"/>
                <w:color w:val="auto"/>
              </w:rPr>
            </w:pPr>
            <w:r>
              <w:rPr>
                <w:rFonts w:ascii="Arial" w:cs="Arial" w:eastAsia="Arial" w:hAnsi="Arial"/>
                <w:sz w:val="8"/>
                <w:szCs w:val="8"/>
                <w:color w:val="auto"/>
              </w:rPr>
              <w:t>(245)</w:t>
            </w:r>
          </w:p>
        </w:tc>
        <w:tc>
          <w:tcPr>
            <w:tcW w:w="0" w:type="dxa"/>
            <w:vAlign w:val="bottom"/>
          </w:tcPr>
          <w:p>
            <w:pPr>
              <w:spacing w:after="0"/>
              <w:rPr>
                <w:sz w:val="1"/>
                <w:szCs w:val="1"/>
                <w:color w:val="auto"/>
              </w:rPr>
            </w:pPr>
          </w:p>
        </w:tc>
      </w:tr>
      <w:tr>
        <w:trPr>
          <w:trHeight w:val="88"/>
        </w:trPr>
        <w:tc>
          <w:tcPr>
            <w:tcW w:w="6980" w:type="dxa"/>
            <w:vAlign w:val="bottom"/>
            <w:tcBorders>
              <w:top w:val="single" w:sz="8" w:color="CFF0FC"/>
            </w:tcBorders>
            <w:shd w:val="clear" w:color="auto" w:fill="CFF0FC"/>
          </w:tcPr>
          <w:p>
            <w:pPr>
              <w:spacing w:after="0" w:line="88" w:lineRule="exact"/>
              <w:rPr>
                <w:sz w:val="20"/>
                <w:szCs w:val="20"/>
                <w:color w:val="auto"/>
              </w:rPr>
            </w:pPr>
            <w:r>
              <w:rPr>
                <w:rFonts w:ascii="Arial" w:cs="Arial" w:eastAsia="Arial" w:hAnsi="Arial"/>
                <w:sz w:val="8"/>
                <w:szCs w:val="8"/>
                <w:b w:val="1"/>
                <w:bCs w:val="1"/>
                <w:color w:val="auto"/>
              </w:rPr>
              <w:t>CASH FLOWS FROM FINANCING ACTIVITIES:</w:t>
            </w:r>
          </w:p>
        </w:tc>
        <w:tc>
          <w:tcPr>
            <w:tcW w:w="960" w:type="dxa"/>
            <w:vAlign w:val="bottom"/>
            <w:tcBorders>
              <w:top w:val="single" w:sz="8" w:color="auto"/>
            </w:tcBorders>
            <w:shd w:val="clear" w:color="auto" w:fill="CFF0FC"/>
          </w:tcPr>
          <w:p>
            <w:pPr>
              <w:spacing w:after="0"/>
              <w:rPr>
                <w:sz w:val="7"/>
                <w:szCs w:val="7"/>
                <w:color w:val="auto"/>
              </w:rPr>
            </w:pPr>
          </w:p>
        </w:tc>
        <w:tc>
          <w:tcPr>
            <w:tcW w:w="440" w:type="dxa"/>
            <w:vAlign w:val="bottom"/>
            <w:tcBorders>
              <w:top w:val="single" w:sz="8" w:color="auto"/>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320" w:type="dxa"/>
            <w:vAlign w:val="bottom"/>
            <w:tcBorders>
              <w:top w:val="single" w:sz="8" w:color="auto"/>
            </w:tcBorders>
            <w:shd w:val="clear" w:color="auto" w:fill="CFF0FC"/>
          </w:tcPr>
          <w:p>
            <w:pPr>
              <w:spacing w:after="0"/>
              <w:rPr>
                <w:sz w:val="7"/>
                <w:szCs w:val="7"/>
                <w:color w:val="auto"/>
              </w:rPr>
            </w:pPr>
          </w:p>
        </w:tc>
        <w:tc>
          <w:tcPr>
            <w:tcW w:w="1080" w:type="dxa"/>
            <w:vAlign w:val="bottom"/>
            <w:tcBorders>
              <w:top w:val="single" w:sz="8" w:color="auto"/>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980" w:type="dxa"/>
            <w:vAlign w:val="bottom"/>
          </w:tcPr>
          <w:p>
            <w:pPr>
              <w:ind w:left="160"/>
              <w:spacing w:after="0"/>
              <w:rPr>
                <w:sz w:val="20"/>
                <w:szCs w:val="20"/>
                <w:color w:val="auto"/>
              </w:rPr>
            </w:pPr>
            <w:r>
              <w:rPr>
                <w:rFonts w:ascii="Arial" w:cs="Arial" w:eastAsia="Arial" w:hAnsi="Arial"/>
                <w:sz w:val="8"/>
                <w:szCs w:val="8"/>
                <w:color w:val="auto"/>
              </w:rPr>
              <w:t>Issuance of long-term debt, net of financing fees</w:t>
            </w:r>
          </w:p>
        </w:tc>
        <w:tc>
          <w:tcPr>
            <w:tcW w:w="960" w:type="dxa"/>
            <w:vAlign w:val="bottom"/>
          </w:tcPr>
          <w:p>
            <w:pPr>
              <w:spacing w:after="0"/>
              <w:rPr>
                <w:sz w:val="8"/>
                <w:szCs w:val="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8"/>
                <w:szCs w:val="8"/>
                <w:color w:val="auto"/>
              </w:rPr>
              <w:t>—</w:t>
            </w:r>
          </w:p>
        </w:tc>
        <w:tc>
          <w:tcPr>
            <w:tcW w:w="320" w:type="dxa"/>
            <w:vAlign w:val="bottom"/>
          </w:tcPr>
          <w:p>
            <w:pPr>
              <w:spacing w:after="0"/>
              <w:rPr>
                <w:sz w:val="8"/>
                <w:szCs w:val="8"/>
                <w:color w:val="auto"/>
              </w:rPr>
            </w:pPr>
          </w:p>
        </w:tc>
        <w:tc>
          <w:tcPr>
            <w:tcW w:w="1080" w:type="dxa"/>
            <w:vAlign w:val="bottom"/>
          </w:tcPr>
          <w:p>
            <w:pPr>
              <w:jc w:val="right"/>
              <w:spacing w:after="0"/>
              <w:rPr>
                <w:sz w:val="20"/>
                <w:szCs w:val="20"/>
                <w:color w:val="auto"/>
              </w:rPr>
            </w:pPr>
            <w:r>
              <w:rPr>
                <w:rFonts w:ascii="Arial" w:cs="Arial" w:eastAsia="Arial" w:hAnsi="Arial"/>
                <w:sz w:val="8"/>
                <w:szCs w:val="8"/>
                <w:color w:val="auto"/>
              </w:rPr>
              <w:t>9,636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980" w:type="dxa"/>
            <w:vAlign w:val="bottom"/>
            <w:shd w:val="clear" w:color="auto" w:fill="CFF0FC"/>
          </w:tcPr>
          <w:p>
            <w:pPr>
              <w:ind w:left="160"/>
              <w:spacing w:after="0"/>
              <w:rPr>
                <w:sz w:val="20"/>
                <w:szCs w:val="20"/>
                <w:color w:val="auto"/>
              </w:rPr>
            </w:pPr>
            <w:r>
              <w:rPr>
                <w:rFonts w:ascii="Arial" w:cs="Arial" w:eastAsia="Arial" w:hAnsi="Arial"/>
                <w:sz w:val="8"/>
                <w:szCs w:val="8"/>
                <w:color w:val="auto"/>
              </w:rPr>
              <w:t>Drawdown of line-of-credit</w:t>
            </w:r>
          </w:p>
        </w:tc>
        <w:tc>
          <w:tcPr>
            <w:tcW w:w="96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8"/>
                <w:szCs w:val="8"/>
                <w:color w:val="auto"/>
              </w:rPr>
              <w:t>423</w:t>
            </w:r>
          </w:p>
        </w:tc>
        <w:tc>
          <w:tcPr>
            <w:tcW w:w="2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8"/>
                <w:szCs w:val="8"/>
                <w:color w:val="auto"/>
              </w:rPr>
              <w:t>1,023</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980" w:type="dxa"/>
            <w:vAlign w:val="bottom"/>
          </w:tcPr>
          <w:p>
            <w:pPr>
              <w:ind w:left="160"/>
              <w:spacing w:after="0"/>
              <w:rPr>
                <w:sz w:val="20"/>
                <w:szCs w:val="20"/>
                <w:color w:val="auto"/>
              </w:rPr>
            </w:pPr>
            <w:r>
              <w:rPr>
                <w:rFonts w:ascii="Arial" w:cs="Arial" w:eastAsia="Arial" w:hAnsi="Arial"/>
                <w:sz w:val="8"/>
                <w:szCs w:val="8"/>
                <w:color w:val="auto"/>
              </w:rPr>
              <w:t>Proceeds from 2020 Private Placement, net of costs of $1,950</w:t>
            </w:r>
          </w:p>
        </w:tc>
        <w:tc>
          <w:tcPr>
            <w:tcW w:w="9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20,300</w:t>
            </w: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9"/>
        </w:trPr>
        <w:tc>
          <w:tcPr>
            <w:tcW w:w="6980" w:type="dxa"/>
            <w:vAlign w:val="bottom"/>
            <w:shd w:val="clear" w:color="auto" w:fill="CFF0FC"/>
          </w:tcPr>
          <w:p>
            <w:pPr>
              <w:ind w:left="160"/>
              <w:spacing w:after="0"/>
              <w:rPr>
                <w:sz w:val="20"/>
                <w:szCs w:val="20"/>
                <w:color w:val="auto"/>
              </w:rPr>
            </w:pPr>
            <w:r>
              <w:rPr>
                <w:rFonts w:ascii="Arial" w:cs="Arial" w:eastAsia="Arial" w:hAnsi="Arial"/>
                <w:sz w:val="8"/>
                <w:szCs w:val="8"/>
                <w:color w:val="auto"/>
              </w:rPr>
              <w:t>Dividends from subsidiaries paid to non-controlling interest</w:t>
            </w:r>
          </w:p>
        </w:tc>
        <w:tc>
          <w:tcPr>
            <w:tcW w:w="960" w:type="dxa"/>
            <w:vAlign w:val="bottom"/>
            <w:shd w:val="clear" w:color="auto" w:fill="CFF0FC"/>
          </w:tcPr>
          <w:p>
            <w:pPr>
              <w:spacing w:after="0"/>
              <w:rPr>
                <w:sz w:val="8"/>
                <w:szCs w:val="8"/>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(218)</w:t>
            </w:r>
          </w:p>
        </w:tc>
        <w:tc>
          <w:tcPr>
            <w:tcW w:w="320" w:type="dxa"/>
            <w:vAlign w:val="bottom"/>
            <w:shd w:val="clear" w:color="auto" w:fill="CFF0FC"/>
          </w:tcPr>
          <w:p>
            <w:pPr>
              <w:spacing w:after="0"/>
              <w:rPr>
                <w:sz w:val="8"/>
                <w:szCs w:val="8"/>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9"/>
        </w:trPr>
        <w:tc>
          <w:tcPr>
            <w:tcW w:w="6980" w:type="dxa"/>
            <w:vAlign w:val="bottom"/>
          </w:tcPr>
          <w:p>
            <w:pPr>
              <w:ind w:left="160"/>
              <w:spacing w:after="0"/>
              <w:rPr>
                <w:sz w:val="20"/>
                <w:szCs w:val="20"/>
                <w:color w:val="auto"/>
              </w:rPr>
            </w:pPr>
            <w:r>
              <w:rPr>
                <w:rFonts w:ascii="Arial" w:cs="Arial" w:eastAsia="Arial" w:hAnsi="Arial"/>
                <w:sz w:val="8"/>
                <w:szCs w:val="8"/>
                <w:color w:val="auto"/>
              </w:rPr>
              <w:t>Payment of earn-out liability</w:t>
            </w:r>
          </w:p>
        </w:tc>
        <w:tc>
          <w:tcPr>
            <w:tcW w:w="960" w:type="dxa"/>
            <w:vAlign w:val="bottom"/>
          </w:tcPr>
          <w:p>
            <w:pPr>
              <w:spacing w:after="0"/>
              <w:rPr>
                <w:sz w:val="8"/>
                <w:szCs w:val="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8"/>
                <w:szCs w:val="8"/>
                <w:color w:val="auto"/>
              </w:rPr>
              <w:t>(77)</w:t>
            </w:r>
          </w:p>
        </w:tc>
        <w:tc>
          <w:tcPr>
            <w:tcW w:w="320" w:type="dxa"/>
            <w:vAlign w:val="bottom"/>
          </w:tcPr>
          <w:p>
            <w:pPr>
              <w:spacing w:after="0"/>
              <w:rPr>
                <w:sz w:val="8"/>
                <w:szCs w:val="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8"/>
                <w:szCs w:val="8"/>
                <w:color w:val="auto"/>
              </w:rPr>
              <w:t>(90)</w:t>
            </w:r>
          </w:p>
        </w:tc>
        <w:tc>
          <w:tcPr>
            <w:tcW w:w="0" w:type="dxa"/>
            <w:vAlign w:val="bottom"/>
          </w:tcPr>
          <w:p>
            <w:pPr>
              <w:spacing w:after="0"/>
              <w:rPr>
                <w:sz w:val="1"/>
                <w:szCs w:val="1"/>
                <w:color w:val="auto"/>
              </w:rPr>
            </w:pPr>
          </w:p>
        </w:tc>
      </w:tr>
      <w:tr>
        <w:trPr>
          <w:trHeight w:val="99"/>
        </w:trPr>
        <w:tc>
          <w:tcPr>
            <w:tcW w:w="6980" w:type="dxa"/>
            <w:vAlign w:val="bottom"/>
            <w:shd w:val="clear" w:color="auto" w:fill="CFF0FC"/>
          </w:tcPr>
          <w:p>
            <w:pPr>
              <w:ind w:left="160"/>
              <w:spacing w:after="0"/>
              <w:rPr>
                <w:sz w:val="20"/>
                <w:szCs w:val="20"/>
                <w:color w:val="auto"/>
              </w:rPr>
            </w:pPr>
            <w:r>
              <w:rPr>
                <w:rFonts w:ascii="Arial" w:cs="Arial" w:eastAsia="Arial" w:hAnsi="Arial"/>
                <w:sz w:val="8"/>
                <w:szCs w:val="8"/>
                <w:color w:val="auto"/>
              </w:rPr>
              <w:t>Installment payments</w:t>
            </w:r>
          </w:p>
        </w:tc>
        <w:tc>
          <w:tcPr>
            <w:tcW w:w="960" w:type="dxa"/>
            <w:vAlign w:val="bottom"/>
            <w:shd w:val="clear" w:color="auto" w:fill="CFF0FC"/>
          </w:tcPr>
          <w:p>
            <w:pPr>
              <w:spacing w:after="0"/>
              <w:rPr>
                <w:sz w:val="8"/>
                <w:szCs w:val="8"/>
                <w:color w:val="auto"/>
              </w:rPr>
            </w:pPr>
          </w:p>
        </w:tc>
        <w:tc>
          <w:tcPr>
            <w:tcW w:w="720" w:type="dxa"/>
            <w:vAlign w:val="bottom"/>
            <w:gridSpan w:val="2"/>
            <w:shd w:val="clear" w:color="auto" w:fill="CFF0FC"/>
          </w:tcPr>
          <w:p>
            <w:pPr>
              <w:jc w:val="right"/>
              <w:ind w:right="280"/>
              <w:spacing w:after="0"/>
              <w:rPr>
                <w:sz w:val="20"/>
                <w:szCs w:val="20"/>
                <w:color w:val="auto"/>
              </w:rPr>
            </w:pPr>
            <w:r>
              <w:rPr>
                <w:rFonts w:ascii="Arial" w:cs="Arial" w:eastAsia="Arial" w:hAnsi="Arial"/>
                <w:sz w:val="8"/>
                <w:szCs w:val="8"/>
                <w:color w:val="auto"/>
              </w:rPr>
              <w:t>—</w:t>
            </w:r>
          </w:p>
        </w:tc>
        <w:tc>
          <w:tcPr>
            <w:tcW w:w="320" w:type="dxa"/>
            <w:vAlign w:val="bottom"/>
            <w:shd w:val="clear" w:color="auto" w:fill="CFF0FC"/>
          </w:tcPr>
          <w:p>
            <w:pPr>
              <w:spacing w:after="0"/>
              <w:rPr>
                <w:sz w:val="8"/>
                <w:szCs w:val="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8"/>
                <w:szCs w:val="8"/>
                <w:color w:val="auto"/>
              </w:rPr>
              <w:t>(250)</w:t>
            </w:r>
          </w:p>
        </w:tc>
        <w:tc>
          <w:tcPr>
            <w:tcW w:w="0" w:type="dxa"/>
            <w:vAlign w:val="bottom"/>
          </w:tcPr>
          <w:p>
            <w:pPr>
              <w:spacing w:after="0"/>
              <w:rPr>
                <w:sz w:val="1"/>
                <w:szCs w:val="1"/>
                <w:color w:val="auto"/>
              </w:rPr>
            </w:pPr>
          </w:p>
        </w:tc>
      </w:tr>
      <w:tr>
        <w:trPr>
          <w:trHeight w:val="99"/>
        </w:trPr>
        <w:tc>
          <w:tcPr>
            <w:tcW w:w="6980" w:type="dxa"/>
            <w:vAlign w:val="bottom"/>
          </w:tcPr>
          <w:p>
            <w:pPr>
              <w:ind w:left="160"/>
              <w:spacing w:after="0"/>
              <w:rPr>
                <w:sz w:val="20"/>
                <w:szCs w:val="20"/>
                <w:color w:val="auto"/>
              </w:rPr>
            </w:pPr>
            <w:r>
              <w:rPr>
                <w:rFonts w:ascii="Arial" w:cs="Arial" w:eastAsia="Arial" w:hAnsi="Arial"/>
                <w:sz w:val="8"/>
                <w:szCs w:val="8"/>
                <w:color w:val="auto"/>
              </w:rPr>
              <w:t>Proceeds from exercise of options</w:t>
            </w:r>
          </w:p>
        </w:tc>
        <w:tc>
          <w:tcPr>
            <w:tcW w:w="960" w:type="dxa"/>
            <w:vAlign w:val="bottom"/>
          </w:tcPr>
          <w:p>
            <w:pPr>
              <w:spacing w:after="0"/>
              <w:rPr>
                <w:sz w:val="8"/>
                <w:szCs w:val="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8"/>
                <w:szCs w:val="8"/>
                <w:color w:val="auto"/>
              </w:rPr>
              <w:t>—</w:t>
            </w:r>
          </w:p>
        </w:tc>
        <w:tc>
          <w:tcPr>
            <w:tcW w:w="320" w:type="dxa"/>
            <w:vAlign w:val="bottom"/>
          </w:tcPr>
          <w:p>
            <w:pPr>
              <w:spacing w:after="0"/>
              <w:rPr>
                <w:sz w:val="8"/>
                <w:szCs w:val="8"/>
                <w:color w:val="auto"/>
              </w:rPr>
            </w:pPr>
          </w:p>
        </w:tc>
        <w:tc>
          <w:tcPr>
            <w:tcW w:w="1080" w:type="dxa"/>
            <w:vAlign w:val="bottom"/>
          </w:tcPr>
          <w:p>
            <w:pPr>
              <w:jc w:val="right"/>
              <w:spacing w:after="0"/>
              <w:rPr>
                <w:sz w:val="20"/>
                <w:szCs w:val="20"/>
                <w:color w:val="auto"/>
              </w:rPr>
            </w:pPr>
            <w:r>
              <w:rPr>
                <w:rFonts w:ascii="Arial" w:cs="Arial" w:eastAsia="Arial" w:hAnsi="Arial"/>
                <w:sz w:val="8"/>
                <w:szCs w:val="8"/>
                <w:color w:val="auto"/>
              </w:rPr>
              <w:t>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6980" w:type="dxa"/>
            <w:vAlign w:val="bottom"/>
            <w:tcBorders>
              <w:top w:val="single" w:sz="8" w:color="CFF0FC"/>
            </w:tcBorders>
            <w:shd w:val="clear" w:color="auto" w:fill="CFF0FC"/>
          </w:tcPr>
          <w:p>
            <w:pPr>
              <w:ind w:left="500"/>
              <w:spacing w:after="0" w:line="88" w:lineRule="exact"/>
              <w:rPr>
                <w:sz w:val="20"/>
                <w:szCs w:val="20"/>
                <w:color w:val="auto"/>
              </w:rPr>
            </w:pPr>
            <w:r>
              <w:rPr>
                <w:rFonts w:ascii="Arial" w:cs="Arial" w:eastAsia="Arial" w:hAnsi="Arial"/>
                <w:sz w:val="8"/>
                <w:szCs w:val="8"/>
                <w:color w:val="auto"/>
              </w:rPr>
              <w:t>Net cash provided by financing activities</w:t>
            </w:r>
          </w:p>
        </w:tc>
        <w:tc>
          <w:tcPr>
            <w:tcW w:w="960" w:type="dxa"/>
            <w:vAlign w:val="bottom"/>
            <w:tcBorders>
              <w:top w:val="single" w:sz="8" w:color="auto"/>
              <w:bottom w:val="single" w:sz="8" w:color="auto"/>
            </w:tcBorders>
            <w:shd w:val="clear" w:color="auto" w:fill="CFF0FC"/>
          </w:tcPr>
          <w:p>
            <w:pPr>
              <w:spacing w:after="0"/>
              <w:rPr>
                <w:sz w:val="7"/>
                <w:szCs w:val="7"/>
                <w:color w:val="auto"/>
              </w:rPr>
            </w:pPr>
          </w:p>
        </w:tc>
        <w:tc>
          <w:tcPr>
            <w:tcW w:w="440" w:type="dxa"/>
            <w:vAlign w:val="bottom"/>
            <w:tcBorders>
              <w:top w:val="single" w:sz="8" w:color="auto"/>
              <w:bottom w:val="single" w:sz="8" w:color="auto"/>
            </w:tcBorders>
            <w:shd w:val="clear" w:color="auto" w:fill="CFF0FC"/>
          </w:tcPr>
          <w:p>
            <w:pPr>
              <w:jc w:val="right"/>
              <w:spacing w:after="0" w:line="88" w:lineRule="exact"/>
              <w:rPr>
                <w:sz w:val="20"/>
                <w:szCs w:val="20"/>
                <w:color w:val="auto"/>
              </w:rPr>
            </w:pPr>
            <w:r>
              <w:rPr>
                <w:rFonts w:ascii="Arial" w:cs="Arial" w:eastAsia="Arial" w:hAnsi="Arial"/>
                <w:sz w:val="8"/>
                <w:szCs w:val="8"/>
                <w:color w:val="auto"/>
              </w:rPr>
              <w:t>20,428</w:t>
            </w:r>
          </w:p>
        </w:tc>
        <w:tc>
          <w:tcPr>
            <w:tcW w:w="280" w:type="dxa"/>
            <w:vAlign w:val="bottom"/>
            <w:tcBorders>
              <w:top w:val="single" w:sz="8" w:color="CFF0FC"/>
            </w:tcBorders>
            <w:shd w:val="clear" w:color="auto" w:fill="CFF0FC"/>
          </w:tcPr>
          <w:p>
            <w:pPr>
              <w:spacing w:after="0"/>
              <w:rPr>
                <w:sz w:val="7"/>
                <w:szCs w:val="7"/>
                <w:color w:val="auto"/>
              </w:rPr>
            </w:pPr>
          </w:p>
        </w:tc>
        <w:tc>
          <w:tcPr>
            <w:tcW w:w="320" w:type="dxa"/>
            <w:vAlign w:val="bottom"/>
            <w:tcBorders>
              <w:top w:val="single" w:sz="8" w:color="auto"/>
              <w:bottom w:val="single" w:sz="8" w:color="auto"/>
            </w:tcBorders>
            <w:shd w:val="clear" w:color="auto" w:fill="CFF0FC"/>
          </w:tcPr>
          <w:p>
            <w:pPr>
              <w:spacing w:after="0"/>
              <w:rPr>
                <w:sz w:val="7"/>
                <w:szCs w:val="7"/>
                <w:color w:val="auto"/>
              </w:rPr>
            </w:pPr>
          </w:p>
        </w:tc>
        <w:tc>
          <w:tcPr>
            <w:tcW w:w="1080" w:type="dxa"/>
            <w:vAlign w:val="bottom"/>
            <w:tcBorders>
              <w:top w:val="single" w:sz="8" w:color="auto"/>
              <w:bottom w:val="single" w:sz="8" w:color="auto"/>
            </w:tcBorders>
            <w:shd w:val="clear" w:color="auto" w:fill="CFF0FC"/>
          </w:tcPr>
          <w:p>
            <w:pPr>
              <w:jc w:val="right"/>
              <w:spacing w:after="0" w:line="88" w:lineRule="exact"/>
              <w:rPr>
                <w:sz w:val="20"/>
                <w:szCs w:val="20"/>
                <w:color w:val="auto"/>
              </w:rPr>
            </w:pPr>
            <w:r>
              <w:rPr>
                <w:rFonts w:ascii="Arial" w:cs="Arial" w:eastAsia="Arial" w:hAnsi="Arial"/>
                <w:sz w:val="8"/>
                <w:szCs w:val="8"/>
                <w:color w:val="auto"/>
              </w:rPr>
              <w:t>10,326</w:t>
            </w:r>
          </w:p>
        </w:tc>
        <w:tc>
          <w:tcPr>
            <w:tcW w:w="100" w:type="dxa"/>
            <w:vAlign w:val="bottom"/>
            <w:tcBorders>
              <w:top w:val="single" w:sz="8" w:color="CFF0FC"/>
            </w:tcBorders>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980" w:type="dxa"/>
            <w:vAlign w:val="bottom"/>
          </w:tcPr>
          <w:p>
            <w:pPr>
              <w:spacing w:after="0" w:line="88" w:lineRule="exact"/>
              <w:rPr>
                <w:sz w:val="20"/>
                <w:szCs w:val="20"/>
                <w:color w:val="auto"/>
              </w:rPr>
            </w:pPr>
            <w:r>
              <w:rPr>
                <w:rFonts w:ascii="Arial" w:cs="Arial" w:eastAsia="Arial" w:hAnsi="Arial"/>
                <w:sz w:val="8"/>
                <w:szCs w:val="8"/>
                <w:color w:val="auto"/>
              </w:rPr>
              <w:t>NET INCREASE IN CASH AND CASH EQUIVALENTS AND RESTRICTED CASH</w:t>
            </w:r>
          </w:p>
        </w:tc>
        <w:tc>
          <w:tcPr>
            <w:tcW w:w="960" w:type="dxa"/>
            <w:vAlign w:val="bottom"/>
          </w:tcPr>
          <w:p>
            <w:pPr>
              <w:spacing w:after="0"/>
              <w:rPr>
                <w:sz w:val="7"/>
                <w:szCs w:val="7"/>
                <w:color w:val="auto"/>
              </w:rPr>
            </w:pPr>
          </w:p>
        </w:tc>
        <w:tc>
          <w:tcPr>
            <w:tcW w:w="440" w:type="dxa"/>
            <w:vAlign w:val="bottom"/>
          </w:tcPr>
          <w:p>
            <w:pPr>
              <w:jc w:val="right"/>
              <w:spacing w:after="0" w:line="88" w:lineRule="exact"/>
              <w:rPr>
                <w:sz w:val="20"/>
                <w:szCs w:val="20"/>
                <w:color w:val="auto"/>
              </w:rPr>
            </w:pPr>
            <w:r>
              <w:rPr>
                <w:rFonts w:ascii="Arial" w:cs="Arial" w:eastAsia="Arial" w:hAnsi="Arial"/>
                <w:sz w:val="8"/>
                <w:szCs w:val="8"/>
                <w:color w:val="auto"/>
              </w:rPr>
              <w:t>4,962</w:t>
            </w: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jc w:val="right"/>
              <w:spacing w:after="0" w:line="88" w:lineRule="exact"/>
              <w:rPr>
                <w:sz w:val="20"/>
                <w:szCs w:val="20"/>
                <w:color w:val="auto"/>
              </w:rPr>
            </w:pPr>
            <w:r>
              <w:rPr>
                <w:rFonts w:ascii="Arial" w:cs="Arial" w:eastAsia="Arial" w:hAnsi="Arial"/>
                <w:sz w:val="8"/>
                <w:szCs w:val="8"/>
                <w:color w:val="auto"/>
              </w:rPr>
              <w:t>1,546</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980" w:type="dxa"/>
            <w:vAlign w:val="bottom"/>
            <w:shd w:val="clear" w:color="auto" w:fill="CFF0FC"/>
          </w:tcPr>
          <w:p>
            <w:pPr>
              <w:spacing w:after="0"/>
              <w:rPr>
                <w:sz w:val="20"/>
                <w:szCs w:val="20"/>
                <w:color w:val="auto"/>
              </w:rPr>
            </w:pPr>
            <w:r>
              <w:rPr>
                <w:rFonts w:ascii="Arial" w:cs="Arial" w:eastAsia="Arial" w:hAnsi="Arial"/>
                <w:sz w:val="8"/>
                <w:szCs w:val="8"/>
                <w:color w:val="auto"/>
              </w:rPr>
              <w:t>CASH AND CASH EQUIVALENTS AND RESTRICTED CASH — Beginning of period</w:t>
            </w:r>
          </w:p>
        </w:tc>
        <w:tc>
          <w:tcPr>
            <w:tcW w:w="960" w:type="dxa"/>
            <w:vAlign w:val="bottom"/>
            <w:tcBorders>
              <w:bottom w:val="single" w:sz="8" w:color="auto"/>
            </w:tcBorders>
            <w:shd w:val="clear" w:color="auto" w:fill="CFF0FC"/>
          </w:tcPr>
          <w:p>
            <w:pPr>
              <w:spacing w:after="0"/>
              <w:rPr>
                <w:sz w:val="8"/>
                <w:szCs w:val="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15,749</w:t>
            </w:r>
          </w:p>
        </w:tc>
        <w:tc>
          <w:tcPr>
            <w:tcW w:w="280" w:type="dxa"/>
            <w:vAlign w:val="bottom"/>
            <w:shd w:val="clear" w:color="auto" w:fill="CFF0FC"/>
          </w:tcPr>
          <w:p>
            <w:pPr>
              <w:spacing w:after="0"/>
              <w:rPr>
                <w:sz w:val="8"/>
                <w:szCs w:val="8"/>
                <w:color w:val="auto"/>
              </w:rPr>
            </w:pPr>
          </w:p>
        </w:tc>
        <w:tc>
          <w:tcPr>
            <w:tcW w:w="320" w:type="dxa"/>
            <w:vAlign w:val="bottom"/>
            <w:tcBorders>
              <w:bottom w:val="single" w:sz="8" w:color="auto"/>
            </w:tcBorders>
            <w:shd w:val="clear" w:color="auto" w:fill="CFF0FC"/>
          </w:tcPr>
          <w:p>
            <w:pPr>
              <w:spacing w:after="0"/>
              <w:rPr>
                <w:sz w:val="8"/>
                <w:szCs w:val="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6,758</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980" w:type="dxa"/>
            <w:vAlign w:val="bottom"/>
            <w:tcBorders>
              <w:bottom w:val="single" w:sz="8" w:color="CFF0FC"/>
            </w:tcBorders>
          </w:tcPr>
          <w:p>
            <w:pPr>
              <w:spacing w:after="0" w:line="88" w:lineRule="exact"/>
              <w:rPr>
                <w:sz w:val="20"/>
                <w:szCs w:val="20"/>
                <w:color w:val="auto"/>
              </w:rPr>
            </w:pPr>
            <w:r>
              <w:rPr>
                <w:rFonts w:ascii="Arial" w:cs="Arial" w:eastAsia="Arial" w:hAnsi="Arial"/>
                <w:sz w:val="8"/>
                <w:szCs w:val="8"/>
                <w:color w:val="auto"/>
              </w:rPr>
              <w:t>CASH AND CASH EQUIVALENTS AND RESTRICTED CASH — End of period</w:t>
            </w:r>
          </w:p>
        </w:tc>
        <w:tc>
          <w:tcPr>
            <w:tcW w:w="960" w:type="dxa"/>
            <w:vAlign w:val="bottom"/>
            <w:tcBorders>
              <w:bottom w:val="single" w:sz="8" w:color="auto"/>
            </w:tcBorders>
          </w:tcPr>
          <w:p>
            <w:pPr>
              <w:jc w:val="right"/>
              <w:ind w:right="891"/>
              <w:spacing w:after="0"/>
              <w:rPr>
                <w:sz w:val="20"/>
                <w:szCs w:val="20"/>
                <w:color w:val="auto"/>
              </w:rPr>
            </w:pPr>
            <w:r>
              <w:rPr>
                <w:rFonts w:ascii="Arial" w:cs="Arial" w:eastAsia="Arial" w:hAnsi="Arial"/>
                <w:sz w:val="5"/>
                <w:szCs w:val="5"/>
                <w:color w:val="auto"/>
                <w:w w:val="70"/>
              </w:rPr>
              <w:t>$</w:t>
            </w:r>
          </w:p>
        </w:tc>
        <w:tc>
          <w:tcPr>
            <w:tcW w:w="44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8"/>
                <w:szCs w:val="8"/>
                <w:color w:val="auto"/>
              </w:rPr>
              <w:t>20,711</w:t>
            </w:r>
          </w:p>
        </w:tc>
        <w:tc>
          <w:tcPr>
            <w:tcW w:w="28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jc w:val="right"/>
              <w:ind w:right="254"/>
              <w:spacing w:after="0"/>
              <w:rPr>
                <w:sz w:val="20"/>
                <w:szCs w:val="20"/>
                <w:color w:val="auto"/>
              </w:rPr>
            </w:pPr>
            <w:r>
              <w:rPr>
                <w:rFonts w:ascii="Arial" w:cs="Arial" w:eastAsia="Arial" w:hAnsi="Arial"/>
                <w:sz w:val="5"/>
                <w:szCs w:val="5"/>
                <w:color w:val="auto"/>
                <w:w w:val="70"/>
              </w:rPr>
              <w:t>$</w:t>
            </w:r>
          </w:p>
        </w:tc>
        <w:tc>
          <w:tcPr>
            <w:tcW w:w="108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8"/>
                <w:szCs w:val="8"/>
                <w:color w:val="auto"/>
              </w:rPr>
              <w:t>8,304</w:t>
            </w:r>
          </w:p>
        </w:tc>
        <w:tc>
          <w:tcPr>
            <w:tcW w:w="10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980" w:type="dxa"/>
            <w:vAlign w:val="bottom"/>
            <w:shd w:val="clear" w:color="auto" w:fill="CFF0FC"/>
          </w:tcPr>
          <w:p>
            <w:pPr>
              <w:spacing w:after="0"/>
              <w:rPr>
                <w:sz w:val="20"/>
                <w:szCs w:val="20"/>
                <w:color w:val="auto"/>
              </w:rPr>
            </w:pPr>
            <w:r>
              <w:rPr>
                <w:rFonts w:ascii="Arial" w:cs="Arial" w:eastAsia="Arial" w:hAnsi="Arial"/>
                <w:sz w:val="8"/>
                <w:szCs w:val="8"/>
                <w:b w:val="1"/>
                <w:bCs w:val="1"/>
                <w:color w:val="auto"/>
              </w:rPr>
              <w:t>SUPPLEMENTAL DISCLOSURES OF CASH FLOW INFORMATION:</w:t>
            </w:r>
          </w:p>
        </w:tc>
        <w:tc>
          <w:tcPr>
            <w:tcW w:w="9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0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980" w:type="dxa"/>
            <w:vAlign w:val="bottom"/>
            <w:tcBorders>
              <w:bottom w:val="single" w:sz="8" w:color="CFF0FC"/>
            </w:tcBorders>
          </w:tcPr>
          <w:p>
            <w:pPr>
              <w:ind w:left="160"/>
              <w:spacing w:after="0"/>
              <w:rPr>
                <w:sz w:val="20"/>
                <w:szCs w:val="20"/>
                <w:color w:val="auto"/>
              </w:rPr>
            </w:pPr>
            <w:r>
              <w:rPr>
                <w:rFonts w:ascii="Arial" w:cs="Arial" w:eastAsia="Arial" w:hAnsi="Arial"/>
                <w:sz w:val="8"/>
                <w:szCs w:val="8"/>
                <w:color w:val="auto"/>
              </w:rPr>
              <w:t>Cash paid for income taxes</w:t>
            </w:r>
          </w:p>
        </w:tc>
        <w:tc>
          <w:tcPr>
            <w:tcW w:w="960" w:type="dxa"/>
            <w:vAlign w:val="bottom"/>
            <w:tcBorders>
              <w:bottom w:val="single" w:sz="8" w:color="auto"/>
            </w:tcBorders>
          </w:tcPr>
          <w:p>
            <w:pPr>
              <w:jc w:val="right"/>
              <w:ind w:right="891"/>
              <w:spacing w:after="0"/>
              <w:rPr>
                <w:sz w:val="20"/>
                <w:szCs w:val="20"/>
                <w:color w:val="auto"/>
              </w:rPr>
            </w:pPr>
            <w:r>
              <w:rPr>
                <w:rFonts w:ascii="Arial" w:cs="Arial" w:eastAsia="Arial" w:hAnsi="Arial"/>
                <w:sz w:val="5"/>
                <w:szCs w:val="5"/>
                <w:color w:val="auto"/>
                <w:w w:val="70"/>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329</w:t>
            </w:r>
          </w:p>
        </w:tc>
        <w:tc>
          <w:tcPr>
            <w:tcW w:w="28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jc w:val="right"/>
              <w:ind w:right="254"/>
              <w:spacing w:after="0"/>
              <w:rPr>
                <w:sz w:val="20"/>
                <w:szCs w:val="20"/>
                <w:color w:val="auto"/>
              </w:rPr>
            </w:pPr>
            <w:r>
              <w:rPr>
                <w:rFonts w:ascii="Arial" w:cs="Arial" w:eastAsia="Arial" w:hAnsi="Arial"/>
                <w:sz w:val="5"/>
                <w:szCs w:val="5"/>
                <w:color w:val="auto"/>
                <w:w w:val="70"/>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1,087</w:t>
            </w:r>
          </w:p>
        </w:tc>
        <w:tc>
          <w:tcPr>
            <w:tcW w:w="10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6980" w:type="dxa"/>
            <w:vAlign w:val="bottom"/>
            <w:shd w:val="clear" w:color="auto" w:fill="CFF0FC"/>
          </w:tcPr>
          <w:p>
            <w:pPr>
              <w:ind w:left="160"/>
              <w:spacing w:after="0" w:line="88" w:lineRule="exact"/>
              <w:rPr>
                <w:sz w:val="20"/>
                <w:szCs w:val="20"/>
                <w:color w:val="auto"/>
              </w:rPr>
            </w:pPr>
            <w:r>
              <w:rPr>
                <w:rFonts w:ascii="Arial" w:cs="Arial" w:eastAsia="Arial" w:hAnsi="Arial"/>
                <w:sz w:val="8"/>
                <w:szCs w:val="8"/>
                <w:color w:val="auto"/>
              </w:rPr>
              <w:t>Cash paid for interest</w:t>
            </w:r>
          </w:p>
        </w:tc>
        <w:tc>
          <w:tcPr>
            <w:tcW w:w="960" w:type="dxa"/>
            <w:vAlign w:val="bottom"/>
            <w:tcBorders>
              <w:bottom w:val="single" w:sz="8" w:color="auto"/>
            </w:tcBorders>
            <w:shd w:val="clear" w:color="auto" w:fill="CFF0FC"/>
          </w:tcPr>
          <w:p>
            <w:pPr>
              <w:jc w:val="right"/>
              <w:ind w:right="891"/>
              <w:spacing w:after="0"/>
              <w:rPr>
                <w:sz w:val="20"/>
                <w:szCs w:val="20"/>
                <w:color w:val="auto"/>
              </w:rPr>
            </w:pPr>
            <w:r>
              <w:rPr>
                <w:rFonts w:ascii="Arial" w:cs="Arial" w:eastAsia="Arial" w:hAnsi="Arial"/>
                <w:sz w:val="5"/>
                <w:szCs w:val="5"/>
                <w:color w:val="auto"/>
                <w:w w:val="70"/>
              </w:rPr>
              <w:t>$</w:t>
            </w:r>
          </w:p>
        </w:tc>
        <w:tc>
          <w:tcPr>
            <w:tcW w:w="440" w:type="dxa"/>
            <w:vAlign w:val="bottom"/>
            <w:tcBorders>
              <w:bottom w:val="single" w:sz="8" w:color="auto"/>
            </w:tcBorders>
            <w:shd w:val="clear" w:color="auto" w:fill="CFF0FC"/>
          </w:tcPr>
          <w:p>
            <w:pPr>
              <w:jc w:val="right"/>
              <w:spacing w:after="0" w:line="88" w:lineRule="exact"/>
              <w:rPr>
                <w:sz w:val="20"/>
                <w:szCs w:val="20"/>
                <w:color w:val="auto"/>
              </w:rPr>
            </w:pPr>
            <w:r>
              <w:rPr>
                <w:rFonts w:ascii="Arial" w:cs="Arial" w:eastAsia="Arial" w:hAnsi="Arial"/>
                <w:sz w:val="8"/>
                <w:szCs w:val="8"/>
                <w:color w:val="auto"/>
              </w:rPr>
              <w:t>104</w:t>
            </w:r>
          </w:p>
        </w:tc>
        <w:tc>
          <w:tcPr>
            <w:tcW w:w="280" w:type="dxa"/>
            <w:vAlign w:val="bottom"/>
            <w:shd w:val="clear" w:color="auto" w:fill="CFF0FC"/>
          </w:tcPr>
          <w:p>
            <w:pPr>
              <w:spacing w:after="0"/>
              <w:rPr>
                <w:sz w:val="7"/>
                <w:szCs w:val="7"/>
                <w:color w:val="auto"/>
              </w:rPr>
            </w:pPr>
          </w:p>
        </w:tc>
        <w:tc>
          <w:tcPr>
            <w:tcW w:w="320" w:type="dxa"/>
            <w:vAlign w:val="bottom"/>
            <w:tcBorders>
              <w:bottom w:val="single" w:sz="8" w:color="auto"/>
            </w:tcBorders>
            <w:shd w:val="clear" w:color="auto" w:fill="CFF0FC"/>
          </w:tcPr>
          <w:p>
            <w:pPr>
              <w:jc w:val="right"/>
              <w:ind w:right="254"/>
              <w:spacing w:after="0"/>
              <w:rPr>
                <w:sz w:val="20"/>
                <w:szCs w:val="20"/>
                <w:color w:val="auto"/>
              </w:rPr>
            </w:pPr>
            <w:r>
              <w:rPr>
                <w:rFonts w:ascii="Arial" w:cs="Arial" w:eastAsia="Arial" w:hAnsi="Arial"/>
                <w:sz w:val="5"/>
                <w:szCs w:val="5"/>
                <w:color w:val="auto"/>
                <w:w w:val="70"/>
              </w:rPr>
              <w:t>$</w:t>
            </w:r>
          </w:p>
        </w:tc>
        <w:tc>
          <w:tcPr>
            <w:tcW w:w="1080" w:type="dxa"/>
            <w:vAlign w:val="bottom"/>
            <w:tcBorders>
              <w:bottom w:val="single" w:sz="8" w:color="auto"/>
            </w:tcBorders>
            <w:shd w:val="clear" w:color="auto" w:fill="CFF0FC"/>
          </w:tcPr>
          <w:p>
            <w:pPr>
              <w:jc w:val="right"/>
              <w:spacing w:after="0" w:line="88" w:lineRule="exact"/>
              <w:rPr>
                <w:sz w:val="20"/>
                <w:szCs w:val="20"/>
                <w:color w:val="auto"/>
              </w:rPr>
            </w:pPr>
            <w:r>
              <w:rPr>
                <w:rFonts w:ascii="Arial" w:cs="Arial" w:eastAsia="Arial" w:hAnsi="Arial"/>
                <w:sz w:val="8"/>
                <w:szCs w:val="8"/>
                <w:color w:val="auto"/>
              </w:rPr>
              <w:t>6,166</w:t>
            </w: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55245</wp:posOffset>
            </wp:positionV>
            <wp:extent cx="718947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160"/>
          </w:cols>
          <w:pgMar w:left="860" w:top="271" w:right="879" w:bottom="1440" w:gutter="0" w:footer="0" w:header="0"/>
        </w:sectPr>
      </w:pPr>
    </w:p>
    <w:bookmarkStart w:id="7" w:name="page8"/>
    <w:bookmarkEnd w:id="7"/>
    <w:p>
      <w:pPr>
        <w:ind w:left="4640"/>
        <w:spacing w:after="0"/>
        <w:rPr>
          <w:sz w:val="20"/>
          <w:szCs w:val="20"/>
          <w:color w:val="auto"/>
        </w:rPr>
      </w:pPr>
      <w:r>
        <w:rPr>
          <w:rFonts w:ascii="Arial" w:cs="Arial" w:eastAsia="Arial" w:hAnsi="Arial"/>
          <w:sz w:val="12"/>
          <w:szCs w:val="12"/>
          <w:b w:val="1"/>
          <w:bCs w:val="1"/>
          <w:color w:val="auto"/>
        </w:rPr>
        <w:t>VENUS CONCEPT INC.</w:t>
      </w:r>
    </w:p>
    <w:p>
      <w:pPr>
        <w:spacing w:after="0" w:line="78" w:lineRule="exact"/>
        <w:rPr>
          <w:sz w:val="20"/>
          <w:szCs w:val="20"/>
          <w:color w:val="auto"/>
        </w:rPr>
      </w:pPr>
    </w:p>
    <w:p>
      <w:pPr>
        <w:ind w:left="388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ind w:right="360"/>
        <w:spacing w:after="0"/>
        <w:rPr>
          <w:sz w:val="20"/>
          <w:szCs w:val="20"/>
          <w:color w:val="auto"/>
        </w:rPr>
      </w:pPr>
      <w:r>
        <w:rPr>
          <w:rFonts w:ascii="Arial" w:cs="Arial" w:eastAsia="Arial" w:hAnsi="Arial"/>
          <w:sz w:val="12"/>
          <w:szCs w:val="12"/>
          <w:b w:val="1"/>
          <w:bCs w:val="1"/>
          <w:i w:val="1"/>
          <w:iCs w:val="1"/>
          <w:color w:val="auto"/>
        </w:rPr>
        <w:t>(Unaudited)</w:t>
      </w:r>
    </w:p>
    <w:p>
      <w:pPr>
        <w:spacing w:after="0" w:line="6" w:lineRule="exact"/>
        <w:rPr>
          <w:sz w:val="20"/>
          <w:szCs w:val="20"/>
          <w:color w:val="auto"/>
        </w:rPr>
      </w:pPr>
    </w:p>
    <w:p>
      <w:pPr>
        <w:jc w:val="center"/>
        <w:ind w:right="360"/>
        <w:spacing w:after="0"/>
        <w:rPr>
          <w:sz w:val="20"/>
          <w:szCs w:val="20"/>
          <w:color w:val="auto"/>
        </w:rPr>
      </w:pPr>
      <w:r>
        <w:rPr>
          <w:rFonts w:ascii="Arial" w:cs="Arial" w:eastAsia="Arial" w:hAnsi="Arial"/>
          <w:sz w:val="12"/>
          <w:szCs w:val="12"/>
          <w:b w:val="1"/>
          <w:bCs w:val="1"/>
          <w:i w:val="1"/>
          <w:iCs w:val="1"/>
          <w:color w:val="auto"/>
        </w:rPr>
        <w:t>(in thousands, unless otherwise noted)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NATURE OF OPERATIONS</w:t>
      </w:r>
    </w:p>
    <w:p>
      <w:pPr>
        <w:spacing w:after="0" w:line="154" w:lineRule="exact"/>
        <w:rPr>
          <w:sz w:val="20"/>
          <w:szCs w:val="20"/>
          <w:color w:val="auto"/>
        </w:rPr>
      </w:pPr>
    </w:p>
    <w:p>
      <w:pPr>
        <w:ind w:right="100"/>
        <w:spacing w:after="0" w:line="289" w:lineRule="auto"/>
        <w:rPr>
          <w:sz w:val="20"/>
          <w:szCs w:val="20"/>
          <w:color w:val="auto"/>
        </w:rPr>
      </w:pPr>
      <w:r>
        <w:rPr>
          <w:rFonts w:ascii="Arial" w:cs="Arial" w:eastAsia="Arial" w:hAnsi="Arial"/>
          <w:sz w:val="11"/>
          <w:szCs w:val="11"/>
          <w:color w:val="auto"/>
        </w:rPr>
        <w:t>Venus Concept Inc. (formerly Restoration Robotics, Inc.) is a global medical technology company that develops, commercializes, and sells minimally invasive and non-invasive medical aesthetic and hair restoration technologies and related services. The Company’s systems have been designed on a cost-effective, proprietary and flexible platform that enables it to expand beyond the aesthetic industry’s traditional markets of dermatology and plastic surgery, and into non-traditional markets, including family and general practitioners and aesthetic medical spas. The Company was incorporated in the state of Delaware on November 22, 2002. In these notes to the condensed consolidated financial statements, the “Company”, “Venus Concept,” refers to Venus Concept Inc. and its subsidiaries on a consolidated basis.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Going Concern</w:t>
      </w:r>
    </w:p>
    <w:p>
      <w:pPr>
        <w:spacing w:after="0" w:line="154"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accompanying condensed consolidated financial statements have been prepared on a going concern basis, which contemplates the realization of assets and the satisfaction of liabilities in the normal course of business for the foreseeable future, and, as such, the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122" w:lineRule="exact"/>
        <w:rPr>
          <w:sz w:val="20"/>
          <w:szCs w:val="20"/>
          <w:color w:val="auto"/>
        </w:rPr>
      </w:pPr>
    </w:p>
    <w:p>
      <w:pPr>
        <w:ind w:right="20"/>
        <w:spacing w:after="0" w:line="281" w:lineRule="auto"/>
        <w:rPr>
          <w:sz w:val="20"/>
          <w:szCs w:val="20"/>
          <w:color w:val="auto"/>
        </w:rPr>
      </w:pPr>
      <w:r>
        <w:rPr>
          <w:rFonts w:ascii="Arial" w:cs="Arial" w:eastAsia="Arial" w:hAnsi="Arial"/>
          <w:sz w:val="11"/>
          <w:szCs w:val="11"/>
          <w:color w:val="auto"/>
        </w:rPr>
        <w:t>The Company has had recurring net operating losses and negative cash flows from operations. As of March 31, 2020 and December 31, 2019, the Company had an accumulated deficit of $125,876 and $75,686, respectively. Further, the Company was not in compliance with certain financial covenants contained in its credit agreements with City National Bank of Florida and Madryn Health Partners, L.P. in the nine months ended September 30, 2019. The Company was in compliance with all required covenants as of March 31, 2020 and as of December 31, 2019. The Company’s recurring losses from operations and negative cash flows raise substantial doubt about the Company’s ability to continue as a going concern within 12 months from the date that the condensed consolidated financial statements are issued. In addition, the coronavirus pandemic (“COVID-19” or “pandemic”) has had a significant negative impact on the Company’s condensed consolidated financial statements as of March 31, 2020 and for the three months then ended, and management expects it to have future negative impact the extent of which is uncertain and largely subject to whether the severity worsens, or duration lengthens. In the event that the COVID-19 pandemic and the economic disruptions it has caused continue for an extended period of time, the Company cannot assure that it will remain in compliance with the financial covenants in its credit facilities.</w:t>
      </w:r>
    </w:p>
    <w:p>
      <w:pPr>
        <w:spacing w:after="0" w:line="115" w:lineRule="exact"/>
        <w:rPr>
          <w:sz w:val="20"/>
          <w:szCs w:val="20"/>
          <w:color w:val="auto"/>
        </w:rPr>
      </w:pPr>
    </w:p>
    <w:p>
      <w:pPr>
        <w:ind w:right="320"/>
        <w:spacing w:after="0" w:line="298" w:lineRule="auto"/>
        <w:rPr>
          <w:sz w:val="20"/>
          <w:szCs w:val="20"/>
          <w:color w:val="auto"/>
        </w:rPr>
      </w:pPr>
      <w:r>
        <w:rPr>
          <w:rFonts w:ascii="Arial" w:cs="Arial" w:eastAsia="Arial" w:hAnsi="Arial"/>
          <w:sz w:val="11"/>
          <w:szCs w:val="11"/>
          <w:color w:val="auto"/>
        </w:rPr>
        <w:t>In order to continue its operations, the Company must achieve profitable operations and/or obtain additional equity or debt financing. Until the Company achieves profitability, management plans to fund its operations and capital expenditures with cash on hand, borrowings and issuance of capital stock. In March 2020 the Company completed the 2020 Private Placement which raised net proceeds of $20,300, as described below. Until the Company generates revenue at a level to support its cost structure, the Company expects to continue to incur substantial operating losses and net cash outflows from operating activities.</w:t>
      </w:r>
    </w:p>
    <w:p>
      <w:pPr>
        <w:spacing w:after="0" w:line="105" w:lineRule="exact"/>
        <w:rPr>
          <w:sz w:val="20"/>
          <w:szCs w:val="20"/>
          <w:color w:val="auto"/>
        </w:rPr>
      </w:pPr>
    </w:p>
    <w:p>
      <w:pPr>
        <w:ind w:right="80"/>
        <w:spacing w:after="0" w:line="256" w:lineRule="auto"/>
        <w:rPr>
          <w:sz w:val="20"/>
          <w:szCs w:val="20"/>
          <w:color w:val="auto"/>
        </w:rPr>
      </w:pPr>
      <w:r>
        <w:rPr>
          <w:rFonts w:ascii="Arial" w:cs="Arial" w:eastAsia="Arial" w:hAnsi="Arial"/>
          <w:sz w:val="12"/>
          <w:szCs w:val="12"/>
          <w:color w:val="auto"/>
        </w:rPr>
        <w:t>Given the COVID-19 pandemic, the Company cannot anticipate the extent to which the current economic turmoil and financial market conditions will continue to adversely impact the Company’s business and the Company may need additional capital to fund its future operations and to access the capital markets sooner than planned. There can be no assurance that the Company will be successful in raising additional capital or that such capital, if available, will be on terms that are acceptable to the Company. If the Company is unable to raise sufficient additional capital, it may be compelled to reduce the scope of its operations and planned capital expenditures or sell certain assets, including intellectual property assets. These condensed consolidated financial statements do not include any adjustments relating to the recoverability and classification of recorded assets amounts or amounts and classification of liabilities that might result from the uncertainty. Such adjustments could be material.</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Merger of the Company with Venus Concept Ltd.</w:t>
      </w:r>
    </w:p>
    <w:p>
      <w:pPr>
        <w:spacing w:after="0" w:line="154"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On November 7, 2019, the Company (formerly Restoration Robotics, Inc.), completed its business combination with Venus Concept Ltd., in accordance with the terms of the Agreement and Plan of Merger and Reorganization, dated as of March 15, 2019, as amended from time to time (the “Merger Agreement”), by and among the Company, Venus Concept Ltd. and Radiant Merger Sub Ltd., a company organized under the laws of Israel and a direct, wholly-owned subsidiary of the Company (“Merger Sub”). Under the Merger Agreement, Merger Sub merged with and into Venus Concept Ltd., with Venus Concept Ltd. surviving as a wholly owned subsidiary of the Company (the “Merger”). Following the completion of the Merger, the Company changed its corporate name to Venus Concept Inc., and the business conducted by Venus Concept Ltd. became the primary business conducted by the Company.</w:t>
      </w:r>
    </w:p>
    <w:p>
      <w:pPr>
        <w:spacing w:after="0" w:line="128" w:lineRule="exact"/>
        <w:rPr>
          <w:sz w:val="20"/>
          <w:szCs w:val="20"/>
          <w:color w:val="auto"/>
        </w:rPr>
      </w:pPr>
    </w:p>
    <w:p>
      <w:pPr>
        <w:jc w:val="center"/>
        <w:ind w:right="36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55245</wp:posOffset>
            </wp:positionV>
            <wp:extent cx="718947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920"/>
          </w:cols>
          <w:pgMar w:left="660" w:top="271" w:right="319" w:bottom="1440" w:gutter="0" w:footer="0" w:header="0"/>
        </w:sectPr>
      </w:pPr>
    </w:p>
    <w:bookmarkStart w:id="8" w:name="page9"/>
    <w:bookmarkEnd w:id="8"/>
    <w:p>
      <w:pPr>
        <w:ind w:right="100"/>
        <w:spacing w:after="0" w:line="340" w:lineRule="auto"/>
        <w:rPr>
          <w:sz w:val="20"/>
          <w:szCs w:val="20"/>
          <w:color w:val="auto"/>
        </w:rPr>
      </w:pPr>
      <w:r>
        <w:rPr>
          <w:rFonts w:ascii="Arial" w:cs="Arial" w:eastAsia="Arial" w:hAnsi="Arial"/>
          <w:sz w:val="10"/>
          <w:szCs w:val="10"/>
          <w:color w:val="auto"/>
        </w:rPr>
        <w:t>At the effective time of the Merger, each outstanding ordinary and preferred share of Venus Concept Ltd., other than shares held by Venus Concept Ltd. as treasury stock or held by the Company or Merger Sub, were converted into the right to receive 8.6506, or Exchange Ratio, validly issued, fully paid and non-assessable shares of common stock, and each outstanding stock option and warrant issued and outstanding by Venus Concept Ltd. was assumed by Restoration Robotics, Inc. and converted into and became an option or warrant (as applicable) exercisable for shares of common stock with the number and exercise price adjusted by the Exchange Ratio.</w:t>
      </w:r>
    </w:p>
    <w:p>
      <w:pPr>
        <w:spacing w:after="0" w:line="105"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The Merger was accounted for as a reverse acquisition with Venus Concept Ltd. as the acquiring company for accounting purposes, and Restoration Robotics, Inc. as the legal acquirer. As a result, upon consummation of the Merger, the historical financial statements of Venus Concept Ltd. became the historical financial statements of Venus Concept Inc.</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2020 Private Placement</w:t>
      </w:r>
    </w:p>
    <w:p>
      <w:pPr>
        <w:spacing w:after="0" w:line="154"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On March 18, 2020, the Company entered into a securities purchase agreement (the “Securities Purchase Agreement”) with certain investors (collectively, the “Investors”) pursuant to which the Company issued and sold to the Investors an aggregate of 2,300,000 shares of common stock, par value $0.0001 per share, 660,000 shares of Series A Convertible Preferred Stock, par value $0.0001 per share (the “Series A Preferred Stock”), which are convertible into 6,600,000 shares of common stock, and warrants (“the “2020 Private Placement Warrants”) to purchase up to 6,675,000 shares of common stock with an exercise price of $3.50 per share (the “2020 Private Placement”). The 2020 Private Placement Warrants have a five-year term and are exercisable beginning 181 days after their issue date. The Series A Preferred Stock will automatically convert into shares of common stock upon receipt of stockholder approval. The Series A Preferred Stock has no voting rights other than as required by law. The 2020 Private Placement was completed on March 19, 2020. The gross proceeds from the securities sold in the 2020 Private Placement was $22,250. The costs incurred with respect to the 2020 Private Placement totaled $1,950 and were recorded in the condensed consolidated statements of stockholders’ equity. The accounting effects of the 2020 Private Placement transaction are discussed in Note 12.</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150" w:lineRule="exact"/>
        <w:rPr>
          <w:sz w:val="20"/>
          <w:szCs w:val="20"/>
          <w:color w:val="auto"/>
        </w:rPr>
      </w:pPr>
    </w:p>
    <w:p>
      <w:pPr>
        <w:ind w:right="20"/>
        <w:spacing w:after="0" w:line="285" w:lineRule="auto"/>
        <w:rPr>
          <w:sz w:val="20"/>
          <w:szCs w:val="20"/>
          <w:color w:val="auto"/>
        </w:rPr>
      </w:pPr>
      <w:r>
        <w:rPr>
          <w:rFonts w:ascii="Arial" w:cs="Arial" w:eastAsia="Arial" w:hAnsi="Arial"/>
          <w:sz w:val="11"/>
          <w:szCs w:val="11"/>
          <w:color w:val="auto"/>
        </w:rPr>
        <w:t>The accompanying unaudited condensed consolidated financial statements of Venus Concept Inc. have been prepared in accordance with accounting principles generally accepted in the United States (“U.S. GAAP”) and with the instructions to Form 10-Q and Article 10 of Regulation S-X. Accordingly, they do not include all of the information and footnotes required by U.S. GAAP for complete financial statements. When used in this report, the term "the Company" means Venus Concept Inc. and its subsidiaries. In the opinion of management, all adjustments (consisting only of normal recurring adjustments) considered necessary for fair presentation have been included. Operating results for the three months ended March 31, 2020 are not necessarily indicative of the results that may be expected for the year ending December 31, 2020. For further information, refer to the consolidated financial statements and footnotes thereto included in Item 8 of the Company’s most recent Annual Report on Form 10-K.</w:t>
      </w:r>
    </w:p>
    <w:p>
      <w:pPr>
        <w:spacing w:after="0" w:line="113" w:lineRule="exact"/>
        <w:rPr>
          <w:sz w:val="20"/>
          <w:szCs w:val="20"/>
          <w:color w:val="auto"/>
        </w:rPr>
      </w:pPr>
    </w:p>
    <w:p>
      <w:pPr>
        <w:ind w:right="100"/>
        <w:spacing w:after="0" w:line="255" w:lineRule="auto"/>
        <w:rPr>
          <w:sz w:val="20"/>
          <w:szCs w:val="20"/>
          <w:color w:val="auto"/>
        </w:rPr>
      </w:pPr>
      <w:r>
        <w:rPr>
          <w:rFonts w:ascii="Arial" w:cs="Arial" w:eastAsia="Arial" w:hAnsi="Arial"/>
          <w:sz w:val="12"/>
          <w:szCs w:val="12"/>
          <w:color w:val="auto"/>
        </w:rPr>
        <w:t>The preparation of these unaudited condensed consolidated financial statements in accordance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 The Company assessed certain accounting matters that generally require consideration of forecasted financial information in context with the information reasonably available to the Company and the unknown future impacts of COVID-19 as of March 31, 2020 and through the date of this report filing. The accounting matters assessed included, but were not limited to, the allowance for doubtful accounts and the carrying value of goodwill, intangible and long-lived assets. Based on the assessment performed, the Company recorded an additional allowance for doubtful accounts of $550 (Note 5) and goodwill impairment of $27,450 (Note 7) as of March 31, 2020 and for the three months then ended.</w:t>
      </w:r>
    </w:p>
    <w:p>
      <w:pPr>
        <w:spacing w:after="0" w:line="128"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Amounts reported in thousands within this report are computed based on the amounts in dollars. As a result, the sum of the components reported in thousands may not equal the total amount reported in thousands due to rounding. Certain columns and rows within tables may not add due to the use of rounded numbers. Percentages presented are calculated from the underlying numbers in dollars.</w:t>
      </w:r>
    </w:p>
    <w:p>
      <w:pPr>
        <w:spacing w:after="0" w:line="115" w:lineRule="exact"/>
        <w:rPr>
          <w:sz w:val="20"/>
          <w:szCs w:val="20"/>
          <w:color w:val="auto"/>
        </w:rPr>
      </w:pPr>
    </w:p>
    <w:p>
      <w:pPr>
        <w:jc w:val="center"/>
        <w:ind w:right="360"/>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55245</wp:posOffset>
            </wp:positionV>
            <wp:extent cx="718947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920"/>
          </w:cols>
          <w:pgMar w:left="660" w:top="275" w:right="319" w:bottom="1440" w:gutter="0" w:footer="0" w:header="0"/>
        </w:sectPr>
      </w:pPr>
    </w:p>
    <w:bookmarkStart w:id="9" w:name="page10"/>
    <w:bookmarkEnd w:id="9"/>
    <w:p>
      <w:pPr>
        <w:spacing w:after="0"/>
        <w:rPr>
          <w:sz w:val="20"/>
          <w:szCs w:val="20"/>
          <w:color w:val="auto"/>
        </w:rPr>
      </w:pPr>
      <w:r>
        <w:rPr>
          <w:rFonts w:ascii="Arial" w:cs="Arial" w:eastAsia="Arial" w:hAnsi="Arial"/>
          <w:sz w:val="12"/>
          <w:szCs w:val="12"/>
          <w:b w:val="1"/>
          <w:bCs w:val="1"/>
          <w:i w:val="1"/>
          <w:iCs w:val="1"/>
          <w:color w:val="auto"/>
        </w:rPr>
        <w:t>Restatement of Comparative Amounts</w:t>
      </w:r>
    </w:p>
    <w:p>
      <w:pPr>
        <w:spacing w:after="0" w:line="150"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Venus Concept Ltd. previously classified the issuance of common stock and preferred stock as a credit to common stock. In accordance with U.S. GAAP, amounts issued in excess of par value are required to be accounted for in additional paid in capital (APIC). The error is a reclassification from common stock into APIC and has an overall immaterial impact on the consolidated statement of stockholders’ equity and consolidated balance sheet. Items previously reported have been reclassified to conform to U.S. GAAP and the reclassification did not have any impact on the Company’s consolidated statements of operations, consolidated statements of comprehensive loss, consolidated statements of cash flows and net loss per share calculations.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the impact of the restatement adjustments on Venus Concept Ltd.’s previously reported condensed consolidated financial statements:</w:t>
      </w:r>
    </w:p>
    <w:p>
      <w:pPr>
        <w:spacing w:after="0" w:line="137" w:lineRule="exact"/>
        <w:rPr>
          <w:sz w:val="20"/>
          <w:szCs w:val="20"/>
          <w:color w:val="auto"/>
        </w:rPr>
      </w:pPr>
    </w:p>
    <w:tbl>
      <w:tblPr>
        <w:tblLayout w:type="fixed"/>
        <w:tblInd w:w="13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77"/>
              </w:rPr>
              <w:t>As</w:t>
            </w: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99"/>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10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3"/>
              </w:rPr>
              <w:t>previously</w:t>
            </w: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gridSpan w:val="2"/>
          </w:tcPr>
          <w:p>
            <w:pPr>
              <w:jc w:val="center"/>
              <w:ind w:right="80"/>
              <w:spacing w:after="0" w:line="99" w:lineRule="exact"/>
              <w:rPr>
                <w:sz w:val="20"/>
                <w:szCs w:val="20"/>
                <w:color w:val="auto"/>
              </w:rPr>
            </w:pPr>
            <w:r>
              <w:rPr>
                <w:rFonts w:ascii="Arial" w:cs="Arial" w:eastAsia="Arial" w:hAnsi="Arial"/>
                <w:sz w:val="10"/>
                <w:szCs w:val="10"/>
                <w:b w:val="1"/>
                <w:bCs w:val="1"/>
                <w:color w:val="auto"/>
                <w:w w:val="93"/>
              </w:rPr>
              <w:t>As</w:t>
            </w:r>
          </w:p>
        </w:tc>
      </w:tr>
      <w:tr>
        <w:trPr>
          <w:trHeight w:val="113"/>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10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8"/>
              </w:rPr>
              <w:t>reported</w:t>
            </w:r>
          </w:p>
        </w:tc>
        <w:tc>
          <w:tcPr>
            <w:tcW w:w="1120" w:type="dxa"/>
            <w:vAlign w:val="bottom"/>
            <w:gridSpan w:val="2"/>
          </w:tcPr>
          <w:p>
            <w:pPr>
              <w:jc w:val="right"/>
              <w:ind w:right="420"/>
              <w:spacing w:after="0" w:line="114" w:lineRule="exact"/>
              <w:rPr>
                <w:sz w:val="20"/>
                <w:szCs w:val="20"/>
                <w:color w:val="auto"/>
              </w:rPr>
            </w:pPr>
            <w:r>
              <w:rPr>
                <w:rFonts w:ascii="Arial" w:cs="Arial" w:eastAsia="Arial" w:hAnsi="Arial"/>
                <w:sz w:val="10"/>
                <w:szCs w:val="10"/>
                <w:b w:val="1"/>
                <w:bCs w:val="1"/>
                <w:color w:val="auto"/>
              </w:rPr>
              <w:t>Adjustment</w:t>
            </w:r>
          </w:p>
        </w:tc>
        <w:tc>
          <w:tcPr>
            <w:tcW w:w="1000" w:type="dxa"/>
            <w:vAlign w:val="bottom"/>
            <w:gridSpan w:val="2"/>
          </w:tcPr>
          <w:p>
            <w:pPr>
              <w:jc w:val="center"/>
              <w:ind w:right="80"/>
              <w:spacing w:after="0" w:line="114" w:lineRule="exact"/>
              <w:rPr>
                <w:sz w:val="20"/>
                <w:szCs w:val="20"/>
                <w:color w:val="auto"/>
              </w:rPr>
            </w:pPr>
            <w:r>
              <w:rPr>
                <w:rFonts w:ascii="Arial" w:cs="Arial" w:eastAsia="Arial" w:hAnsi="Arial"/>
                <w:sz w:val="10"/>
                <w:szCs w:val="10"/>
                <w:b w:val="1"/>
                <w:bCs w:val="1"/>
                <w:color w:val="auto"/>
                <w:w w:val="82"/>
              </w:rPr>
              <w:t>restated</w:t>
            </w:r>
          </w:p>
        </w:tc>
      </w:tr>
      <w:tr>
        <w:trPr>
          <w:trHeight w:val="97"/>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920" w:type="dxa"/>
            <w:vAlign w:val="bottom"/>
            <w:tcBorders>
              <w:top w:val="single" w:sz="8" w:color="auto"/>
            </w:tcBorders>
          </w:tcPr>
          <w:p>
            <w:pPr>
              <w:jc w:val="center"/>
              <w:spacing w:after="0" w:line="97" w:lineRule="exact"/>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8"/>
                <w:szCs w:val="8"/>
                <w:color w:val="auto"/>
              </w:rPr>
            </w:pPr>
          </w:p>
        </w:tc>
        <w:tc>
          <w:tcPr>
            <w:tcW w:w="940" w:type="dxa"/>
            <w:vAlign w:val="bottom"/>
            <w:tcBorders>
              <w:top w:val="single" w:sz="8" w:color="auto"/>
            </w:tcBorders>
          </w:tcPr>
          <w:p>
            <w:pPr>
              <w:jc w:val="right"/>
              <w:ind w:right="404"/>
              <w:spacing w:after="0" w:line="97" w:lineRule="exact"/>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8"/>
                <w:szCs w:val="8"/>
                <w:color w:val="auto"/>
              </w:rPr>
            </w:pPr>
          </w:p>
        </w:tc>
        <w:tc>
          <w:tcPr>
            <w:tcW w:w="940" w:type="dxa"/>
            <w:vAlign w:val="bottom"/>
            <w:tcBorders>
              <w:top w:val="single" w:sz="8" w:color="auto"/>
            </w:tcBorders>
          </w:tcPr>
          <w:p>
            <w:pPr>
              <w:jc w:val="center"/>
              <w:spacing w:after="0" w:line="97" w:lineRule="exact"/>
              <w:rPr>
                <w:sz w:val="20"/>
                <w:szCs w:val="20"/>
                <w:color w:val="auto"/>
              </w:rPr>
            </w:pPr>
            <w:r>
              <w:rPr>
                <w:rFonts w:ascii="Arial" w:cs="Arial" w:eastAsia="Arial" w:hAnsi="Arial"/>
                <w:sz w:val="10"/>
                <w:szCs w:val="10"/>
                <w:b w:val="1"/>
                <w:bCs w:val="1"/>
                <w:color w:val="auto"/>
                <w:w w:val="71"/>
              </w:rPr>
              <w:t>$</w:t>
            </w:r>
          </w:p>
        </w:tc>
        <w:tc>
          <w:tcPr>
            <w:tcW w:w="60" w:type="dxa"/>
            <w:vAlign w:val="bottom"/>
          </w:tcPr>
          <w:p>
            <w:pPr>
              <w:spacing w:after="0"/>
              <w:rPr>
                <w:sz w:val="8"/>
                <w:szCs w:val="8"/>
                <w:color w:val="auto"/>
              </w:rPr>
            </w:pPr>
          </w:p>
        </w:tc>
      </w:tr>
      <w:tr>
        <w:trPr>
          <w:trHeight w:val="153"/>
        </w:trPr>
        <w:tc>
          <w:tcPr>
            <w:tcW w:w="20" w:type="dxa"/>
            <w:vAlign w:val="bottom"/>
          </w:tcPr>
          <w:p>
            <w:pPr>
              <w:spacing w:after="0"/>
              <w:rPr>
                <w:sz w:val="13"/>
                <w:szCs w:val="13"/>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2"/>
                <w:szCs w:val="12"/>
                <w:color w:val="auto"/>
              </w:rPr>
              <w:t>Consolidated balance sheet and consolidated statement of stockholders' equity</w:t>
            </w:r>
          </w:p>
        </w:tc>
        <w:tc>
          <w:tcPr>
            <w:tcW w:w="9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53"/>
        </w:trPr>
        <w:tc>
          <w:tcPr>
            <w:tcW w:w="4700" w:type="dxa"/>
            <w:vAlign w:val="bottom"/>
            <w:gridSpan w:val="2"/>
          </w:tcPr>
          <w:p>
            <w:pPr>
              <w:spacing w:after="0"/>
              <w:rPr>
                <w:sz w:val="20"/>
                <w:szCs w:val="20"/>
                <w:color w:val="auto"/>
              </w:rPr>
            </w:pPr>
            <w:r>
              <w:rPr>
                <w:rFonts w:ascii="Arial" w:cs="Arial" w:eastAsia="Arial" w:hAnsi="Arial"/>
                <w:sz w:val="12"/>
                <w:szCs w:val="12"/>
                <w:color w:val="auto"/>
              </w:rPr>
              <w:t>January 1, 2019</w:t>
            </w: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2"/>
                <w:szCs w:val="12"/>
                <w:color w:val="auto"/>
              </w:rPr>
              <w:t>Common Stock</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57,101</w:t>
            </w:r>
          </w:p>
        </w:tc>
        <w:tc>
          <w:tcPr>
            <w:tcW w:w="18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(57,096)</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w:t>
            </w:r>
          </w:p>
        </w:tc>
        <w:tc>
          <w:tcPr>
            <w:tcW w:w="60" w:type="dxa"/>
            <w:vAlign w:val="bottom"/>
            <w:shd w:val="clear" w:color="auto" w:fill="CFF0FC"/>
          </w:tcPr>
          <w:p>
            <w:pPr>
              <w:spacing w:after="0"/>
              <w:rPr>
                <w:sz w:val="13"/>
                <w:szCs w:val="13"/>
                <w:color w:val="auto"/>
              </w:rPr>
            </w:pPr>
          </w:p>
        </w:tc>
      </w:tr>
      <w:tr>
        <w:trPr>
          <w:trHeight w:val="153"/>
        </w:trPr>
        <w:tc>
          <w:tcPr>
            <w:tcW w:w="4700" w:type="dxa"/>
            <w:vAlign w:val="bottom"/>
            <w:gridSpan w:val="2"/>
          </w:tcPr>
          <w:p>
            <w:pPr>
              <w:spacing w:after="0"/>
              <w:rPr>
                <w:sz w:val="20"/>
                <w:szCs w:val="20"/>
                <w:color w:val="auto"/>
              </w:rPr>
            </w:pPr>
            <w:r>
              <w:rPr>
                <w:rFonts w:ascii="Arial" w:cs="Arial" w:eastAsia="Arial" w:hAnsi="Arial"/>
                <w:sz w:val="12"/>
                <w:szCs w:val="12"/>
                <w:color w:val="auto"/>
              </w:rPr>
              <w:t>Additional paid in capital</w:t>
            </w:r>
          </w:p>
        </w:tc>
        <w:tc>
          <w:tcPr>
            <w:tcW w:w="920" w:type="dxa"/>
            <w:vAlign w:val="bottom"/>
          </w:tcPr>
          <w:p>
            <w:pPr>
              <w:jc w:val="right"/>
              <w:spacing w:after="0"/>
              <w:rPr>
                <w:sz w:val="20"/>
                <w:szCs w:val="20"/>
                <w:color w:val="auto"/>
              </w:rPr>
            </w:pPr>
            <w:r>
              <w:rPr>
                <w:rFonts w:ascii="Arial" w:cs="Arial" w:eastAsia="Arial" w:hAnsi="Arial"/>
                <w:sz w:val="12"/>
                <w:szCs w:val="12"/>
                <w:color w:val="auto"/>
              </w:rPr>
              <w:t>10,399</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57,096</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67,495</w:t>
            </w:r>
          </w:p>
        </w:tc>
        <w:tc>
          <w:tcPr>
            <w:tcW w:w="6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46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53"/>
        </w:trPr>
        <w:tc>
          <w:tcPr>
            <w:tcW w:w="4700" w:type="dxa"/>
            <w:vAlign w:val="bottom"/>
            <w:gridSpan w:val="2"/>
          </w:tcPr>
          <w:p>
            <w:pPr>
              <w:spacing w:after="0"/>
              <w:rPr>
                <w:sz w:val="20"/>
                <w:szCs w:val="20"/>
                <w:color w:val="auto"/>
              </w:rPr>
            </w:pPr>
            <w:r>
              <w:rPr>
                <w:rFonts w:ascii="Arial" w:cs="Arial" w:eastAsia="Arial" w:hAnsi="Arial"/>
                <w:sz w:val="12"/>
                <w:szCs w:val="12"/>
                <w:color w:val="auto"/>
              </w:rPr>
              <w:t>March 31, 2019</w:t>
            </w: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2"/>
                <w:szCs w:val="12"/>
                <w:color w:val="auto"/>
              </w:rPr>
              <w:t>Common Stock</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57,101</w:t>
            </w:r>
          </w:p>
        </w:tc>
        <w:tc>
          <w:tcPr>
            <w:tcW w:w="18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(57,096)</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w:t>
            </w:r>
          </w:p>
        </w:tc>
        <w:tc>
          <w:tcPr>
            <w:tcW w:w="60" w:type="dxa"/>
            <w:vAlign w:val="bottom"/>
            <w:shd w:val="clear" w:color="auto" w:fill="CFF0FC"/>
          </w:tcPr>
          <w:p>
            <w:pPr>
              <w:spacing w:after="0"/>
              <w:rPr>
                <w:sz w:val="13"/>
                <w:szCs w:val="13"/>
                <w:color w:val="auto"/>
              </w:rPr>
            </w:pPr>
          </w:p>
        </w:tc>
      </w:tr>
      <w:tr>
        <w:trPr>
          <w:trHeight w:val="153"/>
        </w:trPr>
        <w:tc>
          <w:tcPr>
            <w:tcW w:w="4700" w:type="dxa"/>
            <w:vAlign w:val="bottom"/>
            <w:gridSpan w:val="2"/>
          </w:tcPr>
          <w:p>
            <w:pPr>
              <w:spacing w:after="0"/>
              <w:rPr>
                <w:sz w:val="20"/>
                <w:szCs w:val="20"/>
                <w:color w:val="auto"/>
              </w:rPr>
            </w:pPr>
            <w:r>
              <w:rPr>
                <w:rFonts w:ascii="Arial" w:cs="Arial" w:eastAsia="Arial" w:hAnsi="Arial"/>
                <w:sz w:val="12"/>
                <w:szCs w:val="12"/>
                <w:color w:val="auto"/>
              </w:rPr>
              <w:t>Additional paid in capital</w:t>
            </w:r>
          </w:p>
        </w:tc>
        <w:tc>
          <w:tcPr>
            <w:tcW w:w="920" w:type="dxa"/>
            <w:vAlign w:val="bottom"/>
          </w:tcPr>
          <w:p>
            <w:pPr>
              <w:jc w:val="right"/>
              <w:spacing w:after="0"/>
              <w:rPr>
                <w:sz w:val="20"/>
                <w:szCs w:val="20"/>
                <w:color w:val="auto"/>
              </w:rPr>
            </w:pPr>
            <w:r>
              <w:rPr>
                <w:rFonts w:ascii="Arial" w:cs="Arial" w:eastAsia="Arial" w:hAnsi="Arial"/>
                <w:sz w:val="12"/>
                <w:szCs w:val="12"/>
                <w:color w:val="auto"/>
              </w:rPr>
              <w:t>10,774</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57,096</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67,870</w:t>
            </w:r>
          </w:p>
        </w:tc>
        <w:tc>
          <w:tcPr>
            <w:tcW w:w="60" w:type="dxa"/>
            <w:vAlign w:val="bottom"/>
          </w:tcPr>
          <w:p>
            <w:pPr>
              <w:spacing w:after="0"/>
              <w:rPr>
                <w:sz w:val="13"/>
                <w:szCs w:val="13"/>
                <w:color w:val="auto"/>
              </w:rPr>
            </w:pPr>
          </w:p>
        </w:tc>
      </w:tr>
    </w:tbl>
    <w:p>
      <w:pPr>
        <w:spacing w:after="0" w:line="135"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Accounting policies</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accounting policies the Company follows are set forth in the Company’s audited consolidated financial statements for fiscal year 2019. For further information, refer to the consolidated financial statements and footnotes thereto included in Item 8 of the Company’s most recent Annual Report on Form 10-K. There have been no material changes to these accounting policies.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JOBS Act Accounting Election</w:t>
      </w:r>
    </w:p>
    <w:p>
      <w:pPr>
        <w:spacing w:after="0" w:line="168" w:lineRule="exact"/>
        <w:rPr>
          <w:sz w:val="20"/>
          <w:szCs w:val="20"/>
          <w:color w:val="auto"/>
        </w:rPr>
      </w:pPr>
    </w:p>
    <w:p>
      <w:pPr>
        <w:ind w:right="40"/>
        <w:spacing w:after="0" w:line="256" w:lineRule="auto"/>
        <w:rPr>
          <w:sz w:val="20"/>
          <w:szCs w:val="20"/>
          <w:color w:val="auto"/>
        </w:rPr>
      </w:pPr>
      <w:r>
        <w:rPr>
          <w:rFonts w:ascii="Arial" w:cs="Arial" w:eastAsia="Arial" w:hAnsi="Arial"/>
          <w:sz w:val="12"/>
          <w:szCs w:val="12"/>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Risks and Uncertainties</w:t>
      </w:r>
    </w:p>
    <w:p>
      <w:pPr>
        <w:spacing w:after="0" w:line="150"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The Company has considered the impact of the novel coronavirus (COVID-19) on its condensed consolidated financial statements. COVID-19 has had a significant negative impact on the Company’s condensed consolidated financial statements as of March 31, 2020 and for the three months then ended, and management expects it to have a future negative impact to the extent of which is uncertain and largely subject to whether the severity worsens, or duration lengthens. These impacts could include but may not be limited to risks and uncertainty related to ability of the Company’s sales and marketing personnel and distributors to access the Company’s customer base, disruptions to its global supply chain, reduced demand and/or suspension of operations by the Company’s subscription customers which could impact their ability to make monthly payments, or deferral of aesthetic or hair restoration procedures which would impact the Company’s revenues. Consequently, these may negatively impact the Company’s results of operations, cash flows and its overall financial condition. In addition, the impact of COVID-19 may subject the Company to future risk of material intangible and long-lived assets impairments, increased reserves for uncollectible accounts, and adjustments for inventory and market volatility for items subject to fair value measurements.</w:t>
      </w:r>
    </w:p>
    <w:p>
      <w:pPr>
        <w:spacing w:after="0" w:line="274" w:lineRule="exact"/>
        <w:rPr>
          <w:sz w:val="20"/>
          <w:szCs w:val="20"/>
          <w:color w:val="auto"/>
        </w:rPr>
      </w:pPr>
    </w:p>
    <w:p>
      <w:pPr>
        <w:jc w:val="center"/>
        <w:ind w:right="320"/>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55245</wp:posOffset>
            </wp:positionV>
            <wp:extent cx="718947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880"/>
          </w:cols>
          <w:pgMar w:left="660" w:top="275" w:right="359" w:bottom="1440" w:gutter="0" w:footer="0" w:header="0"/>
        </w:sectPr>
      </w:pPr>
    </w:p>
    <w:bookmarkStart w:id="10" w:name="page11"/>
    <w:bookmarkEnd w:id="10"/>
    <w:p>
      <w:pPr>
        <w:ind w:left="360"/>
        <w:spacing w:after="0"/>
        <w:rPr>
          <w:sz w:val="20"/>
          <w:szCs w:val="20"/>
          <w:color w:val="auto"/>
        </w:rPr>
      </w:pPr>
      <w:r>
        <w:rPr>
          <w:rFonts w:ascii="Arial" w:cs="Arial" w:eastAsia="Arial" w:hAnsi="Arial"/>
          <w:sz w:val="12"/>
          <w:szCs w:val="12"/>
          <w:b w:val="1"/>
          <w:bCs w:val="1"/>
          <w:i w:val="1"/>
          <w:iCs w:val="1"/>
          <w:color w:val="auto"/>
        </w:rPr>
        <w:t>Recently Issued Accounting Standards Not Yet Adopted</w:t>
      </w:r>
    </w:p>
    <w:p>
      <w:pPr>
        <w:spacing w:after="0" w:line="168" w:lineRule="exact"/>
        <w:rPr>
          <w:sz w:val="20"/>
          <w:szCs w:val="20"/>
          <w:color w:val="auto"/>
        </w:rPr>
      </w:pPr>
    </w:p>
    <w:p>
      <w:pPr>
        <w:jc w:val="both"/>
        <w:ind w:left="360" w:right="20"/>
        <w:spacing w:after="0" w:line="289" w:lineRule="auto"/>
        <w:rPr>
          <w:sz w:val="20"/>
          <w:szCs w:val="20"/>
          <w:color w:val="auto"/>
        </w:rPr>
      </w:pPr>
      <w:r>
        <w:rPr>
          <w:rFonts w:ascii="Arial" w:cs="Arial" w:eastAsia="Arial" w:hAnsi="Arial"/>
          <w:sz w:val="11"/>
          <w:szCs w:val="11"/>
          <w:color w:val="auto"/>
        </w:rPr>
        <w:t>In March 2020, the FASB issued Accounting Standards Update (“ASU”) 2020-04 - Facilitation of the Effects of Reference Rate Reform on Financial Reporting (ASC Topic 848). This authoritative guidance provides optional relief for companies preparing for the discontinuation of interest rates such as LIBOR, which is expected to be phased out at the end of calendar 2021, and applies to lease contracts, hedging instruments, held-to-maturity debt securities and debt arrangements that have LIBOR as the benchmark rate. This guidance can be applied for a limited time, as of the beginning of the interim period that includes March 12, 2020 or any date thereafter, through December 31, 2022. The guidance will no longer be available to apply after December 31, 2022. The Company is currently assessing the impact of applying this guidance as well as when to adopt this guidance.</w:t>
      </w:r>
    </w:p>
    <w:p>
      <w:pPr>
        <w:spacing w:after="0" w:line="129" w:lineRule="exact"/>
        <w:rPr>
          <w:sz w:val="20"/>
          <w:szCs w:val="20"/>
          <w:color w:val="auto"/>
        </w:rPr>
      </w:pPr>
    </w:p>
    <w:p>
      <w:pPr>
        <w:jc w:val="both"/>
        <w:ind w:left="360" w:right="20"/>
        <w:spacing w:after="0" w:line="298" w:lineRule="auto"/>
        <w:rPr>
          <w:sz w:val="20"/>
          <w:szCs w:val="20"/>
          <w:color w:val="auto"/>
        </w:rPr>
      </w:pPr>
      <w:r>
        <w:rPr>
          <w:rFonts w:ascii="Arial" w:cs="Arial" w:eastAsia="Arial" w:hAnsi="Arial"/>
          <w:sz w:val="11"/>
          <w:szCs w:val="11"/>
          <w:color w:val="auto"/>
        </w:rPr>
        <w:t>In February 2020, the FASB issued authoritative guidance (ASU 2020-02 – Financial Instruments – Credit Losses (Topic 326) and Leases (Topic 842)) that amends and clarifies Topic 326 and Topic 842. For Topic 326, the codification was updated to include the Securities and Exchange Commission staff interpretations associated with registrants engaged in lending activities. ASC Topic 326 is effective for annual periods beginning after January 1, 2023, including interim periods within those fiscal years. The Company is currently evaluating the impact of applying this guidance on its financial instruments, such as accounts receivable.</w:t>
      </w:r>
    </w:p>
    <w:p>
      <w:pPr>
        <w:spacing w:after="0" w:line="123" w:lineRule="exact"/>
        <w:rPr>
          <w:sz w:val="20"/>
          <w:szCs w:val="20"/>
          <w:color w:val="auto"/>
        </w:rPr>
      </w:pPr>
    </w:p>
    <w:p>
      <w:pPr>
        <w:ind w:left="360" w:right="100"/>
        <w:spacing w:after="0" w:line="289" w:lineRule="auto"/>
        <w:rPr>
          <w:sz w:val="20"/>
          <w:szCs w:val="20"/>
          <w:color w:val="auto"/>
        </w:rPr>
      </w:pPr>
      <w:r>
        <w:rPr>
          <w:rFonts w:ascii="Arial" w:cs="Arial" w:eastAsia="Arial" w:hAnsi="Arial"/>
          <w:sz w:val="11"/>
          <w:szCs w:val="11"/>
          <w:color w:val="auto"/>
        </w:rPr>
        <w:t>In December 2019, the FASB issued ASU 2019-12 – Income Taxes (Topic 740): Simplifying the Accounting for Income Taxes, an authoritative guidance that simplifies the accounting for income taxes by removing certain exceptions and making simplifications in other areas. It is effective from the first quarter of fiscal year 2022, with early adoption permitted in any interim period. If adopted early, the Company must adopt all the amendments in the same period. The amendments have differing adoption methods including retrospectively, prospectively and/or modified retrospective basis through a cumulative-effect adjustment to retained earnings as of the beginning of the fiscal year of adoption, depending on the specific change. The Company is currently evaluating the impact of applying this guidance and believes that it has transactions that may fall under the scope.</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auto"/>
        </w:rPr>
        <w:t>3. NET LOSS PER SHARE</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Net Loss Per Share</w:t>
      </w:r>
    </w:p>
    <w:p>
      <w:pPr>
        <w:spacing w:after="0" w:line="150" w:lineRule="exact"/>
        <w:rPr>
          <w:sz w:val="20"/>
          <w:szCs w:val="20"/>
          <w:color w:val="auto"/>
        </w:rPr>
      </w:pPr>
    </w:p>
    <w:p>
      <w:pPr>
        <w:jc w:val="both"/>
        <w:ind w:left="360" w:right="280"/>
        <w:spacing w:after="0" w:line="298" w:lineRule="auto"/>
        <w:rPr>
          <w:sz w:val="20"/>
          <w:szCs w:val="20"/>
          <w:color w:val="auto"/>
        </w:rPr>
      </w:pPr>
      <w:r>
        <w:rPr>
          <w:rFonts w:ascii="Arial" w:cs="Arial" w:eastAsia="Arial" w:hAnsi="Arial"/>
          <w:sz w:val="11"/>
          <w:szCs w:val="11"/>
          <w:color w:val="auto"/>
        </w:rPr>
        <w:t>Basic net loss per share is calculated by dividing net loss by the weighted-average number of shares of common stock outstanding during the period, without consideration for common stock equivalents. Diluted net loss per share is computed by dividing net loss by the weighted-average number of common stock equivalents outstanding for the period determined using the treasury-stock method. For purposes of this calculation, common stock warrants and stock options are considered to be common stock equivalents and are only included in the calculation of diluted net loss per share when their effect is dilutive.</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11"/>
          <w:szCs w:val="11"/>
          <w:color w:val="auto"/>
        </w:rPr>
        <w:t>The following table sets forth the computation of basic and diluted net loss and the weighted average number of shares used in computing basic and diluted net loss per share (in thousands, except per share data):</w:t>
      </w:r>
    </w:p>
    <w:p>
      <w:pPr>
        <w:spacing w:after="0" w:line="159" w:lineRule="exact"/>
        <w:rPr>
          <w:sz w:val="20"/>
          <w:szCs w:val="20"/>
          <w:color w:val="auto"/>
        </w:rPr>
      </w:pPr>
    </w:p>
    <w:p>
      <w:pPr>
        <w:jc w:val="center"/>
        <w:ind w:left="5360"/>
        <w:spacing w:after="0"/>
        <w:rPr>
          <w:sz w:val="20"/>
          <w:szCs w:val="20"/>
          <w:color w:val="auto"/>
        </w:rPr>
      </w:pPr>
      <w:r>
        <w:rPr>
          <w:rFonts w:ascii="Arial" w:cs="Arial" w:eastAsia="Arial" w:hAnsi="Arial"/>
          <w:sz w:val="10"/>
          <w:szCs w:val="10"/>
          <w:b w:val="1"/>
          <w:bCs w:val="1"/>
          <w:color w:val="auto"/>
        </w:rPr>
        <w:t>Three Months</w:t>
      </w:r>
    </w:p>
    <w:p>
      <w:pPr>
        <w:jc w:val="center"/>
        <w:ind w:left="5360"/>
        <w:spacing w:after="0" w:line="215" w:lineRule="auto"/>
        <w:rPr>
          <w:sz w:val="20"/>
          <w:szCs w:val="20"/>
          <w:color w:val="auto"/>
        </w:rPr>
      </w:pPr>
      <w:r>
        <w:rPr>
          <w:rFonts w:ascii="Arial" w:cs="Arial" w:eastAsia="Arial" w:hAnsi="Arial"/>
          <w:sz w:val="10"/>
          <w:szCs w:val="10"/>
          <w:b w:val="1"/>
          <w:bCs w:val="1"/>
          <w:color w:val="auto"/>
        </w:rPr>
        <w:t>Ended March 31</w:t>
      </w:r>
    </w:p>
    <w:tbl>
      <w:tblPr>
        <w:tblLayout w:type="fixed"/>
        <w:tblInd w:w="1680" w:type="dxa"/>
        <w:tblCellMar>
          <w:top w:w="0" w:type="dxa"/>
          <w:left w:w="0" w:type="dxa"/>
          <w:bottom w:w="0" w:type="dxa"/>
          <w:right w:w="0" w:type="dxa"/>
        </w:tblCellMar>
      </w:tblPr>
      <w:tr>
        <w:trPr>
          <w:trHeight w:val="97"/>
        </w:trPr>
        <w:tc>
          <w:tcPr>
            <w:tcW w:w="20" w:type="dxa"/>
            <w:vAlign w:val="bottom"/>
          </w:tcPr>
          <w:p>
            <w:pPr>
              <w:spacing w:after="0"/>
              <w:rPr>
                <w:sz w:val="8"/>
                <w:szCs w:val="8"/>
                <w:color w:val="auto"/>
              </w:rPr>
            </w:pPr>
          </w:p>
        </w:tc>
        <w:tc>
          <w:tcPr>
            <w:tcW w:w="5360" w:type="dxa"/>
            <w:vAlign w:val="bottom"/>
            <w:tcBorders>
              <w:bottom w:val="single" w:sz="8" w:color="CFF0FC"/>
            </w:tcBorders>
          </w:tcPr>
          <w:p>
            <w:pPr>
              <w:spacing w:after="0"/>
              <w:rPr>
                <w:sz w:val="8"/>
                <w:szCs w:val="8"/>
                <w:color w:val="auto"/>
              </w:rPr>
            </w:pPr>
          </w:p>
        </w:tc>
        <w:tc>
          <w:tcPr>
            <w:tcW w:w="80" w:type="dxa"/>
            <w:vAlign w:val="bottom"/>
            <w:tcBorders>
              <w:bottom w:val="single" w:sz="8" w:color="CFF0FC"/>
            </w:tcBorders>
          </w:tcPr>
          <w:p>
            <w:pPr>
              <w:spacing w:after="0"/>
              <w:rPr>
                <w:sz w:val="8"/>
                <w:szCs w:val="8"/>
                <w:color w:val="auto"/>
              </w:rPr>
            </w:pPr>
          </w:p>
        </w:tc>
        <w:tc>
          <w:tcPr>
            <w:tcW w:w="240" w:type="dxa"/>
            <w:vAlign w:val="bottom"/>
            <w:tcBorders>
              <w:top w:val="single" w:sz="8" w:color="auto"/>
              <w:bottom w:val="single" w:sz="8" w:color="auto"/>
            </w:tcBorders>
          </w:tcPr>
          <w:p>
            <w:pPr>
              <w:spacing w:after="0"/>
              <w:rPr>
                <w:sz w:val="8"/>
                <w:szCs w:val="8"/>
                <w:color w:val="auto"/>
              </w:rPr>
            </w:pPr>
          </w:p>
        </w:tc>
        <w:tc>
          <w:tcPr>
            <w:tcW w:w="840" w:type="dxa"/>
            <w:vAlign w:val="bottom"/>
            <w:tcBorders>
              <w:top w:val="single" w:sz="8" w:color="auto"/>
              <w:bottom w:val="single" w:sz="8" w:color="auto"/>
            </w:tcBorders>
          </w:tcPr>
          <w:p>
            <w:pPr>
              <w:jc w:val="right"/>
              <w:ind w:right="402"/>
              <w:spacing w:after="0" w:line="97" w:lineRule="exact"/>
              <w:rPr>
                <w:sz w:val="20"/>
                <w:szCs w:val="20"/>
                <w:color w:val="auto"/>
              </w:rPr>
            </w:pPr>
            <w:r>
              <w:rPr>
                <w:rFonts w:ascii="Arial" w:cs="Arial" w:eastAsia="Arial" w:hAnsi="Arial"/>
                <w:sz w:val="10"/>
                <w:szCs w:val="10"/>
                <w:b w:val="1"/>
                <w:bCs w:val="1"/>
                <w:color w:val="auto"/>
              </w:rPr>
              <w:t>2020</w:t>
            </w:r>
          </w:p>
        </w:tc>
        <w:tc>
          <w:tcPr>
            <w:tcW w:w="120" w:type="dxa"/>
            <w:vAlign w:val="bottom"/>
            <w:tcBorders>
              <w:top w:val="single" w:sz="8" w:color="auto"/>
              <w:bottom w:val="single" w:sz="8" w:color="CFF0FC"/>
            </w:tcBorders>
          </w:tcPr>
          <w:p>
            <w:pPr>
              <w:spacing w:after="0"/>
              <w:rPr>
                <w:sz w:val="8"/>
                <w:szCs w:val="8"/>
                <w:color w:val="auto"/>
              </w:rPr>
            </w:pPr>
          </w:p>
        </w:tc>
        <w:tc>
          <w:tcPr>
            <w:tcW w:w="100" w:type="dxa"/>
            <w:vAlign w:val="bottom"/>
            <w:tcBorders>
              <w:top w:val="single" w:sz="8" w:color="auto"/>
              <w:bottom w:val="single" w:sz="8" w:color="CFF0FC"/>
            </w:tcBorders>
          </w:tcPr>
          <w:p>
            <w:pPr>
              <w:spacing w:after="0"/>
              <w:rPr>
                <w:sz w:val="8"/>
                <w:szCs w:val="8"/>
                <w:color w:val="auto"/>
              </w:rPr>
            </w:pPr>
          </w:p>
        </w:tc>
        <w:tc>
          <w:tcPr>
            <w:tcW w:w="240" w:type="dxa"/>
            <w:vAlign w:val="bottom"/>
            <w:tcBorders>
              <w:top w:val="single" w:sz="8" w:color="auto"/>
              <w:bottom w:val="single" w:sz="8" w:color="auto"/>
            </w:tcBorders>
          </w:tcPr>
          <w:p>
            <w:pPr>
              <w:spacing w:after="0"/>
              <w:rPr>
                <w:sz w:val="8"/>
                <w:szCs w:val="8"/>
                <w:color w:val="auto"/>
              </w:rPr>
            </w:pPr>
          </w:p>
        </w:tc>
        <w:tc>
          <w:tcPr>
            <w:tcW w:w="920" w:type="dxa"/>
            <w:vAlign w:val="bottom"/>
            <w:tcBorders>
              <w:top w:val="single" w:sz="8" w:color="auto"/>
              <w:bottom w:val="single" w:sz="8" w:color="auto"/>
            </w:tcBorders>
          </w:tcPr>
          <w:p>
            <w:pPr>
              <w:jc w:val="right"/>
              <w:ind w:right="462"/>
              <w:spacing w:after="0" w:line="97" w:lineRule="exact"/>
              <w:rPr>
                <w:sz w:val="20"/>
                <w:szCs w:val="20"/>
                <w:color w:val="auto"/>
              </w:rPr>
            </w:pPr>
            <w:r>
              <w:rPr>
                <w:rFonts w:ascii="Arial" w:cs="Arial" w:eastAsia="Arial" w:hAnsi="Arial"/>
                <w:sz w:val="10"/>
                <w:szCs w:val="10"/>
                <w:b w:val="1"/>
                <w:bCs w:val="1"/>
                <w:color w:val="auto"/>
              </w:rPr>
              <w:t>2019</w:t>
            </w:r>
          </w:p>
        </w:tc>
      </w:tr>
      <w:tr>
        <w:trPr>
          <w:trHeight w:val="142"/>
        </w:trPr>
        <w:tc>
          <w:tcPr>
            <w:tcW w:w="20" w:type="dxa"/>
            <w:vAlign w:val="bottom"/>
          </w:tcPr>
          <w:p>
            <w:pPr>
              <w:spacing w:after="0"/>
              <w:rPr>
                <w:sz w:val="12"/>
                <w:szCs w:val="12"/>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2"/>
                <w:szCs w:val="12"/>
                <w:color w:val="auto"/>
              </w:rPr>
              <w:t>Numerator:</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tcBorders>
              <w:right w:val="single" w:sz="8" w:color="CFF0FC"/>
            </w:tcBorders>
            <w:shd w:val="clear" w:color="auto" w:fill="CFF0FC"/>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5360" w:type="dxa"/>
            <w:vAlign w:val="bottom"/>
          </w:tcPr>
          <w:p>
            <w:pPr>
              <w:ind w:left="160"/>
              <w:spacing w:after="0"/>
              <w:rPr>
                <w:sz w:val="20"/>
                <w:szCs w:val="20"/>
                <w:color w:val="auto"/>
              </w:rPr>
            </w:pPr>
            <w:r>
              <w:rPr>
                <w:rFonts w:ascii="Arial" w:cs="Arial" w:eastAsia="Arial" w:hAnsi="Arial"/>
                <w:sz w:val="12"/>
                <w:szCs w:val="12"/>
                <w:color w:val="auto"/>
              </w:rPr>
              <w:t>Net loss</w:t>
            </w:r>
          </w:p>
        </w:tc>
        <w:tc>
          <w:tcPr>
            <w:tcW w:w="3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(50,703)</w:t>
            </w:r>
          </w:p>
        </w:tc>
        <w:tc>
          <w:tcPr>
            <w:tcW w:w="3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(5,105)</w:t>
            </w:r>
          </w:p>
        </w:tc>
      </w:tr>
      <w:tr>
        <w:trPr>
          <w:trHeight w:val="153"/>
        </w:trPr>
        <w:tc>
          <w:tcPr>
            <w:tcW w:w="20" w:type="dxa"/>
            <w:vAlign w:val="bottom"/>
          </w:tcPr>
          <w:p>
            <w:pPr>
              <w:spacing w:after="0"/>
              <w:rPr>
                <w:sz w:val="13"/>
                <w:szCs w:val="13"/>
                <w:color w:val="auto"/>
              </w:rPr>
            </w:pPr>
          </w:p>
        </w:tc>
        <w:tc>
          <w:tcPr>
            <w:tcW w:w="53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Net loss allocated to stockholders of the Company</w:t>
            </w: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(50,190)</w:t>
            </w: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(5,273)</w:t>
            </w:r>
          </w:p>
        </w:tc>
      </w:tr>
      <w:tr>
        <w:trPr>
          <w:trHeight w:val="142"/>
        </w:trPr>
        <w:tc>
          <w:tcPr>
            <w:tcW w:w="5380" w:type="dxa"/>
            <w:vAlign w:val="bottom"/>
            <w:gridSpan w:val="2"/>
          </w:tcPr>
          <w:p>
            <w:pPr>
              <w:spacing w:after="0"/>
              <w:rPr>
                <w:sz w:val="20"/>
                <w:szCs w:val="20"/>
                <w:color w:val="auto"/>
              </w:rPr>
            </w:pPr>
            <w:r>
              <w:rPr>
                <w:rFonts w:ascii="Arial" w:cs="Arial" w:eastAsia="Arial" w:hAnsi="Arial"/>
                <w:sz w:val="12"/>
                <w:szCs w:val="12"/>
                <w:color w:val="auto"/>
              </w:rPr>
              <w:t>Denominator:</w:t>
            </w: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2"/>
                <w:szCs w:val="12"/>
                <w:color w:val="auto"/>
                <w:w w:val="90"/>
              </w:rPr>
              <w:t>Weighted-average shares of common stock outstanding used in computing net loss per share, basic and diluted</w:t>
            </w:r>
          </w:p>
        </w:tc>
        <w:tc>
          <w:tcPr>
            <w:tcW w:w="8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29,812</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right w:val="single" w:sz="8" w:color="CFF0FC"/>
            </w:tcBorders>
            <w:shd w:val="clear" w:color="auto" w:fill="CFF0FC"/>
          </w:tcPr>
          <w:p>
            <w:pPr>
              <w:jc w:val="right"/>
              <w:ind w:right="22"/>
              <w:spacing w:after="0"/>
              <w:rPr>
                <w:sz w:val="20"/>
                <w:szCs w:val="20"/>
                <w:color w:val="auto"/>
              </w:rPr>
            </w:pPr>
            <w:r>
              <w:rPr>
                <w:rFonts w:ascii="Arial" w:cs="Arial" w:eastAsia="Arial" w:hAnsi="Arial"/>
                <w:sz w:val="12"/>
                <w:szCs w:val="12"/>
                <w:color w:val="auto"/>
              </w:rPr>
              <w:t>4,776</w:t>
            </w:r>
          </w:p>
        </w:tc>
      </w:tr>
      <w:tr>
        <w:trPr>
          <w:trHeight w:val="142"/>
        </w:trPr>
        <w:tc>
          <w:tcPr>
            <w:tcW w:w="5380" w:type="dxa"/>
            <w:vAlign w:val="bottom"/>
            <w:gridSpan w:val="2"/>
          </w:tcPr>
          <w:p>
            <w:pPr>
              <w:spacing w:after="0"/>
              <w:rPr>
                <w:sz w:val="20"/>
                <w:szCs w:val="20"/>
                <w:color w:val="auto"/>
              </w:rPr>
            </w:pPr>
            <w:r>
              <w:rPr>
                <w:rFonts w:ascii="Arial" w:cs="Arial" w:eastAsia="Arial" w:hAnsi="Arial"/>
                <w:sz w:val="12"/>
                <w:szCs w:val="12"/>
                <w:color w:val="auto"/>
              </w:rPr>
              <w:t>Net loss per share:</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53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Basic and diluted</w:t>
            </w: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(1.68)</w:t>
            </w: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(1.10)</w:t>
            </w:r>
          </w:p>
        </w:tc>
      </w:tr>
      <w:tr>
        <w:trPr>
          <w:trHeight w:val="27"/>
        </w:trPr>
        <w:tc>
          <w:tcPr>
            <w:tcW w:w="20" w:type="dxa"/>
            <w:vAlign w:val="bottom"/>
          </w:tcPr>
          <w:p>
            <w:pPr>
              <w:spacing w:after="0"/>
              <w:rPr>
                <w:sz w:val="2"/>
                <w:szCs w:val="2"/>
                <w:color w:val="auto"/>
              </w:rPr>
            </w:pPr>
          </w:p>
        </w:tc>
        <w:tc>
          <w:tcPr>
            <w:tcW w:w="53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FF0FC"/>
            </w:tcBorders>
            <w:shd w:val="clear" w:color="auto" w:fill="000000"/>
          </w:tcPr>
          <w:p>
            <w:pPr>
              <w:spacing w:after="0"/>
              <w:rPr>
                <w:sz w:val="2"/>
                <w:szCs w:val="2"/>
                <w:color w:val="auto"/>
              </w:rPr>
            </w:pPr>
          </w:p>
        </w:tc>
      </w:tr>
    </w:tbl>
    <w:p>
      <w:pPr>
        <w:spacing w:after="0" w:line="135" w:lineRule="exact"/>
        <w:rPr>
          <w:sz w:val="20"/>
          <w:szCs w:val="20"/>
          <w:color w:val="auto"/>
        </w:rPr>
      </w:pPr>
    </w:p>
    <w:p>
      <w:pPr>
        <w:ind w:left="360" w:right="180"/>
        <w:spacing w:after="0" w:line="276" w:lineRule="auto"/>
        <w:rPr>
          <w:sz w:val="20"/>
          <w:szCs w:val="20"/>
          <w:color w:val="auto"/>
        </w:rPr>
      </w:pPr>
      <w:r>
        <w:rPr>
          <w:rFonts w:ascii="Arial" w:cs="Arial" w:eastAsia="Arial" w:hAnsi="Arial"/>
          <w:sz w:val="12"/>
          <w:szCs w:val="12"/>
          <w:color w:val="auto"/>
        </w:rPr>
        <w:t>Due to the net loss, all the outstanding shares of common stock equivalents were excluded from the calculation of diluted net loss per share attributable to common stockholders for the three months ended March 31, 2020 and 2019, respectively, because including them would have been antidilutive: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7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160" w:type="dxa"/>
            <w:vAlign w:val="bottom"/>
            <w:gridSpan w:val="2"/>
          </w:tcPr>
          <w:p>
            <w:pPr>
              <w:ind w:left="320"/>
              <w:spacing w:after="0"/>
              <w:rPr>
                <w:sz w:val="20"/>
                <w:szCs w:val="20"/>
                <w:color w:val="auto"/>
              </w:rPr>
            </w:pPr>
            <w:r>
              <w:rPr>
                <w:rFonts w:ascii="Arial" w:cs="Arial" w:eastAsia="Arial" w:hAnsi="Arial"/>
                <w:sz w:val="10"/>
                <w:szCs w:val="10"/>
                <w:b w:val="1"/>
                <w:bCs w:val="1"/>
                <w:color w:val="auto"/>
              </w:rPr>
              <w:t>March 31,</w:t>
            </w:r>
          </w:p>
        </w:tc>
        <w:tc>
          <w:tcPr>
            <w:tcW w:w="140" w:type="dxa"/>
            <w:vAlign w:val="bottom"/>
          </w:tcPr>
          <w:p>
            <w:pPr>
              <w:spacing w:after="0"/>
              <w:rPr>
                <w:sz w:val="10"/>
                <w:szCs w:val="10"/>
                <w:color w:val="auto"/>
              </w:rPr>
            </w:pPr>
          </w:p>
        </w:tc>
        <w:tc>
          <w:tcPr>
            <w:tcW w:w="1160" w:type="dxa"/>
            <w:vAlign w:val="bottom"/>
          </w:tcPr>
          <w:p>
            <w:pPr>
              <w:jc w:val="right"/>
              <w:ind w:right="366"/>
              <w:spacing w:after="0"/>
              <w:rPr>
                <w:sz w:val="20"/>
                <w:szCs w:val="20"/>
                <w:color w:val="auto"/>
              </w:rPr>
            </w:pPr>
            <w:r>
              <w:rPr>
                <w:rFonts w:ascii="Arial" w:cs="Arial" w:eastAsia="Arial" w:hAnsi="Arial"/>
                <w:sz w:val="10"/>
                <w:szCs w:val="10"/>
                <w:b w:val="1"/>
                <w:bCs w:val="1"/>
                <w:color w:val="auto"/>
              </w:rPr>
              <w:t>March 31,</w:t>
            </w: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480" w:type="dxa"/>
            <w:vAlign w:val="bottom"/>
            <w:gridSpan w:val="2"/>
            <w:vMerge w:val="restart"/>
          </w:tcPr>
          <w:p>
            <w:pPr>
              <w:ind w:left="1680"/>
              <w:spacing w:after="0"/>
              <w:rPr>
                <w:sz w:val="20"/>
                <w:szCs w:val="20"/>
                <w:color w:val="auto"/>
              </w:rPr>
            </w:pPr>
            <w:r>
              <w:rPr>
                <w:rFonts w:ascii="Arial" w:cs="Arial" w:eastAsia="Arial" w:hAnsi="Arial"/>
                <w:sz w:val="12"/>
                <w:szCs w:val="12"/>
                <w:color w:val="auto"/>
              </w:rPr>
              <w:t>Options to purchase common stock</w:t>
            </w:r>
          </w:p>
        </w:tc>
        <w:tc>
          <w:tcPr>
            <w:tcW w:w="2660" w:type="dxa"/>
            <w:vAlign w:val="bottom"/>
          </w:tcPr>
          <w:p>
            <w:pPr>
              <w:spacing w:after="0"/>
              <w:rPr>
                <w:sz w:val="9"/>
                <w:szCs w:val="9"/>
                <w:color w:val="auto"/>
              </w:rPr>
            </w:pPr>
          </w:p>
        </w:tc>
        <w:tc>
          <w:tcPr>
            <w:tcW w:w="1080" w:type="dxa"/>
            <w:vAlign w:val="bottom"/>
            <w:tcBorders>
              <w:bottom w:val="single" w:sz="8" w:color="auto"/>
            </w:tcBorders>
          </w:tcPr>
          <w:p>
            <w:pPr>
              <w:jc w:val="right"/>
              <w:ind w:right="408"/>
              <w:spacing w:after="0" w:line="114" w:lineRule="exact"/>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Borders>
              <w:bottom w:val="single" w:sz="8" w:color="auto"/>
            </w:tcBorders>
          </w:tcPr>
          <w:p>
            <w:pPr>
              <w:jc w:val="right"/>
              <w:ind w:right="466"/>
              <w:spacing w:after="0" w:line="114" w:lineRule="exact"/>
              <w:rPr>
                <w:sz w:val="20"/>
                <w:szCs w:val="20"/>
                <w:color w:val="auto"/>
              </w:rPr>
            </w:pPr>
            <w:r>
              <w:rPr>
                <w:rFonts w:ascii="Arial" w:cs="Arial" w:eastAsia="Arial" w:hAnsi="Arial"/>
                <w:sz w:val="10"/>
                <w:szCs w:val="10"/>
                <w:b w:val="1"/>
                <w:bCs w:val="1"/>
                <w:color w:val="auto"/>
              </w:rPr>
              <w:t>2019</w:t>
            </w: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480" w:type="dxa"/>
            <w:vAlign w:val="bottom"/>
            <w:gridSpan w:val="2"/>
            <w:vMerge w:val="continue"/>
          </w:tcPr>
          <w:p>
            <w:pPr>
              <w:spacing w:after="0"/>
              <w:rPr>
                <w:sz w:val="12"/>
                <w:szCs w:val="12"/>
                <w:color w:val="auto"/>
              </w:rPr>
            </w:pPr>
          </w:p>
        </w:tc>
        <w:tc>
          <w:tcPr>
            <w:tcW w:w="3740" w:type="dxa"/>
            <w:vAlign w:val="bottom"/>
            <w:gridSpan w:val="2"/>
          </w:tcPr>
          <w:p>
            <w:pPr>
              <w:jc w:val="right"/>
              <w:spacing w:after="0"/>
              <w:rPr>
                <w:sz w:val="20"/>
                <w:szCs w:val="20"/>
                <w:color w:val="auto"/>
              </w:rPr>
            </w:pPr>
            <w:r>
              <w:rPr>
                <w:rFonts w:ascii="Arial" w:cs="Arial" w:eastAsia="Arial" w:hAnsi="Arial"/>
                <w:sz w:val="12"/>
                <w:szCs w:val="12"/>
                <w:color w:val="auto"/>
              </w:rPr>
              <w:t>2,730,791</w:t>
            </w:r>
          </w:p>
        </w:tc>
        <w:tc>
          <w:tcPr>
            <w:tcW w:w="80" w:type="dxa"/>
            <w:vAlign w:val="bottom"/>
          </w:tcPr>
          <w:p>
            <w:pPr>
              <w:spacing w:after="0"/>
              <w:rPr>
                <w:sz w:val="12"/>
                <w:szCs w:val="12"/>
                <w:color w:val="auto"/>
              </w:rPr>
            </w:pPr>
          </w:p>
        </w:tc>
        <w:tc>
          <w:tcPr>
            <w:tcW w:w="1300" w:type="dxa"/>
            <w:vAlign w:val="bottom"/>
            <w:gridSpan w:val="2"/>
          </w:tcPr>
          <w:p>
            <w:pPr>
              <w:jc w:val="right"/>
              <w:ind w:right="26"/>
              <w:spacing w:after="0"/>
              <w:rPr>
                <w:sz w:val="20"/>
                <w:szCs w:val="20"/>
                <w:color w:val="auto"/>
              </w:rPr>
            </w:pPr>
            <w:r>
              <w:rPr>
                <w:rFonts w:ascii="Arial" w:cs="Arial" w:eastAsia="Arial" w:hAnsi="Arial"/>
                <w:sz w:val="12"/>
                <w:szCs w:val="12"/>
                <w:color w:val="auto"/>
              </w:rPr>
              <w:t>3,269,926</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2"/>
                <w:szCs w:val="12"/>
                <w:color w:val="auto"/>
              </w:rPr>
              <w:t>Preferred stock</w:t>
            </w:r>
          </w:p>
        </w:tc>
        <w:tc>
          <w:tcPr>
            <w:tcW w:w="3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660,000</w:t>
            </w:r>
          </w:p>
        </w:tc>
        <w:tc>
          <w:tcPr>
            <w:tcW w:w="80" w:type="dxa"/>
            <w:vAlign w:val="bottom"/>
            <w:shd w:val="clear" w:color="auto" w:fill="CFF0FC"/>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Borders>
              <w:right w:val="single" w:sz="8" w:color="CFF0FC"/>
            </w:tcBorders>
            <w:shd w:val="clear" w:color="auto" w:fill="CFF0FC"/>
          </w:tcPr>
          <w:p>
            <w:pPr>
              <w:jc w:val="right"/>
              <w:ind w:right="26"/>
              <w:spacing w:after="0"/>
              <w:rPr>
                <w:sz w:val="20"/>
                <w:szCs w:val="20"/>
                <w:color w:val="auto"/>
              </w:rPr>
            </w:pPr>
            <w:r>
              <w:rPr>
                <w:rFonts w:ascii="Arial" w:cs="Arial" w:eastAsia="Arial" w:hAnsi="Arial"/>
                <w:sz w:val="12"/>
                <w:szCs w:val="12"/>
                <w:color w:val="auto"/>
              </w:rPr>
              <w:t>9,216,413</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80" w:type="dxa"/>
            <w:vAlign w:val="bottom"/>
            <w:gridSpan w:val="2"/>
          </w:tcPr>
          <w:p>
            <w:pPr>
              <w:ind w:left="1680"/>
              <w:spacing w:after="0"/>
              <w:rPr>
                <w:sz w:val="20"/>
                <w:szCs w:val="20"/>
                <w:color w:val="auto"/>
              </w:rPr>
            </w:pPr>
            <w:r>
              <w:rPr>
                <w:rFonts w:ascii="Arial" w:cs="Arial" w:eastAsia="Arial" w:hAnsi="Arial"/>
                <w:sz w:val="12"/>
                <w:szCs w:val="12"/>
                <w:color w:val="auto"/>
              </w:rPr>
              <w:t>Warrants for common stock</w:t>
            </w:r>
          </w:p>
        </w:tc>
        <w:tc>
          <w:tcPr>
            <w:tcW w:w="3740" w:type="dxa"/>
            <w:vAlign w:val="bottom"/>
            <w:gridSpan w:val="2"/>
          </w:tcPr>
          <w:p>
            <w:pPr>
              <w:jc w:val="right"/>
              <w:spacing w:after="0"/>
              <w:rPr>
                <w:sz w:val="20"/>
                <w:szCs w:val="20"/>
                <w:color w:val="auto"/>
              </w:rPr>
            </w:pPr>
            <w:r>
              <w:rPr>
                <w:rFonts w:ascii="Arial" w:cs="Arial" w:eastAsia="Arial" w:hAnsi="Arial"/>
                <w:sz w:val="12"/>
                <w:szCs w:val="12"/>
                <w:color w:val="auto"/>
              </w:rPr>
              <w:t>10,665,067</w:t>
            </w:r>
          </w:p>
        </w:tc>
        <w:tc>
          <w:tcPr>
            <w:tcW w:w="80" w:type="dxa"/>
            <w:vAlign w:val="bottom"/>
          </w:tcPr>
          <w:p>
            <w:pPr>
              <w:spacing w:after="0"/>
              <w:rPr>
                <w:sz w:val="13"/>
                <w:szCs w:val="13"/>
                <w:color w:val="auto"/>
              </w:rPr>
            </w:pPr>
          </w:p>
        </w:tc>
        <w:tc>
          <w:tcPr>
            <w:tcW w:w="1300" w:type="dxa"/>
            <w:vAlign w:val="bottom"/>
            <w:gridSpan w:val="2"/>
          </w:tcPr>
          <w:p>
            <w:pPr>
              <w:jc w:val="right"/>
              <w:ind w:right="26"/>
              <w:spacing w:after="0"/>
              <w:rPr>
                <w:sz w:val="20"/>
                <w:szCs w:val="20"/>
                <w:color w:val="auto"/>
              </w:rPr>
            </w:pPr>
            <w:r>
              <w:rPr>
                <w:rFonts w:ascii="Arial" w:cs="Arial" w:eastAsia="Arial" w:hAnsi="Arial"/>
                <w:sz w:val="12"/>
                <w:szCs w:val="12"/>
                <w:color w:val="auto"/>
              </w:rPr>
              <w:t>179,932</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2780" w:type="dxa"/>
            <w:vAlign w:val="bottom"/>
            <w:tcBorders>
              <w:top w:val="single" w:sz="8" w:color="CFF0FC"/>
              <w:bottom w:val="single" w:sz="8" w:color="CFF0FC"/>
            </w:tcBorders>
            <w:shd w:val="clear" w:color="auto" w:fill="CFF0FC"/>
          </w:tcPr>
          <w:p>
            <w:pPr>
              <w:ind w:left="80"/>
              <w:spacing w:after="0"/>
              <w:rPr>
                <w:sz w:val="20"/>
                <w:szCs w:val="20"/>
                <w:color w:val="auto"/>
              </w:rPr>
            </w:pPr>
            <w:r>
              <w:rPr>
                <w:rFonts w:ascii="Arial" w:cs="Arial" w:eastAsia="Arial" w:hAnsi="Arial"/>
                <w:sz w:val="12"/>
                <w:szCs w:val="12"/>
                <w:color w:val="auto"/>
              </w:rPr>
              <w:t>Total potential dilutive shares</w:t>
            </w:r>
          </w:p>
        </w:tc>
        <w:tc>
          <w:tcPr>
            <w:tcW w:w="2660" w:type="dxa"/>
            <w:vAlign w:val="bottom"/>
            <w:tcBorders>
              <w:top w:val="single" w:sz="8" w:color="CFF0FC"/>
              <w:bottom w:val="single" w:sz="8" w:color="CFF0FC"/>
            </w:tcBorders>
            <w:shd w:val="clear" w:color="auto" w:fill="CFF0FC"/>
          </w:tcPr>
          <w:p>
            <w:pPr>
              <w:spacing w:after="0"/>
              <w:rPr>
                <w:sz w:val="14"/>
                <w:szCs w:val="14"/>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14,055,858</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Borders>
              <w:top w:val="single" w:sz="8" w:color="auto"/>
              <w:bottom w:val="single" w:sz="8" w:color="auto"/>
              <w:right w:val="single" w:sz="8" w:color="CFF0FC"/>
            </w:tcBorders>
            <w:shd w:val="clear" w:color="auto" w:fill="CFF0FC"/>
          </w:tcPr>
          <w:p>
            <w:pPr>
              <w:jc w:val="right"/>
              <w:ind w:right="26"/>
              <w:spacing w:after="0"/>
              <w:rPr>
                <w:sz w:val="20"/>
                <w:szCs w:val="20"/>
                <w:color w:val="auto"/>
              </w:rPr>
            </w:pPr>
            <w:r>
              <w:rPr>
                <w:rFonts w:ascii="Arial" w:cs="Arial" w:eastAsia="Arial" w:hAnsi="Arial"/>
                <w:sz w:val="12"/>
                <w:szCs w:val="12"/>
                <w:color w:val="auto"/>
              </w:rPr>
              <w:t>12,666,271</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7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60" w:type="dxa"/>
            <w:vAlign w:val="bottom"/>
          </w:tcPr>
          <w:p>
            <w:pPr>
              <w:jc w:val="right"/>
              <w:ind w:right="1380"/>
              <w:spacing w:after="0"/>
              <w:rPr>
                <w:sz w:val="20"/>
                <w:szCs w:val="20"/>
                <w:color w:val="auto"/>
              </w:rPr>
            </w:pPr>
            <w:r>
              <w:rPr>
                <w:rFonts w:ascii="Arial" w:cs="Arial" w:eastAsia="Arial" w:hAnsi="Arial"/>
                <w:sz w:val="12"/>
                <w:szCs w:val="12"/>
                <w:color w:val="auto"/>
              </w:rPr>
              <w:t>10</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700" w:type="dxa"/>
            <w:vAlign w:val="bottom"/>
            <w:tcBorders>
              <w:bottom w:val="single" w:sz="8" w:color="9A9A9A"/>
            </w:tcBorders>
          </w:tcPr>
          <w:p>
            <w:pPr>
              <w:spacing w:after="0"/>
              <w:rPr>
                <w:sz w:val="6"/>
                <w:szCs w:val="6"/>
                <w:color w:val="auto"/>
              </w:rPr>
            </w:pPr>
          </w:p>
        </w:tc>
        <w:tc>
          <w:tcPr>
            <w:tcW w:w="2780" w:type="dxa"/>
            <w:vAlign w:val="bottom"/>
            <w:tcBorders>
              <w:bottom w:val="single" w:sz="8" w:color="9A9A9A"/>
            </w:tcBorders>
          </w:tcPr>
          <w:p>
            <w:pPr>
              <w:spacing w:after="0"/>
              <w:rPr>
                <w:sz w:val="6"/>
                <w:szCs w:val="6"/>
                <w:color w:val="auto"/>
              </w:rPr>
            </w:pPr>
          </w:p>
        </w:tc>
        <w:tc>
          <w:tcPr>
            <w:tcW w:w="26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75" w:right="279" w:bottom="1440" w:gutter="0" w:footer="0" w:header="0"/>
        </w:sectPr>
      </w:pPr>
    </w:p>
    <w:bookmarkStart w:id="11" w:name="page12"/>
    <w:bookmarkEnd w:id="11"/>
    <w:p>
      <w:pPr>
        <w:ind w:left="360"/>
        <w:spacing w:after="0"/>
        <w:rPr>
          <w:sz w:val="20"/>
          <w:szCs w:val="20"/>
          <w:color w:val="auto"/>
        </w:rPr>
      </w:pPr>
      <w:r>
        <w:rPr>
          <w:rFonts w:ascii="Arial" w:cs="Arial" w:eastAsia="Arial" w:hAnsi="Arial"/>
          <w:sz w:val="12"/>
          <w:szCs w:val="12"/>
          <w:b w:val="1"/>
          <w:bCs w:val="1"/>
          <w:color w:val="auto"/>
        </w:rPr>
        <w:t>4. FAIR VALUE MEASUREMENTS</w:t>
      </w:r>
    </w:p>
    <w:p>
      <w:pPr>
        <w:spacing w:after="0" w:line="154" w:lineRule="exact"/>
        <w:rPr>
          <w:sz w:val="20"/>
          <w:szCs w:val="20"/>
          <w:color w:val="auto"/>
        </w:rPr>
      </w:pPr>
    </w:p>
    <w:p>
      <w:pPr>
        <w:ind w:left="360" w:right="220"/>
        <w:spacing w:after="0" w:line="276" w:lineRule="auto"/>
        <w:rPr>
          <w:sz w:val="20"/>
          <w:szCs w:val="20"/>
          <w:color w:val="auto"/>
        </w:rPr>
      </w:pPr>
      <w:r>
        <w:rPr>
          <w:rFonts w:ascii="Arial" w:cs="Arial" w:eastAsia="Arial" w:hAnsi="Arial"/>
          <w:sz w:val="12"/>
          <w:szCs w:val="12"/>
          <w:color w:val="auto"/>
        </w:rPr>
        <w:t>Financial assets and financial liabilities are initially recognized at fair value when the Company becomes a party to the contractual provision of the financial instrument. Subsequently, all financial instruments are measured at amortized cost using the effective interest method.</w:t>
      </w:r>
    </w:p>
    <w:p>
      <w:pPr>
        <w:spacing w:after="0" w:line="115" w:lineRule="exact"/>
        <w:rPr>
          <w:sz w:val="20"/>
          <w:szCs w:val="20"/>
          <w:color w:val="auto"/>
        </w:rPr>
      </w:pPr>
    </w:p>
    <w:p>
      <w:pPr>
        <w:ind w:left="360" w:right="200"/>
        <w:spacing w:after="0" w:line="276" w:lineRule="auto"/>
        <w:rPr>
          <w:sz w:val="20"/>
          <w:szCs w:val="20"/>
          <w:color w:val="auto"/>
        </w:rPr>
      </w:pPr>
      <w:r>
        <w:rPr>
          <w:rFonts w:ascii="Arial" w:cs="Arial" w:eastAsia="Arial" w:hAnsi="Arial"/>
          <w:sz w:val="12"/>
          <w:szCs w:val="12"/>
          <w:color w:val="auto"/>
        </w:rPr>
        <w:t>The financial instruments of the Company consist of cash and cash equivalents, restricted cash, accounts receivable, long-term receivables, line of credit, trade payables, accrued expenses and other current liabilities, earn-out liability, other long-term liabilities and long-term debt. In view of their nature, the fair value of most of the financial instruments approximates their carrying amounts.</w:t>
      </w:r>
    </w:p>
    <w:p>
      <w:pPr>
        <w:spacing w:after="0" w:line="115" w:lineRule="exact"/>
        <w:rPr>
          <w:sz w:val="20"/>
          <w:szCs w:val="20"/>
          <w:color w:val="auto"/>
        </w:rPr>
      </w:pPr>
    </w:p>
    <w:p>
      <w:pPr>
        <w:ind w:left="360" w:right="440"/>
        <w:spacing w:after="0" w:line="323" w:lineRule="auto"/>
        <w:rPr>
          <w:sz w:val="20"/>
          <w:szCs w:val="20"/>
          <w:color w:val="auto"/>
        </w:rPr>
      </w:pPr>
      <w:r>
        <w:rPr>
          <w:rFonts w:ascii="Arial" w:cs="Arial" w:eastAsia="Arial" w:hAnsi="Arial"/>
          <w:sz w:val="11"/>
          <w:szCs w:val="11"/>
          <w:color w:val="auto"/>
        </w:rPr>
        <w:t>The Company measures the fair value of its financial assets and liabilities using the fair value hierarchy. A financial instrument’s classification within the fair value hierarchy is based upon the lowest level of input that is significant to the fair value measurement. The accounting guidance establishes a three-tiered hierarchy, which prioritizes the inputs used in the valuation methodologies in measuring fair value:</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 xml:space="preserve">Level 1 </w:t>
      </w:r>
      <w:r>
        <w:rPr>
          <w:rFonts w:ascii="Arial" w:cs="Arial" w:eastAsia="Arial" w:hAnsi="Arial"/>
          <w:sz w:val="12"/>
          <w:szCs w:val="12"/>
          <w:color w:val="auto"/>
        </w:rPr>
        <w:t>- Quoted prices in active markets for identical assets or liabilities.</w:t>
      </w:r>
    </w:p>
    <w:p>
      <w:pPr>
        <w:spacing w:after="0" w:line="150" w:lineRule="exact"/>
        <w:rPr>
          <w:sz w:val="20"/>
          <w:szCs w:val="20"/>
          <w:color w:val="auto"/>
        </w:rPr>
      </w:pPr>
    </w:p>
    <w:p>
      <w:pPr>
        <w:ind w:left="360" w:right="240"/>
        <w:spacing w:after="0" w:line="276" w:lineRule="auto"/>
        <w:rPr>
          <w:sz w:val="20"/>
          <w:szCs w:val="20"/>
          <w:color w:val="auto"/>
        </w:rPr>
      </w:pPr>
      <w:r>
        <w:rPr>
          <w:rFonts w:ascii="Arial" w:cs="Arial" w:eastAsia="Arial" w:hAnsi="Arial"/>
          <w:sz w:val="12"/>
          <w:szCs w:val="12"/>
          <w:i w:val="1"/>
          <w:iCs w:val="1"/>
          <w:color w:val="auto"/>
        </w:rPr>
        <w:t xml:space="preserve">Level 2 </w:t>
      </w:r>
      <w:r>
        <w:rPr>
          <w:rFonts w:ascii="Arial" w:cs="Arial" w:eastAsia="Arial" w:hAnsi="Arial"/>
          <w:sz w:val="12"/>
          <w:szCs w:val="12"/>
          <w:color w:val="auto"/>
        </w:rPr>
        <w:t>- Inputs other than Level 1 that are observable, either directly or indirectly, such as quoted prices in markets that are not active, or other inputs that are observable or can be corroborated by observable market data for</w:t>
      </w:r>
      <w:r>
        <w:rPr>
          <w:rFonts w:ascii="Arial" w:cs="Arial" w:eastAsia="Arial" w:hAnsi="Arial"/>
          <w:sz w:val="12"/>
          <w:szCs w:val="12"/>
          <w:i w:val="1"/>
          <w:iCs w:val="1"/>
          <w:color w:val="auto"/>
        </w:rPr>
        <w:t xml:space="preserve"> </w:t>
      </w:r>
      <w:r>
        <w:rPr>
          <w:rFonts w:ascii="Arial" w:cs="Arial" w:eastAsia="Arial" w:hAnsi="Arial"/>
          <w:sz w:val="12"/>
          <w:szCs w:val="12"/>
          <w:color w:val="auto"/>
        </w:rPr>
        <w:t>substantially the full term of the assets or liabilities.</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 xml:space="preserve">Level 3 </w:t>
      </w:r>
      <w:r>
        <w:rPr>
          <w:rFonts w:ascii="Arial" w:cs="Arial" w:eastAsia="Arial" w:hAnsi="Arial"/>
          <w:sz w:val="12"/>
          <w:szCs w:val="12"/>
          <w:color w:val="auto"/>
        </w:rPr>
        <w:t>- Unobservable inputs that are supported by little or no market activity and that are significant to the fair value of the assets or liabilities.</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categorization of a financial instrument within the valuation hierarchy is based on the lowest level of input that is significant to the fair value measurement.</w:t>
      </w:r>
    </w:p>
    <w:p>
      <w:pPr>
        <w:spacing w:after="0" w:line="150" w:lineRule="exact"/>
        <w:rPr>
          <w:sz w:val="20"/>
          <w:szCs w:val="20"/>
          <w:color w:val="auto"/>
        </w:rPr>
      </w:pPr>
    </w:p>
    <w:p>
      <w:pPr>
        <w:ind w:left="360" w:right="40"/>
        <w:spacing w:after="0" w:line="276" w:lineRule="auto"/>
        <w:rPr>
          <w:sz w:val="20"/>
          <w:szCs w:val="20"/>
          <w:color w:val="auto"/>
        </w:rPr>
      </w:pPr>
      <w:r>
        <w:rPr>
          <w:rFonts w:ascii="Arial" w:cs="Arial" w:eastAsia="Arial" w:hAnsi="Arial"/>
          <w:sz w:val="12"/>
          <w:szCs w:val="12"/>
          <w:color w:val="auto"/>
        </w:rPr>
        <w:t>The Company classifies its restricted cash and guaranteed investment certificates within Level 2 as it uses alternative pricing sources and models utilizing market observable inputs. Contingent earn-out consideration is classified within Level 3. The following tables set forth the fair value of the Company’s Level 2 and Level 3 financial assets and liabilities within the fair value hierarchy: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70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gridSpan w:val="7"/>
          </w:tcPr>
          <w:p>
            <w:pPr>
              <w:ind w:left="80"/>
              <w:spacing w:after="0"/>
              <w:rPr>
                <w:sz w:val="20"/>
                <w:szCs w:val="20"/>
                <w:color w:val="auto"/>
              </w:rPr>
            </w:pPr>
            <w:r>
              <w:rPr>
                <w:rFonts w:ascii="Arial" w:cs="Arial" w:eastAsia="Arial" w:hAnsi="Arial"/>
                <w:sz w:val="10"/>
                <w:szCs w:val="10"/>
                <w:b w:val="1"/>
                <w:bCs w:val="1"/>
                <w:color w:val="auto"/>
                <w:w w:val="90"/>
              </w:rPr>
              <w:t>Fair Value Measurements as of March 31, 2020</w:t>
            </w: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1700" w:type="dxa"/>
            <w:vAlign w:val="bottom"/>
          </w:tcPr>
          <w:p>
            <w:pPr>
              <w:spacing w:after="0"/>
              <w:rPr>
                <w:sz w:val="7"/>
                <w:szCs w:val="7"/>
                <w:color w:val="auto"/>
              </w:rPr>
            </w:pPr>
          </w:p>
        </w:tc>
        <w:tc>
          <w:tcPr>
            <w:tcW w:w="28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20" w:type="dxa"/>
            <w:vAlign w:val="bottom"/>
          </w:tcPr>
          <w:p>
            <w:pPr>
              <w:jc w:val="center"/>
              <w:ind w:left="113"/>
              <w:spacing w:after="0" w:line="83" w:lineRule="exact"/>
              <w:rPr>
                <w:sz w:val="20"/>
                <w:szCs w:val="20"/>
                <w:color w:val="auto"/>
              </w:rPr>
            </w:pPr>
            <w:r>
              <w:rPr>
                <w:rFonts w:ascii="Arial" w:cs="Arial" w:eastAsia="Arial" w:hAnsi="Arial"/>
                <w:sz w:val="8"/>
                <w:szCs w:val="8"/>
                <w:b w:val="1"/>
                <w:bCs w:val="1"/>
                <w:color w:val="auto"/>
              </w:rPr>
              <w:t>Quoted</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7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20" w:type="dxa"/>
            <w:vAlign w:val="bottom"/>
          </w:tcPr>
          <w:p>
            <w:pPr>
              <w:jc w:val="center"/>
              <w:ind w:left="113"/>
              <w:spacing w:after="0" w:line="99" w:lineRule="exact"/>
              <w:rPr>
                <w:sz w:val="20"/>
                <w:szCs w:val="20"/>
                <w:color w:val="auto"/>
              </w:rPr>
            </w:pPr>
            <w:r>
              <w:rPr>
                <w:rFonts w:ascii="Arial" w:cs="Arial" w:eastAsia="Arial" w:hAnsi="Arial"/>
                <w:sz w:val="10"/>
                <w:szCs w:val="10"/>
                <w:b w:val="1"/>
                <w:bCs w:val="1"/>
                <w:color w:val="auto"/>
                <w:w w:val="81"/>
              </w:rPr>
              <w:t>Prices in</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7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20" w:type="dxa"/>
            <w:vAlign w:val="bottom"/>
          </w:tcPr>
          <w:p>
            <w:pPr>
              <w:jc w:val="center"/>
              <w:ind w:left="113"/>
              <w:spacing w:after="0" w:line="99" w:lineRule="exact"/>
              <w:rPr>
                <w:sz w:val="20"/>
                <w:szCs w:val="20"/>
                <w:color w:val="auto"/>
              </w:rPr>
            </w:pPr>
            <w:r>
              <w:rPr>
                <w:rFonts w:ascii="Arial" w:cs="Arial" w:eastAsia="Arial" w:hAnsi="Arial"/>
                <w:sz w:val="10"/>
                <w:szCs w:val="10"/>
                <w:b w:val="1"/>
                <w:bCs w:val="1"/>
                <w:color w:val="auto"/>
                <w:w w:val="86"/>
              </w:rPr>
              <w:t>Active</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7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20" w:type="dxa"/>
            <w:vAlign w:val="bottom"/>
          </w:tcPr>
          <w:p>
            <w:pPr>
              <w:jc w:val="center"/>
              <w:ind w:left="113"/>
              <w:spacing w:after="0" w:line="99" w:lineRule="exact"/>
              <w:rPr>
                <w:sz w:val="20"/>
                <w:szCs w:val="20"/>
                <w:color w:val="auto"/>
              </w:rPr>
            </w:pPr>
            <w:r>
              <w:rPr>
                <w:rFonts w:ascii="Arial" w:cs="Arial" w:eastAsia="Arial" w:hAnsi="Arial"/>
                <w:sz w:val="10"/>
                <w:szCs w:val="10"/>
                <w:b w:val="1"/>
                <w:bCs w:val="1"/>
                <w:color w:val="auto"/>
                <w:w w:val="89"/>
              </w:rPr>
              <w:t>Markets</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jc w:val="center"/>
              <w:ind w:left="92"/>
              <w:spacing w:after="0" w:line="99" w:lineRule="exact"/>
              <w:rPr>
                <w:sz w:val="20"/>
                <w:szCs w:val="20"/>
                <w:color w:val="auto"/>
              </w:rPr>
            </w:pPr>
            <w:r>
              <w:rPr>
                <w:rFonts w:ascii="Arial" w:cs="Arial" w:eastAsia="Arial" w:hAnsi="Arial"/>
                <w:sz w:val="10"/>
                <w:szCs w:val="10"/>
                <w:b w:val="1"/>
                <w:bCs w:val="1"/>
                <w:color w:val="auto"/>
                <w:w w:val="85"/>
              </w:rPr>
              <w:t>Significant</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7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20" w:type="dxa"/>
            <w:vAlign w:val="bottom"/>
          </w:tcPr>
          <w:p>
            <w:pPr>
              <w:jc w:val="center"/>
              <w:ind w:left="113"/>
              <w:spacing w:after="0" w:line="99" w:lineRule="exact"/>
              <w:rPr>
                <w:sz w:val="20"/>
                <w:szCs w:val="20"/>
                <w:color w:val="auto"/>
              </w:rPr>
            </w:pPr>
            <w:r>
              <w:rPr>
                <w:rFonts w:ascii="Arial" w:cs="Arial" w:eastAsia="Arial" w:hAnsi="Arial"/>
                <w:sz w:val="10"/>
                <w:szCs w:val="10"/>
                <w:b w:val="1"/>
                <w:bCs w:val="1"/>
                <w:color w:val="auto"/>
                <w:w w:val="82"/>
              </w:rPr>
              <w:t>using</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jc w:val="center"/>
              <w:ind w:left="92"/>
              <w:spacing w:after="0" w:line="99" w:lineRule="exact"/>
              <w:rPr>
                <w:sz w:val="20"/>
                <w:szCs w:val="20"/>
                <w:color w:val="auto"/>
              </w:rPr>
            </w:pPr>
            <w:r>
              <w:rPr>
                <w:rFonts w:ascii="Arial" w:cs="Arial" w:eastAsia="Arial" w:hAnsi="Arial"/>
                <w:sz w:val="10"/>
                <w:szCs w:val="10"/>
                <w:b w:val="1"/>
                <w:bCs w:val="1"/>
                <w:color w:val="auto"/>
                <w:w w:val="89"/>
              </w:rPr>
              <w:t>Other</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5"/>
              </w:rPr>
              <w:t>Significant</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7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20" w:type="dxa"/>
            <w:vAlign w:val="bottom"/>
          </w:tcPr>
          <w:p>
            <w:pPr>
              <w:jc w:val="center"/>
              <w:ind w:left="93"/>
              <w:spacing w:after="0" w:line="99" w:lineRule="exact"/>
              <w:rPr>
                <w:sz w:val="20"/>
                <w:szCs w:val="20"/>
                <w:color w:val="auto"/>
              </w:rPr>
            </w:pPr>
            <w:r>
              <w:rPr>
                <w:rFonts w:ascii="Arial" w:cs="Arial" w:eastAsia="Arial" w:hAnsi="Arial"/>
                <w:sz w:val="10"/>
                <w:szCs w:val="10"/>
                <w:b w:val="1"/>
                <w:bCs w:val="1"/>
                <w:color w:val="auto"/>
                <w:w w:val="88"/>
              </w:rPr>
              <w:t>Identical</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jc w:val="center"/>
              <w:ind w:left="92"/>
              <w:spacing w:after="0" w:line="99" w:lineRule="exact"/>
              <w:rPr>
                <w:sz w:val="20"/>
                <w:szCs w:val="20"/>
                <w:color w:val="auto"/>
              </w:rPr>
            </w:pPr>
            <w:r>
              <w:rPr>
                <w:rFonts w:ascii="Arial" w:cs="Arial" w:eastAsia="Arial" w:hAnsi="Arial"/>
                <w:sz w:val="10"/>
                <w:szCs w:val="10"/>
                <w:b w:val="1"/>
                <w:bCs w:val="1"/>
                <w:color w:val="auto"/>
                <w:w w:val="88"/>
              </w:rPr>
              <w:t>Observable</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4"/>
              </w:rPr>
              <w:t>Unobservable</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7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20" w:type="dxa"/>
            <w:vAlign w:val="bottom"/>
          </w:tcPr>
          <w:p>
            <w:pPr>
              <w:jc w:val="center"/>
              <w:ind w:left="113"/>
              <w:spacing w:after="0" w:line="99" w:lineRule="exact"/>
              <w:rPr>
                <w:sz w:val="20"/>
                <w:szCs w:val="20"/>
                <w:color w:val="auto"/>
              </w:rPr>
            </w:pPr>
            <w:r>
              <w:rPr>
                <w:rFonts w:ascii="Arial" w:cs="Arial" w:eastAsia="Arial" w:hAnsi="Arial"/>
                <w:sz w:val="10"/>
                <w:szCs w:val="10"/>
                <w:b w:val="1"/>
                <w:bCs w:val="1"/>
                <w:color w:val="auto"/>
                <w:w w:val="79"/>
              </w:rPr>
              <w:t>Assets</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jc w:val="center"/>
              <w:ind w:left="92"/>
              <w:spacing w:after="0" w:line="99" w:lineRule="exact"/>
              <w:rPr>
                <w:sz w:val="20"/>
                <w:szCs w:val="20"/>
                <w:color w:val="auto"/>
              </w:rPr>
            </w:pPr>
            <w:r>
              <w:rPr>
                <w:rFonts w:ascii="Arial" w:cs="Arial" w:eastAsia="Arial" w:hAnsi="Arial"/>
                <w:sz w:val="10"/>
                <w:szCs w:val="10"/>
                <w:b w:val="1"/>
                <w:bCs w:val="1"/>
                <w:color w:val="auto"/>
                <w:w w:val="93"/>
              </w:rPr>
              <w:t>Inputs</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6"/>
              </w:rPr>
              <w:t>Inputs</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70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20" w:type="dxa"/>
            <w:vAlign w:val="bottom"/>
          </w:tcPr>
          <w:p>
            <w:pPr>
              <w:jc w:val="center"/>
              <w:ind w:left="93"/>
              <w:spacing w:after="0" w:line="114" w:lineRule="exact"/>
              <w:rPr>
                <w:sz w:val="20"/>
                <w:szCs w:val="20"/>
                <w:color w:val="auto"/>
              </w:rPr>
            </w:pPr>
            <w:r>
              <w:rPr>
                <w:rFonts w:ascii="Arial" w:cs="Arial" w:eastAsia="Arial" w:hAnsi="Arial"/>
                <w:sz w:val="10"/>
                <w:szCs w:val="10"/>
                <w:b w:val="1"/>
                <w:bCs w:val="1"/>
                <w:color w:val="auto"/>
                <w:w w:val="88"/>
              </w:rPr>
              <w:t>(Level 1)</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jc w:val="center"/>
              <w:ind w:left="92"/>
              <w:spacing w:after="0" w:line="114" w:lineRule="exact"/>
              <w:rPr>
                <w:sz w:val="20"/>
                <w:szCs w:val="20"/>
                <w:color w:val="auto"/>
              </w:rPr>
            </w:pPr>
            <w:r>
              <w:rPr>
                <w:rFonts w:ascii="Arial" w:cs="Arial" w:eastAsia="Arial" w:hAnsi="Arial"/>
                <w:sz w:val="10"/>
                <w:szCs w:val="10"/>
                <w:b w:val="1"/>
                <w:bCs w:val="1"/>
                <w:color w:val="auto"/>
                <w:w w:val="88"/>
              </w:rPr>
              <w:t>(Level 2)</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88"/>
              </w:rPr>
              <w:t>(Level 3)</w:t>
            </w:r>
          </w:p>
        </w:tc>
        <w:tc>
          <w:tcPr>
            <w:tcW w:w="160" w:type="dxa"/>
            <w:vAlign w:val="bottom"/>
          </w:tcPr>
          <w:p>
            <w:pPr>
              <w:spacing w:after="0"/>
              <w:rPr>
                <w:sz w:val="9"/>
                <w:szCs w:val="9"/>
                <w:color w:val="auto"/>
              </w:rPr>
            </w:pPr>
          </w:p>
        </w:tc>
        <w:tc>
          <w:tcPr>
            <w:tcW w:w="720" w:type="dxa"/>
            <w:vAlign w:val="bottom"/>
            <w:gridSpan w:val="2"/>
          </w:tcPr>
          <w:p>
            <w:pPr>
              <w:ind w:left="120"/>
              <w:spacing w:after="0" w:line="114" w:lineRule="exact"/>
              <w:rPr>
                <w:sz w:val="20"/>
                <w:szCs w:val="20"/>
                <w:color w:val="auto"/>
              </w:rPr>
            </w:pPr>
            <w:r>
              <w:rPr>
                <w:rFonts w:ascii="Arial" w:cs="Arial" w:eastAsia="Arial" w:hAnsi="Arial"/>
                <w:sz w:val="10"/>
                <w:szCs w:val="10"/>
                <w:b w:val="1"/>
                <w:bCs w:val="1"/>
                <w:color w:val="auto"/>
              </w:rPr>
              <w:t>Total</w:t>
            </w: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2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Assets</w:t>
            </w:r>
          </w:p>
        </w:tc>
        <w:tc>
          <w:tcPr>
            <w:tcW w:w="1260" w:type="dxa"/>
            <w:vAlign w:val="bottom"/>
            <w:tcBorders>
              <w:top w:val="single" w:sz="8" w:color="CFF0FC"/>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2840" w:type="dxa"/>
            <w:vAlign w:val="bottom"/>
          </w:tcPr>
          <w:p>
            <w:pPr>
              <w:ind w:left="160"/>
              <w:spacing w:after="0"/>
              <w:rPr>
                <w:sz w:val="20"/>
                <w:szCs w:val="20"/>
                <w:color w:val="auto"/>
              </w:rPr>
            </w:pPr>
            <w:r>
              <w:rPr>
                <w:rFonts w:ascii="Arial" w:cs="Arial" w:eastAsia="Arial" w:hAnsi="Arial"/>
                <w:sz w:val="12"/>
                <w:szCs w:val="12"/>
                <w:color w:val="auto"/>
              </w:rPr>
              <w:t>Restricted cash</w:t>
            </w:r>
          </w:p>
        </w:tc>
        <w:tc>
          <w:tcPr>
            <w:tcW w:w="1880" w:type="dxa"/>
            <w:vAlign w:val="bottom"/>
            <w:gridSpan w:val="2"/>
          </w:tcPr>
          <w:p>
            <w:pPr>
              <w:jc w:val="right"/>
              <w:ind w:right="513"/>
              <w:spacing w:after="0"/>
              <w:rPr>
                <w:sz w:val="20"/>
                <w:szCs w:val="20"/>
                <w:color w:val="auto"/>
              </w:rPr>
            </w:pPr>
            <w:r>
              <w:rPr>
                <w:rFonts w:ascii="Arial" w:cs="Arial" w:eastAsia="Arial" w:hAnsi="Arial"/>
                <w:sz w:val="12"/>
                <w:szCs w:val="12"/>
                <w:color w:val="auto"/>
              </w:rPr>
              <w:t>$</w:t>
            </w:r>
          </w:p>
        </w:tc>
        <w:tc>
          <w:tcPr>
            <w:tcW w:w="180" w:type="dxa"/>
            <w:vAlign w:val="bottom"/>
          </w:tcPr>
          <w:p>
            <w:pPr>
              <w:ind w:left="40"/>
              <w:spacing w:after="0"/>
              <w:rPr>
                <w:sz w:val="20"/>
                <w:szCs w:val="20"/>
                <w:color w:val="auto"/>
              </w:rPr>
            </w:pPr>
            <w:r>
              <w:rPr>
                <w:rFonts w:ascii="Arial" w:cs="Arial" w:eastAsia="Arial" w:hAnsi="Arial"/>
                <w:sz w:val="12"/>
                <w:szCs w:val="12"/>
                <w:color w:val="auto"/>
                <w:w w:val="99"/>
              </w:rPr>
              <w:t>—</w:t>
            </w:r>
          </w:p>
        </w:tc>
        <w:tc>
          <w:tcPr>
            <w:tcW w:w="820" w:type="dxa"/>
            <w:vAlign w:val="bottom"/>
            <w:gridSpan w:val="2"/>
          </w:tcPr>
          <w:p>
            <w:pPr>
              <w:jc w:val="right"/>
              <w:ind w:right="552"/>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83</w:t>
            </w:r>
          </w:p>
        </w:tc>
        <w:tc>
          <w:tcPr>
            <w:tcW w:w="2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96"/>
              <w:spacing w:after="0"/>
              <w:rPr>
                <w:sz w:val="20"/>
                <w:szCs w:val="20"/>
                <w:color w:val="auto"/>
              </w:rPr>
            </w:pPr>
            <w:r>
              <w:rPr>
                <w:rFonts w:ascii="Arial" w:cs="Arial" w:eastAsia="Arial" w:hAnsi="Arial"/>
                <w:sz w:val="5"/>
                <w:szCs w:val="5"/>
                <w:color w:val="auto"/>
                <w:w w:val="70"/>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83</w:t>
            </w: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84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Total assets</w:t>
            </w:r>
          </w:p>
        </w:tc>
        <w:tc>
          <w:tcPr>
            <w:tcW w:w="126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00" w:type="dxa"/>
            <w:vAlign w:val="bottom"/>
          </w:tcPr>
          <w:p>
            <w:pPr>
              <w:spacing w:after="0"/>
              <w:rPr>
                <w:sz w:val="12"/>
                <w:szCs w:val="12"/>
                <w:color w:val="auto"/>
              </w:rPr>
            </w:pPr>
          </w:p>
        </w:tc>
        <w:tc>
          <w:tcPr>
            <w:tcW w:w="2840" w:type="dxa"/>
            <w:vAlign w:val="bottom"/>
            <w:vMerge w:val="continue"/>
            <w:shd w:val="clear" w:color="auto" w:fill="CFF0FC"/>
          </w:tcPr>
          <w:p>
            <w:pPr>
              <w:spacing w:after="0"/>
              <w:rPr>
                <w:sz w:val="12"/>
                <w:szCs w:val="12"/>
                <w:color w:val="auto"/>
              </w:rPr>
            </w:pPr>
          </w:p>
        </w:tc>
        <w:tc>
          <w:tcPr>
            <w:tcW w:w="1880" w:type="dxa"/>
            <w:vAlign w:val="bottom"/>
            <w:gridSpan w:val="2"/>
            <w:shd w:val="clear" w:color="auto" w:fill="CFF0FC"/>
          </w:tcPr>
          <w:p>
            <w:pPr>
              <w:jc w:val="right"/>
              <w:ind w:right="513"/>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ind w:left="40"/>
              <w:spacing w:after="0"/>
              <w:rPr>
                <w:sz w:val="20"/>
                <w:szCs w:val="20"/>
                <w:color w:val="auto"/>
              </w:rPr>
            </w:pPr>
            <w:r>
              <w:rPr>
                <w:rFonts w:ascii="Arial" w:cs="Arial" w:eastAsia="Arial" w:hAnsi="Arial"/>
                <w:sz w:val="12"/>
                <w:szCs w:val="12"/>
                <w:color w:val="auto"/>
                <w:w w:val="99"/>
              </w:rPr>
              <w:t>—</w:t>
            </w:r>
          </w:p>
        </w:tc>
        <w:tc>
          <w:tcPr>
            <w:tcW w:w="820" w:type="dxa"/>
            <w:vAlign w:val="bottom"/>
            <w:gridSpan w:val="2"/>
            <w:shd w:val="clear" w:color="auto" w:fill="CFF0FC"/>
          </w:tcPr>
          <w:p>
            <w:pPr>
              <w:jc w:val="right"/>
              <w:ind w:right="552"/>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83</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jc w:val="right"/>
              <w:ind w:right="96"/>
              <w:spacing w:after="0"/>
              <w:rPr>
                <w:sz w:val="20"/>
                <w:szCs w:val="20"/>
                <w:color w:val="auto"/>
              </w:rPr>
            </w:pPr>
            <w:r>
              <w:rPr>
                <w:rFonts w:ascii="Arial" w:cs="Arial" w:eastAsia="Arial" w:hAnsi="Arial"/>
                <w:sz w:val="5"/>
                <w:szCs w:val="5"/>
                <w:color w:val="auto"/>
                <w:w w:val="70"/>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w:t>
            </w:r>
          </w:p>
        </w:tc>
        <w:tc>
          <w:tcPr>
            <w:tcW w:w="80" w:type="dxa"/>
            <w:vAlign w:val="bottom"/>
            <w:shd w:val="clear" w:color="auto" w:fill="CFF0FC"/>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84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c>
          <w:tcPr>
            <w:tcW w:w="62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6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72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tcBorders>
              <w:bottom w:val="single" w:sz="8" w:color="auto"/>
            </w:tcBorders>
            <w:shd w:val="clear" w:color="auto" w:fill="000000"/>
          </w:tcPr>
          <w:p>
            <w:pPr>
              <w:spacing w:after="0" w:line="20" w:lineRule="exact"/>
              <w:rPr>
                <w:sz w:val="1"/>
                <w:szCs w:val="1"/>
                <w:color w:val="auto"/>
              </w:rPr>
            </w:pPr>
          </w:p>
        </w:tc>
        <w:tc>
          <w:tcPr>
            <w:tcW w:w="64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540" w:type="dxa"/>
            <w:vAlign w:val="bottom"/>
            <w:gridSpan w:val="2"/>
          </w:tcPr>
          <w:p>
            <w:pPr>
              <w:ind w:left="1680"/>
              <w:spacing w:after="0"/>
              <w:rPr>
                <w:sz w:val="20"/>
                <w:szCs w:val="20"/>
                <w:color w:val="auto"/>
              </w:rPr>
            </w:pPr>
            <w:r>
              <w:rPr>
                <w:rFonts w:ascii="Arial" w:cs="Arial" w:eastAsia="Arial" w:hAnsi="Arial"/>
                <w:sz w:val="12"/>
                <w:szCs w:val="12"/>
                <w:color w:val="auto"/>
              </w:rPr>
              <w:t>Liabilities</w:t>
            </w:r>
          </w:p>
        </w:tc>
        <w:tc>
          <w:tcPr>
            <w:tcW w:w="1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28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Contingent earn-out consideration</w:t>
            </w:r>
          </w:p>
        </w:tc>
        <w:tc>
          <w:tcPr>
            <w:tcW w:w="1260" w:type="dxa"/>
            <w:vAlign w:val="bottom"/>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2"/>
                <w:szCs w:val="12"/>
                <w:color w:val="auto"/>
                <w:w w:val="99"/>
              </w:rPr>
              <w:t>—</w:t>
            </w:r>
          </w:p>
        </w:tc>
        <w:tc>
          <w:tcPr>
            <w:tcW w:w="160" w:type="dxa"/>
            <w:vAlign w:val="bottom"/>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9"/>
              </w:rPr>
              <w:t>—</w:t>
            </w:r>
          </w:p>
        </w:tc>
        <w:tc>
          <w:tcPr>
            <w:tcW w:w="18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757</w:t>
            </w:r>
          </w:p>
        </w:tc>
        <w:tc>
          <w:tcPr>
            <w:tcW w:w="180" w:type="dxa"/>
            <w:vAlign w:val="bottom"/>
            <w:tcBorders>
              <w:right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757</w:t>
            </w:r>
          </w:p>
        </w:tc>
        <w:tc>
          <w:tcPr>
            <w:tcW w:w="80" w:type="dxa"/>
            <w:vAlign w:val="bottom"/>
            <w:shd w:val="clear" w:color="auto" w:fill="CFF0FC"/>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40" w:type="dxa"/>
            <w:vAlign w:val="bottom"/>
            <w:gridSpan w:val="2"/>
          </w:tcPr>
          <w:p>
            <w:pPr>
              <w:ind w:left="1680"/>
              <w:spacing w:after="0"/>
              <w:rPr>
                <w:sz w:val="20"/>
                <w:szCs w:val="20"/>
                <w:color w:val="auto"/>
              </w:rPr>
            </w:pPr>
            <w:r>
              <w:rPr>
                <w:rFonts w:ascii="Arial" w:cs="Arial" w:eastAsia="Arial" w:hAnsi="Arial"/>
                <w:sz w:val="12"/>
                <w:szCs w:val="12"/>
                <w:color w:val="auto"/>
              </w:rPr>
              <w:t>Total liabilities</w:t>
            </w:r>
          </w:p>
        </w:tc>
        <w:tc>
          <w:tcPr>
            <w:tcW w:w="1880" w:type="dxa"/>
            <w:vAlign w:val="bottom"/>
            <w:gridSpan w:val="2"/>
          </w:tcPr>
          <w:p>
            <w:pPr>
              <w:jc w:val="right"/>
              <w:ind w:right="513"/>
              <w:spacing w:after="0"/>
              <w:rPr>
                <w:sz w:val="20"/>
                <w:szCs w:val="20"/>
                <w:color w:val="auto"/>
              </w:rPr>
            </w:pPr>
            <w:r>
              <w:rPr>
                <w:rFonts w:ascii="Arial" w:cs="Arial" w:eastAsia="Arial" w:hAnsi="Arial"/>
                <w:sz w:val="12"/>
                <w:szCs w:val="12"/>
                <w:color w:val="auto"/>
              </w:rPr>
              <w:t>$</w:t>
            </w:r>
          </w:p>
        </w:tc>
        <w:tc>
          <w:tcPr>
            <w:tcW w:w="180" w:type="dxa"/>
            <w:vAlign w:val="bottom"/>
          </w:tcPr>
          <w:p>
            <w:pPr>
              <w:ind w:left="40"/>
              <w:spacing w:after="0"/>
              <w:rPr>
                <w:sz w:val="20"/>
                <w:szCs w:val="20"/>
                <w:color w:val="auto"/>
              </w:rPr>
            </w:pPr>
            <w:r>
              <w:rPr>
                <w:rFonts w:ascii="Arial" w:cs="Arial" w:eastAsia="Arial" w:hAnsi="Arial"/>
                <w:sz w:val="12"/>
                <w:szCs w:val="12"/>
                <w:color w:val="auto"/>
                <w:w w:val="99"/>
              </w:rPr>
              <w:t>—</w:t>
            </w:r>
          </w:p>
        </w:tc>
        <w:tc>
          <w:tcPr>
            <w:tcW w:w="820" w:type="dxa"/>
            <w:vAlign w:val="bottom"/>
            <w:gridSpan w:val="2"/>
          </w:tcPr>
          <w:p>
            <w:pPr>
              <w:jc w:val="right"/>
              <w:ind w:right="552"/>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2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757</w:t>
            </w:r>
          </w:p>
        </w:tc>
        <w:tc>
          <w:tcPr>
            <w:tcW w:w="180" w:type="dxa"/>
            <w:vAlign w:val="bottom"/>
          </w:tcPr>
          <w:p>
            <w:pPr>
              <w:spacing w:after="0"/>
              <w:rPr>
                <w:sz w:val="12"/>
                <w:szCs w:val="12"/>
                <w:color w:val="auto"/>
              </w:rPr>
            </w:pPr>
          </w:p>
        </w:tc>
        <w:tc>
          <w:tcPr>
            <w:tcW w:w="160" w:type="dxa"/>
            <w:vAlign w:val="bottom"/>
          </w:tcPr>
          <w:p>
            <w:pPr>
              <w:jc w:val="right"/>
              <w:ind w:right="96"/>
              <w:spacing w:after="0"/>
              <w:rPr>
                <w:sz w:val="20"/>
                <w:szCs w:val="20"/>
                <w:color w:val="auto"/>
              </w:rPr>
            </w:pPr>
            <w:r>
              <w:rPr>
                <w:rFonts w:ascii="Arial" w:cs="Arial" w:eastAsia="Arial" w:hAnsi="Arial"/>
                <w:sz w:val="5"/>
                <w:szCs w:val="5"/>
                <w:color w:val="auto"/>
                <w:w w:val="70"/>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757</w:t>
            </w: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17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60" w:type="dxa"/>
            <w:vAlign w:val="bottom"/>
          </w:tcPr>
          <w:p>
            <w:pPr>
              <w:jc w:val="right"/>
              <w:ind w:right="40"/>
              <w:spacing w:after="0"/>
              <w:rPr>
                <w:sz w:val="20"/>
                <w:szCs w:val="20"/>
                <w:color w:val="auto"/>
              </w:rPr>
            </w:pPr>
            <w:r>
              <w:rPr>
                <w:rFonts w:ascii="Arial" w:cs="Arial" w:eastAsia="Arial" w:hAnsi="Arial"/>
                <w:sz w:val="12"/>
                <w:szCs w:val="12"/>
                <w:color w:val="auto"/>
              </w:rPr>
              <w:t>11</w:t>
            </w:r>
          </w:p>
        </w:tc>
        <w:tc>
          <w:tcPr>
            <w:tcW w:w="6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700" w:type="dxa"/>
            <w:vAlign w:val="bottom"/>
            <w:tcBorders>
              <w:bottom w:val="single" w:sz="8" w:color="9A9A9A"/>
            </w:tcBorders>
          </w:tcPr>
          <w:p>
            <w:pPr>
              <w:spacing w:after="0"/>
              <w:rPr>
                <w:sz w:val="6"/>
                <w:szCs w:val="6"/>
                <w:color w:val="auto"/>
              </w:rPr>
            </w:pPr>
          </w:p>
        </w:tc>
        <w:tc>
          <w:tcPr>
            <w:tcW w:w="284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71" w:right="279" w:bottom="1440" w:gutter="0" w:footer="0" w:header="0"/>
        </w:sectPr>
      </w:pPr>
    </w:p>
    <w:bookmarkStart w:id="12" w:name="page13"/>
    <w:bookmarkEnd w:id="12"/>
    <w:tbl>
      <w:tblPr>
        <w:tblLayout w:type="fixed"/>
        <w:tblInd w:w="13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gridSpan w:val="7"/>
          </w:tcPr>
          <w:p>
            <w:pPr>
              <w:ind w:left="20"/>
              <w:spacing w:after="0"/>
              <w:rPr>
                <w:sz w:val="20"/>
                <w:szCs w:val="20"/>
                <w:color w:val="auto"/>
              </w:rPr>
            </w:pPr>
            <w:r>
              <w:rPr>
                <w:rFonts w:ascii="Arial" w:cs="Arial" w:eastAsia="Arial" w:hAnsi="Arial"/>
                <w:sz w:val="10"/>
                <w:szCs w:val="10"/>
                <w:b w:val="1"/>
                <w:bCs w:val="1"/>
                <w:color w:val="auto"/>
                <w:w w:val="85"/>
              </w:rPr>
              <w:t>Fair Value Measurements as of December 31, 2019</w:t>
            </w: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83"/>
        </w:trPr>
        <w:tc>
          <w:tcPr>
            <w:tcW w:w="20" w:type="dxa"/>
            <w:vAlign w:val="bottom"/>
          </w:tcPr>
          <w:p>
            <w:pPr>
              <w:spacing w:after="0"/>
              <w:rPr>
                <w:sz w:val="7"/>
                <w:szCs w:val="7"/>
                <w:color w:val="auto"/>
              </w:rPr>
            </w:pPr>
          </w:p>
        </w:tc>
        <w:tc>
          <w:tcPr>
            <w:tcW w:w="3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20" w:type="dxa"/>
            <w:vAlign w:val="bottom"/>
          </w:tcPr>
          <w:p>
            <w:pPr>
              <w:jc w:val="center"/>
              <w:ind w:left="113"/>
              <w:spacing w:after="0" w:line="83" w:lineRule="exact"/>
              <w:rPr>
                <w:sz w:val="20"/>
                <w:szCs w:val="20"/>
                <w:color w:val="auto"/>
              </w:rPr>
            </w:pPr>
            <w:r>
              <w:rPr>
                <w:rFonts w:ascii="Arial" w:cs="Arial" w:eastAsia="Arial" w:hAnsi="Arial"/>
                <w:sz w:val="8"/>
                <w:szCs w:val="8"/>
                <w:b w:val="1"/>
                <w:bCs w:val="1"/>
                <w:color w:val="auto"/>
              </w:rPr>
              <w:t>Quoted</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99"/>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tcPr>
          <w:p>
            <w:pPr>
              <w:jc w:val="center"/>
              <w:ind w:left="113"/>
              <w:spacing w:after="0" w:line="99" w:lineRule="exact"/>
              <w:rPr>
                <w:sz w:val="20"/>
                <w:szCs w:val="20"/>
                <w:color w:val="auto"/>
              </w:rPr>
            </w:pPr>
            <w:r>
              <w:rPr>
                <w:rFonts w:ascii="Arial" w:cs="Arial" w:eastAsia="Arial" w:hAnsi="Arial"/>
                <w:sz w:val="10"/>
                <w:szCs w:val="10"/>
                <w:b w:val="1"/>
                <w:bCs w:val="1"/>
                <w:color w:val="auto"/>
                <w:w w:val="81"/>
              </w:rPr>
              <w:t>Prices in</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tcPr>
          <w:p>
            <w:pPr>
              <w:jc w:val="center"/>
              <w:ind w:left="113"/>
              <w:spacing w:after="0" w:line="99" w:lineRule="exact"/>
              <w:rPr>
                <w:sz w:val="20"/>
                <w:szCs w:val="20"/>
                <w:color w:val="auto"/>
              </w:rPr>
            </w:pPr>
            <w:r>
              <w:rPr>
                <w:rFonts w:ascii="Arial" w:cs="Arial" w:eastAsia="Arial" w:hAnsi="Arial"/>
                <w:sz w:val="10"/>
                <w:szCs w:val="10"/>
                <w:b w:val="1"/>
                <w:bCs w:val="1"/>
                <w:color w:val="auto"/>
                <w:w w:val="86"/>
              </w:rPr>
              <w:t>Active</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tcPr>
          <w:p>
            <w:pPr>
              <w:jc w:val="center"/>
              <w:ind w:left="113"/>
              <w:spacing w:after="0" w:line="99" w:lineRule="exact"/>
              <w:rPr>
                <w:sz w:val="20"/>
                <w:szCs w:val="20"/>
                <w:color w:val="auto"/>
              </w:rPr>
            </w:pPr>
            <w:r>
              <w:rPr>
                <w:rFonts w:ascii="Arial" w:cs="Arial" w:eastAsia="Arial" w:hAnsi="Arial"/>
                <w:sz w:val="10"/>
                <w:szCs w:val="10"/>
                <w:b w:val="1"/>
                <w:bCs w:val="1"/>
                <w:color w:val="auto"/>
                <w:w w:val="89"/>
              </w:rPr>
              <w:t>Markets</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jc w:val="center"/>
              <w:ind w:right="66"/>
              <w:spacing w:after="0" w:line="99" w:lineRule="exact"/>
              <w:rPr>
                <w:sz w:val="20"/>
                <w:szCs w:val="20"/>
                <w:color w:val="auto"/>
              </w:rPr>
            </w:pPr>
            <w:r>
              <w:rPr>
                <w:rFonts w:ascii="Arial" w:cs="Arial" w:eastAsia="Arial" w:hAnsi="Arial"/>
                <w:sz w:val="10"/>
                <w:szCs w:val="10"/>
                <w:b w:val="1"/>
                <w:bCs w:val="1"/>
                <w:color w:val="auto"/>
                <w:w w:val="85"/>
              </w:rPr>
              <w:t>Significant</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tcPr>
          <w:p>
            <w:pPr>
              <w:jc w:val="center"/>
              <w:ind w:left="113"/>
              <w:spacing w:after="0" w:line="99" w:lineRule="exact"/>
              <w:rPr>
                <w:sz w:val="20"/>
                <w:szCs w:val="20"/>
                <w:color w:val="auto"/>
              </w:rPr>
            </w:pPr>
            <w:r>
              <w:rPr>
                <w:rFonts w:ascii="Arial" w:cs="Arial" w:eastAsia="Arial" w:hAnsi="Arial"/>
                <w:sz w:val="10"/>
                <w:szCs w:val="10"/>
                <w:b w:val="1"/>
                <w:bCs w:val="1"/>
                <w:color w:val="auto"/>
                <w:w w:val="82"/>
              </w:rPr>
              <w:t>using</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jc w:val="center"/>
              <w:ind w:right="66"/>
              <w:spacing w:after="0" w:line="99" w:lineRule="exact"/>
              <w:rPr>
                <w:sz w:val="20"/>
                <w:szCs w:val="20"/>
                <w:color w:val="auto"/>
              </w:rPr>
            </w:pPr>
            <w:r>
              <w:rPr>
                <w:rFonts w:ascii="Arial" w:cs="Arial" w:eastAsia="Arial" w:hAnsi="Arial"/>
                <w:sz w:val="10"/>
                <w:szCs w:val="10"/>
                <w:b w:val="1"/>
                <w:bCs w:val="1"/>
                <w:color w:val="auto"/>
                <w:w w:val="89"/>
              </w:rPr>
              <w:t>Other</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5"/>
              </w:rPr>
              <w:t>Significant</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tcPr>
          <w:p>
            <w:pPr>
              <w:jc w:val="center"/>
              <w:ind w:left="93"/>
              <w:spacing w:after="0" w:line="99" w:lineRule="exact"/>
              <w:rPr>
                <w:sz w:val="20"/>
                <w:szCs w:val="20"/>
                <w:color w:val="auto"/>
              </w:rPr>
            </w:pPr>
            <w:r>
              <w:rPr>
                <w:rFonts w:ascii="Arial" w:cs="Arial" w:eastAsia="Arial" w:hAnsi="Arial"/>
                <w:sz w:val="10"/>
                <w:szCs w:val="10"/>
                <w:b w:val="1"/>
                <w:bCs w:val="1"/>
                <w:color w:val="auto"/>
                <w:w w:val="88"/>
              </w:rPr>
              <w:t>Identical</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jc w:val="center"/>
              <w:ind w:right="66"/>
              <w:spacing w:after="0" w:line="99" w:lineRule="exact"/>
              <w:rPr>
                <w:sz w:val="20"/>
                <w:szCs w:val="20"/>
                <w:color w:val="auto"/>
              </w:rPr>
            </w:pPr>
            <w:r>
              <w:rPr>
                <w:rFonts w:ascii="Arial" w:cs="Arial" w:eastAsia="Arial" w:hAnsi="Arial"/>
                <w:sz w:val="10"/>
                <w:szCs w:val="10"/>
                <w:b w:val="1"/>
                <w:bCs w:val="1"/>
                <w:color w:val="auto"/>
                <w:w w:val="88"/>
              </w:rPr>
              <w:t>Observable</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4"/>
              </w:rPr>
              <w:t>Unobservable</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tcPr>
          <w:p>
            <w:pPr>
              <w:jc w:val="center"/>
              <w:ind w:left="113"/>
              <w:spacing w:after="0" w:line="99" w:lineRule="exact"/>
              <w:rPr>
                <w:sz w:val="20"/>
                <w:szCs w:val="20"/>
                <w:color w:val="auto"/>
              </w:rPr>
            </w:pPr>
            <w:r>
              <w:rPr>
                <w:rFonts w:ascii="Arial" w:cs="Arial" w:eastAsia="Arial" w:hAnsi="Arial"/>
                <w:sz w:val="10"/>
                <w:szCs w:val="10"/>
                <w:b w:val="1"/>
                <w:bCs w:val="1"/>
                <w:color w:val="auto"/>
                <w:w w:val="79"/>
              </w:rPr>
              <w:t>Assets</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jc w:val="center"/>
              <w:ind w:right="66"/>
              <w:spacing w:after="0" w:line="99" w:lineRule="exact"/>
              <w:rPr>
                <w:sz w:val="20"/>
                <w:szCs w:val="20"/>
                <w:color w:val="auto"/>
              </w:rPr>
            </w:pPr>
            <w:r>
              <w:rPr>
                <w:rFonts w:ascii="Arial" w:cs="Arial" w:eastAsia="Arial" w:hAnsi="Arial"/>
                <w:sz w:val="10"/>
                <w:szCs w:val="10"/>
                <w:b w:val="1"/>
                <w:bCs w:val="1"/>
                <w:color w:val="auto"/>
                <w:w w:val="93"/>
              </w:rPr>
              <w:t>Inputs</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6"/>
              </w:rPr>
              <w:t>Inputs</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13"/>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20" w:type="dxa"/>
            <w:vAlign w:val="bottom"/>
          </w:tcPr>
          <w:p>
            <w:pPr>
              <w:jc w:val="center"/>
              <w:ind w:left="93"/>
              <w:spacing w:after="0" w:line="114" w:lineRule="exact"/>
              <w:rPr>
                <w:sz w:val="20"/>
                <w:szCs w:val="20"/>
                <w:color w:val="auto"/>
              </w:rPr>
            </w:pPr>
            <w:r>
              <w:rPr>
                <w:rFonts w:ascii="Arial" w:cs="Arial" w:eastAsia="Arial" w:hAnsi="Arial"/>
                <w:sz w:val="10"/>
                <w:szCs w:val="10"/>
                <w:b w:val="1"/>
                <w:bCs w:val="1"/>
                <w:color w:val="auto"/>
                <w:w w:val="88"/>
              </w:rPr>
              <w:t>(Level 1)</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center"/>
              <w:ind w:right="66"/>
              <w:spacing w:after="0" w:line="114" w:lineRule="exact"/>
              <w:rPr>
                <w:sz w:val="20"/>
                <w:szCs w:val="20"/>
                <w:color w:val="auto"/>
              </w:rPr>
            </w:pPr>
            <w:r>
              <w:rPr>
                <w:rFonts w:ascii="Arial" w:cs="Arial" w:eastAsia="Arial" w:hAnsi="Arial"/>
                <w:sz w:val="10"/>
                <w:szCs w:val="10"/>
                <w:b w:val="1"/>
                <w:bCs w:val="1"/>
                <w:color w:val="auto"/>
                <w:w w:val="88"/>
              </w:rPr>
              <w:t>(Level 2)</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88"/>
              </w:rPr>
              <w:t>(Level 3)</w:t>
            </w:r>
          </w:p>
        </w:tc>
        <w:tc>
          <w:tcPr>
            <w:tcW w:w="160" w:type="dxa"/>
            <w:vAlign w:val="bottom"/>
          </w:tcPr>
          <w:p>
            <w:pPr>
              <w:spacing w:after="0"/>
              <w:rPr>
                <w:sz w:val="9"/>
                <w:szCs w:val="9"/>
                <w:color w:val="auto"/>
              </w:rPr>
            </w:pPr>
          </w:p>
        </w:tc>
        <w:tc>
          <w:tcPr>
            <w:tcW w:w="720" w:type="dxa"/>
            <w:vAlign w:val="bottom"/>
            <w:gridSpan w:val="2"/>
          </w:tcPr>
          <w:p>
            <w:pPr>
              <w:ind w:left="120"/>
              <w:spacing w:after="0" w:line="114" w:lineRule="exact"/>
              <w:rPr>
                <w:sz w:val="20"/>
                <w:szCs w:val="20"/>
                <w:color w:val="auto"/>
              </w:rPr>
            </w:pPr>
            <w:r>
              <w:rPr>
                <w:rFonts w:ascii="Arial" w:cs="Arial" w:eastAsia="Arial" w:hAnsi="Arial"/>
                <w:sz w:val="10"/>
                <w:szCs w:val="10"/>
                <w:b w:val="1"/>
                <w:bCs w:val="1"/>
                <w:color w:val="auto"/>
              </w:rPr>
              <w:t>Total</w:t>
            </w:r>
          </w:p>
        </w:tc>
      </w:tr>
      <w:tr>
        <w:trPr>
          <w:trHeight w:val="142"/>
        </w:trPr>
        <w:tc>
          <w:tcPr>
            <w:tcW w:w="20" w:type="dxa"/>
            <w:vAlign w:val="bottom"/>
          </w:tcPr>
          <w:p>
            <w:pPr>
              <w:spacing w:after="0"/>
              <w:rPr>
                <w:sz w:val="12"/>
                <w:szCs w:val="12"/>
                <w:color w:val="auto"/>
              </w:rPr>
            </w:pPr>
          </w:p>
        </w:tc>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Assets</w:t>
            </w:r>
          </w:p>
        </w:tc>
        <w:tc>
          <w:tcPr>
            <w:tcW w:w="920" w:type="dxa"/>
            <w:vAlign w:val="bottom"/>
            <w:tcBorders>
              <w:top w:val="single" w:sz="8" w:color="CFF0FC"/>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3180" w:type="dxa"/>
            <w:vAlign w:val="bottom"/>
          </w:tcPr>
          <w:p>
            <w:pPr>
              <w:ind w:left="160"/>
              <w:spacing w:after="0"/>
              <w:rPr>
                <w:sz w:val="20"/>
                <w:szCs w:val="20"/>
                <w:color w:val="auto"/>
              </w:rPr>
            </w:pPr>
            <w:r>
              <w:rPr>
                <w:rFonts w:ascii="Arial" w:cs="Arial" w:eastAsia="Arial" w:hAnsi="Arial"/>
                <w:sz w:val="12"/>
                <w:szCs w:val="12"/>
                <w:color w:val="auto"/>
              </w:rPr>
              <w:t>Guaranteed Investment Certificates ("GIC")</w:t>
            </w:r>
          </w:p>
        </w:tc>
        <w:tc>
          <w:tcPr>
            <w:tcW w:w="1540" w:type="dxa"/>
            <w:vAlign w:val="bottom"/>
            <w:gridSpan w:val="2"/>
          </w:tcPr>
          <w:p>
            <w:pPr>
              <w:jc w:val="right"/>
              <w:ind w:right="513"/>
              <w:spacing w:after="0"/>
              <w:rPr>
                <w:sz w:val="20"/>
                <w:szCs w:val="20"/>
                <w:color w:val="auto"/>
              </w:rPr>
            </w:pPr>
            <w:r>
              <w:rPr>
                <w:rFonts w:ascii="Arial" w:cs="Arial" w:eastAsia="Arial" w:hAnsi="Arial"/>
                <w:sz w:val="12"/>
                <w:szCs w:val="12"/>
                <w:color w:val="auto"/>
              </w:rPr>
              <w:t>$</w:t>
            </w:r>
          </w:p>
        </w:tc>
        <w:tc>
          <w:tcPr>
            <w:tcW w:w="180" w:type="dxa"/>
            <w:vAlign w:val="bottom"/>
          </w:tcPr>
          <w:p>
            <w:pPr>
              <w:ind w:left="40"/>
              <w:spacing w:after="0"/>
              <w:rPr>
                <w:sz w:val="20"/>
                <w:szCs w:val="20"/>
                <w:color w:val="auto"/>
              </w:rPr>
            </w:pPr>
            <w:r>
              <w:rPr>
                <w:rFonts w:ascii="Arial" w:cs="Arial" w:eastAsia="Arial" w:hAnsi="Arial"/>
                <w:sz w:val="12"/>
                <w:szCs w:val="12"/>
                <w:color w:val="auto"/>
                <w:w w:val="99"/>
              </w:rPr>
              <w:t>—</w:t>
            </w:r>
          </w:p>
        </w:tc>
        <w:tc>
          <w:tcPr>
            <w:tcW w:w="2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63</w:t>
            </w:r>
          </w:p>
        </w:tc>
        <w:tc>
          <w:tcPr>
            <w:tcW w:w="2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96"/>
              <w:spacing w:after="0"/>
              <w:rPr>
                <w:sz w:val="20"/>
                <w:szCs w:val="20"/>
                <w:color w:val="auto"/>
              </w:rPr>
            </w:pPr>
            <w:r>
              <w:rPr>
                <w:rFonts w:ascii="Arial" w:cs="Arial" w:eastAsia="Arial" w:hAnsi="Arial"/>
                <w:sz w:val="5"/>
                <w:szCs w:val="5"/>
                <w:color w:val="auto"/>
                <w:w w:val="70"/>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63</w:t>
            </w:r>
          </w:p>
        </w:tc>
        <w:tc>
          <w:tcPr>
            <w:tcW w:w="8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31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Restricted cash</w:t>
            </w:r>
          </w:p>
        </w:tc>
        <w:tc>
          <w:tcPr>
            <w:tcW w:w="920" w:type="dxa"/>
            <w:vAlign w:val="bottom"/>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2"/>
                <w:szCs w:val="12"/>
                <w:color w:val="auto"/>
                <w:w w:val="99"/>
              </w:rPr>
              <w:t>—</w:t>
            </w:r>
          </w:p>
        </w:tc>
        <w:tc>
          <w:tcPr>
            <w:tcW w:w="16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83</w:t>
            </w:r>
          </w:p>
        </w:tc>
        <w:tc>
          <w:tcPr>
            <w:tcW w:w="18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83</w:t>
            </w:r>
          </w:p>
        </w:tc>
        <w:tc>
          <w:tcPr>
            <w:tcW w:w="80" w:type="dxa"/>
            <w:vAlign w:val="bottom"/>
            <w:shd w:val="clear" w:color="auto" w:fill="CFF0FC"/>
          </w:tcPr>
          <w:p>
            <w:pPr>
              <w:spacing w:after="0"/>
              <w:rPr>
                <w:sz w:val="13"/>
                <w:szCs w:val="13"/>
                <w:color w:val="auto"/>
              </w:rPr>
            </w:pPr>
          </w:p>
        </w:tc>
      </w:tr>
      <w:tr>
        <w:trPr>
          <w:trHeight w:val="149"/>
        </w:trPr>
        <w:tc>
          <w:tcPr>
            <w:tcW w:w="3200" w:type="dxa"/>
            <w:vAlign w:val="bottom"/>
            <w:gridSpan w:val="2"/>
          </w:tcPr>
          <w:p>
            <w:pPr>
              <w:spacing w:after="0"/>
              <w:rPr>
                <w:sz w:val="20"/>
                <w:szCs w:val="20"/>
                <w:color w:val="auto"/>
              </w:rPr>
            </w:pPr>
            <w:r>
              <w:rPr>
                <w:rFonts w:ascii="Arial" w:cs="Arial" w:eastAsia="Arial" w:hAnsi="Arial"/>
                <w:sz w:val="12"/>
                <w:szCs w:val="12"/>
                <w:color w:val="auto"/>
              </w:rPr>
              <w:t>Total assets</w:t>
            </w:r>
          </w:p>
        </w:tc>
        <w:tc>
          <w:tcPr>
            <w:tcW w:w="1540" w:type="dxa"/>
            <w:vAlign w:val="bottom"/>
            <w:gridSpan w:val="2"/>
          </w:tcPr>
          <w:p>
            <w:pPr>
              <w:jc w:val="right"/>
              <w:ind w:right="513"/>
              <w:spacing w:after="0"/>
              <w:rPr>
                <w:sz w:val="20"/>
                <w:szCs w:val="20"/>
                <w:color w:val="auto"/>
              </w:rPr>
            </w:pPr>
            <w:r>
              <w:rPr>
                <w:rFonts w:ascii="Arial" w:cs="Arial" w:eastAsia="Arial" w:hAnsi="Arial"/>
                <w:sz w:val="12"/>
                <w:szCs w:val="12"/>
                <w:color w:val="auto"/>
              </w:rPr>
              <w:t>$</w:t>
            </w:r>
          </w:p>
        </w:tc>
        <w:tc>
          <w:tcPr>
            <w:tcW w:w="180" w:type="dxa"/>
            <w:vAlign w:val="bottom"/>
          </w:tcPr>
          <w:p>
            <w:pPr>
              <w:ind w:left="40"/>
              <w:spacing w:after="0"/>
              <w:rPr>
                <w:sz w:val="20"/>
                <w:szCs w:val="20"/>
                <w:color w:val="auto"/>
              </w:rPr>
            </w:pPr>
            <w:r>
              <w:rPr>
                <w:rFonts w:ascii="Arial" w:cs="Arial" w:eastAsia="Arial" w:hAnsi="Arial"/>
                <w:sz w:val="12"/>
                <w:szCs w:val="12"/>
                <w:color w:val="auto"/>
                <w:w w:val="99"/>
              </w:rPr>
              <w:t>—</w:t>
            </w:r>
          </w:p>
        </w:tc>
        <w:tc>
          <w:tcPr>
            <w:tcW w:w="2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146</w:t>
            </w:r>
          </w:p>
        </w:tc>
        <w:tc>
          <w:tcPr>
            <w:tcW w:w="2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96"/>
              <w:spacing w:after="0"/>
              <w:rPr>
                <w:sz w:val="20"/>
                <w:szCs w:val="20"/>
                <w:color w:val="auto"/>
              </w:rPr>
            </w:pPr>
            <w:r>
              <w:rPr>
                <w:rFonts w:ascii="Arial" w:cs="Arial" w:eastAsia="Arial" w:hAnsi="Arial"/>
                <w:sz w:val="5"/>
                <w:szCs w:val="5"/>
                <w:color w:val="auto"/>
                <w:w w:val="70"/>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146</w:t>
            </w:r>
          </w:p>
        </w:tc>
        <w:tc>
          <w:tcPr>
            <w:tcW w:w="8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Liabilities</w:t>
            </w:r>
          </w:p>
        </w:tc>
        <w:tc>
          <w:tcPr>
            <w:tcW w:w="92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right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318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Contingent earn-out consideration</w:t>
            </w:r>
          </w:p>
        </w:tc>
        <w:tc>
          <w:tcPr>
            <w:tcW w:w="92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w w:val="99"/>
              </w:rPr>
              <w:t>—</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655</w:t>
            </w:r>
          </w:p>
        </w:tc>
        <w:tc>
          <w:tcPr>
            <w:tcW w:w="1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655</w:t>
            </w:r>
          </w:p>
        </w:tc>
        <w:tc>
          <w:tcPr>
            <w:tcW w:w="80" w:type="dxa"/>
            <w:vAlign w:val="bottom"/>
            <w:tcBorders>
              <w:bottom w:val="single" w:sz="8" w:color="CFF0FC"/>
            </w:tcBorders>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2"/>
                <w:szCs w:val="12"/>
                <w:color w:val="auto"/>
              </w:rPr>
              <w:t>Total liabilities</w:t>
            </w:r>
          </w:p>
        </w:tc>
        <w:tc>
          <w:tcPr>
            <w:tcW w:w="1540" w:type="dxa"/>
            <w:vAlign w:val="bottom"/>
            <w:gridSpan w:val="2"/>
            <w:shd w:val="clear" w:color="auto" w:fill="CFF0FC"/>
          </w:tcPr>
          <w:p>
            <w:pPr>
              <w:jc w:val="right"/>
              <w:ind w:right="513"/>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ind w:left="40"/>
              <w:spacing w:after="0"/>
              <w:rPr>
                <w:sz w:val="20"/>
                <w:szCs w:val="20"/>
                <w:color w:val="auto"/>
              </w:rPr>
            </w:pPr>
            <w:r>
              <w:rPr>
                <w:rFonts w:ascii="Arial" w:cs="Arial" w:eastAsia="Arial" w:hAnsi="Arial"/>
                <w:sz w:val="12"/>
                <w:szCs w:val="12"/>
                <w:color w:val="auto"/>
                <w:w w:val="99"/>
              </w:rPr>
              <w:t>—</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655</w:t>
            </w:r>
          </w:p>
        </w:tc>
        <w:tc>
          <w:tcPr>
            <w:tcW w:w="18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jc w:val="right"/>
              <w:ind w:right="96"/>
              <w:spacing w:after="0"/>
              <w:rPr>
                <w:sz w:val="20"/>
                <w:szCs w:val="20"/>
                <w:color w:val="auto"/>
              </w:rPr>
            </w:pPr>
            <w:r>
              <w:rPr>
                <w:rFonts w:ascii="Arial" w:cs="Arial" w:eastAsia="Arial" w:hAnsi="Arial"/>
                <w:sz w:val="5"/>
                <w:szCs w:val="5"/>
                <w:color w:val="auto"/>
                <w:w w:val="70"/>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655</w:t>
            </w:r>
          </w:p>
        </w:tc>
        <w:tc>
          <w:tcPr>
            <w:tcW w:w="80" w:type="dxa"/>
            <w:vAlign w:val="bottom"/>
            <w:shd w:val="clear" w:color="auto" w:fill="CFF0FC"/>
          </w:tcPr>
          <w:p>
            <w:pPr>
              <w:spacing w:after="0"/>
              <w:rPr>
                <w:sz w:val="12"/>
                <w:szCs w:val="12"/>
                <w:color w:val="auto"/>
              </w:rPr>
            </w:pPr>
          </w:p>
        </w:tc>
      </w:tr>
      <w:tr>
        <w:trPr>
          <w:trHeight w:val="27"/>
        </w:trPr>
        <w:tc>
          <w:tcPr>
            <w:tcW w:w="20" w:type="dxa"/>
            <w:vAlign w:val="bottom"/>
          </w:tcPr>
          <w:p>
            <w:pPr>
              <w:spacing w:after="0"/>
              <w:rPr>
                <w:sz w:val="2"/>
                <w:szCs w:val="2"/>
                <w:color w:val="auto"/>
              </w:rPr>
            </w:pPr>
          </w:p>
        </w:tc>
        <w:tc>
          <w:tcPr>
            <w:tcW w:w="318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CFF0FC"/>
            </w:tcBorders>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r>
    </w:tbl>
    <w:p>
      <w:pPr>
        <w:spacing w:after="0" w:line="135"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color w:val="auto"/>
        </w:rPr>
        <w:t>The earn-out liability is measured using discounted cash flow techniques, with the expected cash outflows estimated based on the probability of assessment of the acquired business achieving the revenue metrics required for payment. Expected future revenues of the acquired business and the associated estimate of probability are not observable inputs. The payments due are based on point in time measurements of the metrics quarterly for two years from the acquisition date. Changes in the fair value of the earn-out liability were recognized in finance expenses in the condensed consolidated statements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a roll forward of the aggregate fair values of the earn-out liability as of March 31, 2020, for which fair value is determined using Level 3 inputs:</w:t>
      </w:r>
    </w:p>
    <w:p>
      <w:pPr>
        <w:spacing w:after="0" w:line="159" w:lineRule="exact"/>
        <w:rPr>
          <w:sz w:val="20"/>
          <w:szCs w:val="20"/>
          <w:color w:val="auto"/>
        </w:rPr>
      </w:pPr>
    </w:p>
    <w:tbl>
      <w:tblPr>
        <w:tblLayout w:type="fixed"/>
        <w:tblInd w:w="3060" w:type="dxa"/>
        <w:tblCellMar>
          <w:top w:w="0" w:type="dxa"/>
          <w:left w:w="0" w:type="dxa"/>
          <w:bottom w:w="0" w:type="dxa"/>
          <w:right w:w="0" w:type="dxa"/>
        </w:tblCellMar>
      </w:tblPr>
      <w:tr>
        <w:trPr>
          <w:trHeight w:val="153"/>
        </w:trPr>
        <w:tc>
          <w:tcPr>
            <w:tcW w:w="3620" w:type="dxa"/>
            <w:vAlign w:val="bottom"/>
            <w:shd w:val="clear" w:color="auto" w:fill="CFF0FC"/>
          </w:tcPr>
          <w:p>
            <w:pPr>
              <w:spacing w:after="0"/>
              <w:rPr>
                <w:sz w:val="20"/>
                <w:szCs w:val="20"/>
                <w:color w:val="auto"/>
              </w:rPr>
            </w:pPr>
            <w:r>
              <w:rPr>
                <w:rFonts w:ascii="Arial" w:cs="Arial" w:eastAsia="Arial" w:hAnsi="Arial"/>
                <w:sz w:val="12"/>
                <w:szCs w:val="12"/>
                <w:color w:val="auto"/>
              </w:rPr>
              <w:t>Beginning balance</w:t>
            </w:r>
          </w:p>
        </w:tc>
        <w:tc>
          <w:tcPr>
            <w:tcW w:w="320" w:type="dxa"/>
            <w:vAlign w:val="bottom"/>
            <w:shd w:val="clear" w:color="auto" w:fill="CFF0FC"/>
          </w:tcPr>
          <w:p>
            <w:pPr>
              <w:jc w:val="right"/>
              <w:ind w:right="212"/>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950</w:t>
            </w:r>
          </w:p>
        </w:tc>
        <w:tc>
          <w:tcPr>
            <w:tcW w:w="60" w:type="dxa"/>
            <w:vAlign w:val="bottom"/>
            <w:shd w:val="clear" w:color="auto" w:fill="CFF0FC"/>
          </w:tcPr>
          <w:p>
            <w:pPr>
              <w:spacing w:after="0"/>
              <w:rPr>
                <w:sz w:val="13"/>
                <w:szCs w:val="13"/>
                <w:color w:val="auto"/>
              </w:rPr>
            </w:pPr>
          </w:p>
        </w:tc>
      </w:tr>
      <w:tr>
        <w:trPr>
          <w:trHeight w:val="153"/>
        </w:trPr>
        <w:tc>
          <w:tcPr>
            <w:tcW w:w="3620" w:type="dxa"/>
            <w:vAlign w:val="bottom"/>
          </w:tcPr>
          <w:p>
            <w:pPr>
              <w:ind w:left="160"/>
              <w:spacing w:after="0"/>
              <w:rPr>
                <w:sz w:val="20"/>
                <w:szCs w:val="20"/>
                <w:color w:val="auto"/>
              </w:rPr>
            </w:pPr>
            <w:r>
              <w:rPr>
                <w:rFonts w:ascii="Arial" w:cs="Arial" w:eastAsia="Arial" w:hAnsi="Arial"/>
                <w:sz w:val="12"/>
                <w:szCs w:val="12"/>
                <w:color w:val="auto"/>
              </w:rPr>
              <w:t>Payments</w:t>
            </w:r>
          </w:p>
        </w:tc>
        <w:tc>
          <w:tcPr>
            <w:tcW w:w="32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(828)</w:t>
            </w:r>
          </w:p>
        </w:tc>
      </w:tr>
      <w:tr>
        <w:trPr>
          <w:trHeight w:val="153"/>
        </w:trPr>
        <w:tc>
          <w:tcPr>
            <w:tcW w:w="36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Change in value</w:t>
            </w:r>
          </w:p>
        </w:tc>
        <w:tc>
          <w:tcPr>
            <w:tcW w:w="3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533</w:t>
            </w:r>
          </w:p>
        </w:tc>
        <w:tc>
          <w:tcPr>
            <w:tcW w:w="60" w:type="dxa"/>
            <w:vAlign w:val="bottom"/>
            <w:shd w:val="clear" w:color="auto" w:fill="CFF0FC"/>
          </w:tcPr>
          <w:p>
            <w:pPr>
              <w:spacing w:after="0"/>
              <w:rPr>
                <w:sz w:val="13"/>
                <w:szCs w:val="13"/>
                <w:color w:val="auto"/>
              </w:rPr>
            </w:pPr>
          </w:p>
        </w:tc>
      </w:tr>
      <w:tr>
        <w:trPr>
          <w:trHeight w:val="153"/>
        </w:trPr>
        <w:tc>
          <w:tcPr>
            <w:tcW w:w="3620" w:type="dxa"/>
            <w:vAlign w:val="bottom"/>
          </w:tcPr>
          <w:p>
            <w:pPr>
              <w:spacing w:after="0"/>
              <w:rPr>
                <w:sz w:val="20"/>
                <w:szCs w:val="20"/>
                <w:color w:val="auto"/>
              </w:rPr>
            </w:pPr>
            <w:r>
              <w:rPr>
                <w:rFonts w:ascii="Arial" w:cs="Arial" w:eastAsia="Arial" w:hAnsi="Arial"/>
                <w:sz w:val="12"/>
                <w:szCs w:val="12"/>
                <w:color w:val="auto"/>
              </w:rPr>
              <w:t>December 31, 2019</w:t>
            </w:r>
          </w:p>
        </w:tc>
        <w:tc>
          <w:tcPr>
            <w:tcW w:w="3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655</w:t>
            </w:r>
          </w:p>
        </w:tc>
        <w:tc>
          <w:tcPr>
            <w:tcW w:w="60" w:type="dxa"/>
            <w:vAlign w:val="bottom"/>
          </w:tcPr>
          <w:p>
            <w:pPr>
              <w:spacing w:after="0"/>
              <w:rPr>
                <w:sz w:val="13"/>
                <w:szCs w:val="13"/>
                <w:color w:val="auto"/>
              </w:rPr>
            </w:pPr>
          </w:p>
        </w:tc>
      </w:tr>
      <w:tr>
        <w:trPr>
          <w:trHeight w:val="153"/>
        </w:trPr>
        <w:tc>
          <w:tcPr>
            <w:tcW w:w="36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Payments</w:t>
            </w:r>
          </w:p>
        </w:tc>
        <w:tc>
          <w:tcPr>
            <w:tcW w:w="3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(77)</w:t>
            </w:r>
          </w:p>
        </w:tc>
      </w:tr>
      <w:tr>
        <w:trPr>
          <w:trHeight w:val="153"/>
        </w:trPr>
        <w:tc>
          <w:tcPr>
            <w:tcW w:w="362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Change in value</w:t>
            </w:r>
          </w:p>
        </w:tc>
        <w:tc>
          <w:tcPr>
            <w:tcW w:w="3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179</w:t>
            </w:r>
          </w:p>
        </w:tc>
        <w:tc>
          <w:tcPr>
            <w:tcW w:w="60" w:type="dxa"/>
            <w:vAlign w:val="bottom"/>
            <w:tcBorders>
              <w:bottom w:val="single" w:sz="8" w:color="CFF0FC"/>
            </w:tcBorders>
          </w:tcPr>
          <w:p>
            <w:pPr>
              <w:spacing w:after="0"/>
              <w:rPr>
                <w:sz w:val="13"/>
                <w:szCs w:val="13"/>
                <w:color w:val="auto"/>
              </w:rPr>
            </w:pPr>
          </w:p>
        </w:tc>
      </w:tr>
      <w:tr>
        <w:trPr>
          <w:trHeight w:val="149"/>
        </w:trPr>
        <w:tc>
          <w:tcPr>
            <w:tcW w:w="3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March 31, 2020</w:t>
            </w:r>
          </w:p>
        </w:tc>
        <w:tc>
          <w:tcPr>
            <w:tcW w:w="320" w:type="dxa"/>
            <w:vAlign w:val="bottom"/>
            <w:tcBorders>
              <w:bottom w:val="single" w:sz="8" w:color="auto"/>
            </w:tcBorders>
            <w:shd w:val="clear" w:color="auto" w:fill="CFF0FC"/>
          </w:tcPr>
          <w:p>
            <w:pPr>
              <w:jc w:val="right"/>
              <w:ind w:right="212"/>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757</w:t>
            </w:r>
          </w:p>
        </w:tc>
        <w:tc>
          <w:tcPr>
            <w:tcW w:w="60" w:type="dxa"/>
            <w:vAlign w:val="bottom"/>
            <w:tcBorders>
              <w:bottom w:val="single" w:sz="8" w:color="CFF0FC"/>
            </w:tcBorders>
            <w:shd w:val="clear" w:color="auto" w:fill="CFF0FC"/>
          </w:tcPr>
          <w:p>
            <w:pPr>
              <w:spacing w:after="0"/>
              <w:rPr>
                <w:sz w:val="12"/>
                <w:szCs w:val="12"/>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ACCOUNTS RECEIVABLE</w:t>
      </w:r>
    </w:p>
    <w:p>
      <w:pPr>
        <w:spacing w:after="0" w:line="154"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The Company’s products may be sold under subscription contracts with control passing to the customer at the end of the lease term, which is generally 36 months. These arrangements are considered to be sales-type leases, where the present value of all cash flows to be received within the arrangement is recognized upon shipment to the customer as lease revenue.</w:t>
      </w:r>
    </w:p>
    <w:p>
      <w:pPr>
        <w:spacing w:after="0" w:line="115"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A financing receivable is a contractual right to receive money, on demand or on fixed or determinable dates, that is recognized as an asset on the Company's consolidated balance sheets. The Company's financing receivables, consisting of sales-type leases, totaled $60,895 and $72,602 as of March 31, 2020 and December 31, 2019, respectively, and are included in accounts receivable and long-term receivables on the consolidated balance sheets. The Company evaluates the credit quality of an obligor at lease inception and monitors credit quality over the term of the underlying transactions.</w:t>
      </w:r>
    </w:p>
    <w:p>
      <w:pPr>
        <w:spacing w:after="0" w:line="122"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The Company performed an assessment of the allowance for doubtful accounts as of March 31, 2020 and December 31, 2019. Based upon such assessment, the Company recorded an allowance for doubtful accounts totaling $10,889 and $10,494 as of March 31, 2020 and December 31, 2019, respectively.</w:t>
      </w:r>
    </w:p>
    <w:p>
      <w:pPr>
        <w:spacing w:after="0" w:line="259" w:lineRule="exact"/>
        <w:rPr>
          <w:sz w:val="20"/>
          <w:szCs w:val="20"/>
          <w:color w:val="auto"/>
        </w:rPr>
      </w:pPr>
    </w:p>
    <w:p>
      <w:pPr>
        <w:jc w:val="center"/>
        <w:ind w:right="340"/>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55245</wp:posOffset>
            </wp:positionV>
            <wp:extent cx="718947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900"/>
          </w:cols>
          <w:pgMar w:left="660" w:top="322" w:right="339" w:bottom="1440" w:gutter="0" w:footer="0" w:header="0"/>
        </w:sectPr>
      </w:pPr>
    </w:p>
    <w:bookmarkStart w:id="13" w:name="page14"/>
    <w:bookmarkEnd w:id="13"/>
    <w:p>
      <w:pPr>
        <w:ind w:left="360"/>
        <w:spacing w:after="0"/>
        <w:rPr>
          <w:sz w:val="20"/>
          <w:szCs w:val="20"/>
          <w:color w:val="auto"/>
        </w:rPr>
      </w:pPr>
      <w:r>
        <w:rPr>
          <w:rFonts w:ascii="Arial" w:cs="Arial" w:eastAsia="Arial" w:hAnsi="Arial"/>
          <w:sz w:val="12"/>
          <w:szCs w:val="12"/>
          <w:color w:val="auto"/>
        </w:rPr>
        <w:t>A summary of the Company’s accounts receivables is presented as follows:</w:t>
      </w:r>
    </w:p>
    <w:p>
      <w:pPr>
        <w:spacing w:after="0" w:line="290"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March 31,</w:t>
            </w:r>
          </w:p>
        </w:tc>
        <w:tc>
          <w:tcPr>
            <w:tcW w:w="160" w:type="dxa"/>
            <w:vAlign w:val="bottom"/>
          </w:tcPr>
          <w:p>
            <w:pPr>
              <w:spacing w:after="0"/>
              <w:rPr>
                <w:sz w:val="10"/>
                <w:szCs w:val="1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w w:val="98"/>
              </w:rPr>
              <w:t>December 31,</w:t>
            </w:r>
          </w:p>
        </w:tc>
      </w:tr>
      <w:tr>
        <w:trPr>
          <w:trHeight w:val="113"/>
        </w:trPr>
        <w:tc>
          <w:tcPr>
            <w:tcW w:w="20" w:type="dxa"/>
            <w:vAlign w:val="bottom"/>
          </w:tcPr>
          <w:p>
            <w:pPr>
              <w:spacing w:after="0"/>
              <w:rPr>
                <w:sz w:val="9"/>
                <w:szCs w:val="9"/>
                <w:color w:val="auto"/>
              </w:rPr>
            </w:pPr>
          </w:p>
        </w:tc>
        <w:tc>
          <w:tcPr>
            <w:tcW w:w="3580" w:type="dxa"/>
            <w:vAlign w:val="bottom"/>
            <w:tcBorders>
              <w:bottom w:val="single" w:sz="8" w:color="CFF0FC"/>
            </w:tcBorders>
          </w:tcPr>
          <w:p>
            <w:pPr>
              <w:spacing w:after="0"/>
              <w:rPr>
                <w:sz w:val="9"/>
                <w:szCs w:val="9"/>
                <w:color w:val="auto"/>
              </w:rPr>
            </w:pPr>
          </w:p>
        </w:tc>
        <w:tc>
          <w:tcPr>
            <w:tcW w:w="186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402"/>
              <w:spacing w:after="0" w:line="114" w:lineRule="exact"/>
              <w:rPr>
                <w:sz w:val="20"/>
                <w:szCs w:val="20"/>
                <w:color w:val="auto"/>
              </w:rPr>
            </w:pPr>
            <w:r>
              <w:rPr>
                <w:rFonts w:ascii="Arial" w:cs="Arial" w:eastAsia="Arial" w:hAnsi="Arial"/>
                <w:sz w:val="10"/>
                <w:szCs w:val="10"/>
                <w:b w:val="1"/>
                <w:bCs w:val="1"/>
                <w:color w:val="auto"/>
              </w:rPr>
              <w:t>2020</w:t>
            </w:r>
          </w:p>
        </w:tc>
        <w:tc>
          <w:tcPr>
            <w:tcW w:w="22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ind w:right="402"/>
              <w:spacing w:after="0" w:line="114" w:lineRule="exact"/>
              <w:rPr>
                <w:sz w:val="20"/>
                <w:szCs w:val="20"/>
                <w:color w:val="auto"/>
              </w:rPr>
            </w:pPr>
            <w:r>
              <w:rPr>
                <w:rFonts w:ascii="Arial" w:cs="Arial" w:eastAsia="Arial" w:hAnsi="Arial"/>
                <w:sz w:val="10"/>
                <w:szCs w:val="10"/>
                <w:b w:val="1"/>
                <w:bCs w:val="1"/>
                <w:color w:val="auto"/>
              </w:rPr>
              <w:t>2019</w:t>
            </w:r>
          </w:p>
        </w:tc>
        <w:tc>
          <w:tcPr>
            <w:tcW w:w="60" w:type="dxa"/>
            <w:vAlign w:val="bottom"/>
            <w:tcBorders>
              <w:bottom w:val="single" w:sz="8" w:color="CFF0FC"/>
            </w:tcBorders>
          </w:tcPr>
          <w:p>
            <w:pPr>
              <w:spacing w:after="0"/>
              <w:rPr>
                <w:sz w:val="9"/>
                <w:szCs w:val="9"/>
                <w:color w:val="auto"/>
              </w:rPr>
            </w:pPr>
          </w:p>
        </w:tc>
      </w:tr>
      <w:tr>
        <w:trPr>
          <w:trHeight w:val="142"/>
        </w:trPr>
        <w:tc>
          <w:tcPr>
            <w:tcW w:w="20" w:type="dxa"/>
            <w:vAlign w:val="bottom"/>
          </w:tcPr>
          <w:p>
            <w:pPr>
              <w:spacing w:after="0"/>
              <w:rPr>
                <w:sz w:val="12"/>
                <w:szCs w:val="12"/>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2"/>
                <w:szCs w:val="12"/>
                <w:color w:val="auto"/>
              </w:rPr>
              <w:t>Gross accounts receivable</w:t>
            </w:r>
          </w:p>
        </w:tc>
        <w:tc>
          <w:tcPr>
            <w:tcW w:w="20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93,776</w:t>
            </w:r>
          </w:p>
        </w:tc>
        <w:tc>
          <w:tcPr>
            <w:tcW w:w="2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jc w:val="right"/>
              <w:ind w:right="96"/>
              <w:spacing w:after="0"/>
              <w:rPr>
                <w:sz w:val="20"/>
                <w:szCs w:val="20"/>
                <w:color w:val="auto"/>
              </w:rPr>
            </w:pPr>
            <w:r>
              <w:rPr>
                <w:rFonts w:ascii="Arial" w:cs="Arial" w:eastAsia="Arial" w:hAnsi="Arial"/>
                <w:sz w:val="5"/>
                <w:szCs w:val="5"/>
                <w:color w:val="auto"/>
                <w:w w:val="70"/>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105,127</w:t>
            </w:r>
          </w:p>
        </w:tc>
        <w:tc>
          <w:tcPr>
            <w:tcW w:w="60" w:type="dxa"/>
            <w:vAlign w:val="bottom"/>
            <w:shd w:val="clear" w:color="auto" w:fill="CFF0FC"/>
          </w:tcPr>
          <w:p>
            <w:pPr>
              <w:spacing w:after="0"/>
              <w:rPr>
                <w:sz w:val="12"/>
                <w:szCs w:val="12"/>
                <w:color w:val="auto"/>
              </w:rPr>
            </w:pPr>
          </w:p>
        </w:tc>
      </w:tr>
      <w:tr>
        <w:trPr>
          <w:trHeight w:val="153"/>
        </w:trPr>
        <w:tc>
          <w:tcPr>
            <w:tcW w:w="3600" w:type="dxa"/>
            <w:vAlign w:val="bottom"/>
            <w:gridSpan w:val="2"/>
          </w:tcPr>
          <w:p>
            <w:pPr>
              <w:spacing w:after="0"/>
              <w:rPr>
                <w:sz w:val="20"/>
                <w:szCs w:val="20"/>
                <w:color w:val="auto"/>
              </w:rPr>
            </w:pPr>
            <w:r>
              <w:rPr>
                <w:rFonts w:ascii="Arial" w:cs="Arial" w:eastAsia="Arial" w:hAnsi="Arial"/>
                <w:sz w:val="12"/>
                <w:szCs w:val="12"/>
                <w:color w:val="auto"/>
              </w:rPr>
              <w:t>Unearned income</w:t>
            </w:r>
          </w:p>
        </w:tc>
        <w:tc>
          <w:tcPr>
            <w:tcW w:w="1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(4,649)</w:t>
            </w:r>
          </w:p>
        </w:tc>
        <w:tc>
          <w:tcPr>
            <w:tcW w:w="16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2"/>
                <w:szCs w:val="12"/>
                <w:color w:val="auto"/>
              </w:rPr>
              <w:t>(5,623)</w:t>
            </w:r>
          </w:p>
        </w:tc>
      </w:tr>
      <w:tr>
        <w:trPr>
          <w:trHeight w:val="153"/>
        </w:trPr>
        <w:tc>
          <w:tcPr>
            <w:tcW w:w="20" w:type="dxa"/>
            <w:vAlign w:val="bottom"/>
          </w:tcPr>
          <w:p>
            <w:pPr>
              <w:spacing w:after="0"/>
              <w:rPr>
                <w:sz w:val="13"/>
                <w:szCs w:val="13"/>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2"/>
                <w:szCs w:val="12"/>
                <w:color w:val="auto"/>
              </w:rPr>
              <w:t>Allowance for doubtful accounts</w:t>
            </w:r>
          </w:p>
        </w:tc>
        <w:tc>
          <w:tcPr>
            <w:tcW w:w="1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(10,889)</w:t>
            </w:r>
          </w:p>
        </w:tc>
        <w:tc>
          <w:tcPr>
            <w:tcW w:w="1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(10,494)</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78,238</w:t>
            </w:r>
          </w:p>
        </w:tc>
        <w:tc>
          <w:tcPr>
            <w:tcW w:w="220" w:type="dxa"/>
            <w:vAlign w:val="bottom"/>
          </w:tcPr>
          <w:p>
            <w:pPr>
              <w:spacing w:after="0"/>
              <w:rPr>
                <w:sz w:val="12"/>
                <w:szCs w:val="12"/>
                <w:color w:val="auto"/>
              </w:rPr>
            </w:pPr>
          </w:p>
        </w:tc>
        <w:tc>
          <w:tcPr>
            <w:tcW w:w="160" w:type="dxa"/>
            <w:vAlign w:val="bottom"/>
          </w:tcPr>
          <w:p>
            <w:pPr>
              <w:jc w:val="right"/>
              <w:ind w:right="96"/>
              <w:spacing w:after="0"/>
              <w:rPr>
                <w:sz w:val="20"/>
                <w:szCs w:val="20"/>
                <w:color w:val="auto"/>
              </w:rPr>
            </w:pPr>
            <w:r>
              <w:rPr>
                <w:rFonts w:ascii="Arial" w:cs="Arial" w:eastAsia="Arial" w:hAnsi="Arial"/>
                <w:sz w:val="5"/>
                <w:szCs w:val="5"/>
                <w:color w:val="auto"/>
                <w:w w:val="70"/>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89,010</w:t>
            </w:r>
          </w:p>
        </w:tc>
        <w:tc>
          <w:tcPr>
            <w:tcW w:w="6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Reported as:</w:t>
            </w:r>
          </w:p>
        </w:tc>
        <w:tc>
          <w:tcPr>
            <w:tcW w:w="18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right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r>
      <w:tr>
        <w:trPr>
          <w:trHeight w:val="153"/>
        </w:trPr>
        <w:tc>
          <w:tcPr>
            <w:tcW w:w="3600" w:type="dxa"/>
            <w:vAlign w:val="bottom"/>
            <w:gridSpan w:val="2"/>
          </w:tcPr>
          <w:p>
            <w:pPr>
              <w:spacing w:after="0"/>
              <w:rPr>
                <w:sz w:val="20"/>
                <w:szCs w:val="20"/>
                <w:color w:val="auto"/>
              </w:rPr>
            </w:pPr>
            <w:r>
              <w:rPr>
                <w:rFonts w:ascii="Arial" w:cs="Arial" w:eastAsia="Arial" w:hAnsi="Arial"/>
                <w:sz w:val="12"/>
                <w:szCs w:val="12"/>
                <w:color w:val="auto"/>
              </w:rPr>
              <w:t>Current trade receivables</w:t>
            </w:r>
          </w:p>
        </w:tc>
        <w:tc>
          <w:tcPr>
            <w:tcW w:w="2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55,020</w:t>
            </w:r>
          </w:p>
        </w:tc>
        <w:tc>
          <w:tcPr>
            <w:tcW w:w="220" w:type="dxa"/>
            <w:vAlign w:val="bottom"/>
          </w:tcPr>
          <w:p>
            <w:pPr>
              <w:spacing w:after="0"/>
              <w:rPr>
                <w:sz w:val="13"/>
                <w:szCs w:val="13"/>
                <w:color w:val="auto"/>
              </w:rPr>
            </w:pPr>
          </w:p>
        </w:tc>
        <w:tc>
          <w:tcPr>
            <w:tcW w:w="160" w:type="dxa"/>
            <w:vAlign w:val="bottom"/>
          </w:tcPr>
          <w:p>
            <w:pPr>
              <w:jc w:val="right"/>
              <w:ind w:right="96"/>
              <w:spacing w:after="0"/>
              <w:rPr>
                <w:sz w:val="20"/>
                <w:szCs w:val="20"/>
                <w:color w:val="auto"/>
              </w:rPr>
            </w:pPr>
            <w:r>
              <w:rPr>
                <w:rFonts w:ascii="Arial" w:cs="Arial" w:eastAsia="Arial" w:hAnsi="Arial"/>
                <w:sz w:val="5"/>
                <w:szCs w:val="5"/>
                <w:color w:val="auto"/>
                <w:w w:val="70"/>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58,977</w:t>
            </w:r>
          </w:p>
        </w:tc>
        <w:tc>
          <w:tcPr>
            <w:tcW w:w="6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2"/>
                <w:szCs w:val="12"/>
                <w:color w:val="auto"/>
              </w:rPr>
              <w:t>Current unearned interest income</w:t>
            </w:r>
          </w:p>
        </w:tc>
        <w:tc>
          <w:tcPr>
            <w:tcW w:w="1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(3,672)</w:t>
            </w:r>
          </w:p>
        </w:tc>
        <w:tc>
          <w:tcPr>
            <w:tcW w:w="1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(3,942)</w:t>
            </w:r>
          </w:p>
        </w:tc>
      </w:tr>
      <w:tr>
        <w:trPr>
          <w:trHeight w:val="153"/>
        </w:trPr>
        <w:tc>
          <w:tcPr>
            <w:tcW w:w="3600" w:type="dxa"/>
            <w:vAlign w:val="bottom"/>
            <w:gridSpan w:val="2"/>
          </w:tcPr>
          <w:p>
            <w:pPr>
              <w:spacing w:after="0"/>
              <w:rPr>
                <w:sz w:val="20"/>
                <w:szCs w:val="20"/>
                <w:color w:val="auto"/>
              </w:rPr>
            </w:pPr>
            <w:r>
              <w:rPr>
                <w:rFonts w:ascii="Arial" w:cs="Arial" w:eastAsia="Arial" w:hAnsi="Arial"/>
                <w:sz w:val="12"/>
                <w:szCs w:val="12"/>
                <w:color w:val="auto"/>
              </w:rPr>
              <w:t>Long-term trade receivables</w:t>
            </w:r>
          </w:p>
        </w:tc>
        <w:tc>
          <w:tcPr>
            <w:tcW w:w="1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27,867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35,656</w:t>
            </w:r>
          </w:p>
        </w:tc>
        <w:tc>
          <w:tcPr>
            <w:tcW w:w="6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2"/>
                <w:szCs w:val="12"/>
                <w:color w:val="auto"/>
              </w:rPr>
              <w:t>Long-term unearned interest income</w:t>
            </w:r>
          </w:p>
        </w:tc>
        <w:tc>
          <w:tcPr>
            <w:tcW w:w="1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(977)</w:t>
            </w:r>
          </w:p>
        </w:tc>
        <w:tc>
          <w:tcPr>
            <w:tcW w:w="1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(1,681)</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78,238</w:t>
            </w:r>
          </w:p>
        </w:tc>
        <w:tc>
          <w:tcPr>
            <w:tcW w:w="220" w:type="dxa"/>
            <w:vAlign w:val="bottom"/>
          </w:tcPr>
          <w:p>
            <w:pPr>
              <w:spacing w:after="0"/>
              <w:rPr>
                <w:sz w:val="12"/>
                <w:szCs w:val="12"/>
                <w:color w:val="auto"/>
              </w:rPr>
            </w:pPr>
          </w:p>
        </w:tc>
        <w:tc>
          <w:tcPr>
            <w:tcW w:w="160" w:type="dxa"/>
            <w:vAlign w:val="bottom"/>
          </w:tcPr>
          <w:p>
            <w:pPr>
              <w:jc w:val="right"/>
              <w:ind w:right="96"/>
              <w:spacing w:after="0"/>
              <w:rPr>
                <w:sz w:val="20"/>
                <w:szCs w:val="20"/>
                <w:color w:val="auto"/>
              </w:rPr>
            </w:pPr>
            <w:r>
              <w:rPr>
                <w:rFonts w:ascii="Arial" w:cs="Arial" w:eastAsia="Arial" w:hAnsi="Arial"/>
                <w:sz w:val="5"/>
                <w:szCs w:val="5"/>
                <w:color w:val="auto"/>
                <w:w w:val="70"/>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89,010</w:t>
            </w:r>
          </w:p>
        </w:tc>
        <w:tc>
          <w:tcPr>
            <w:tcW w:w="60" w:type="dxa"/>
            <w:vAlign w:val="bottom"/>
          </w:tcPr>
          <w:p>
            <w:pPr>
              <w:spacing w:after="0"/>
              <w:rPr>
                <w:sz w:val="12"/>
                <w:szCs w:val="12"/>
                <w:color w:val="auto"/>
              </w:rPr>
            </w:pPr>
          </w:p>
        </w:tc>
      </w:tr>
      <w:tr>
        <w:trPr>
          <w:trHeight w:val="27"/>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35" w:lineRule="exact"/>
        <w:rPr>
          <w:sz w:val="20"/>
          <w:szCs w:val="20"/>
          <w:color w:val="auto"/>
        </w:rPr>
      </w:pPr>
    </w:p>
    <w:p>
      <w:pPr>
        <w:ind w:left="360"/>
        <w:spacing w:after="0"/>
        <w:rPr>
          <w:sz w:val="20"/>
          <w:szCs w:val="20"/>
          <w:color w:val="auto"/>
        </w:rPr>
      </w:pPr>
      <w:r>
        <w:rPr>
          <w:rFonts w:ascii="Arial" w:cs="Arial" w:eastAsia="Arial" w:hAnsi="Arial"/>
          <w:sz w:val="11"/>
          <w:szCs w:val="11"/>
          <w:color w:val="auto"/>
        </w:rPr>
        <w:t>Current subscription contracts are reported as part of accounts receivable. The following are the contractual commitments, net of allowance for doubtful accounts, to be received by the Company over the next 5 years:</w:t>
      </w:r>
    </w:p>
    <w:p>
      <w:pPr>
        <w:spacing w:after="0" w:line="208"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ind w:right="143"/>
              <w:spacing w:after="0"/>
              <w:rPr>
                <w:sz w:val="20"/>
                <w:szCs w:val="20"/>
                <w:color w:val="auto"/>
              </w:rPr>
            </w:pPr>
            <w:r>
              <w:rPr>
                <w:rFonts w:ascii="Arial" w:cs="Arial" w:eastAsia="Arial" w:hAnsi="Arial"/>
                <w:sz w:val="10"/>
                <w:szCs w:val="10"/>
                <w:b w:val="1"/>
                <w:bCs w:val="1"/>
                <w:color w:val="auto"/>
              </w:rPr>
              <w:t>Total</w:t>
            </w: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25"/>
              <w:spacing w:after="0"/>
              <w:rPr>
                <w:sz w:val="20"/>
                <w:szCs w:val="20"/>
                <w:color w:val="auto"/>
              </w:rPr>
            </w:pPr>
            <w:r>
              <w:rPr>
                <w:rFonts w:ascii="Arial" w:cs="Arial" w:eastAsia="Arial" w:hAnsi="Arial"/>
                <w:sz w:val="10"/>
                <w:szCs w:val="10"/>
                <w:b w:val="1"/>
                <w:bCs w:val="1"/>
                <w:color w:val="auto"/>
                <w:w w:val="90"/>
              </w:rPr>
              <w:t>March 31,</w:t>
            </w: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120" w:type="dxa"/>
            <w:vAlign w:val="bottom"/>
            <w:tcBorders>
              <w:bottom w:val="single" w:sz="8" w:color="CFF0FC"/>
            </w:tcBorders>
          </w:tcPr>
          <w:p>
            <w:pPr>
              <w:spacing w:after="0"/>
              <w:rPr>
                <w:sz w:val="8"/>
                <w:szCs w:val="8"/>
                <w:color w:val="auto"/>
              </w:rPr>
            </w:pPr>
          </w:p>
        </w:tc>
        <w:tc>
          <w:tcPr>
            <w:tcW w:w="240" w:type="dxa"/>
            <w:vAlign w:val="bottom"/>
            <w:tcBorders>
              <w:bottom w:val="single" w:sz="8" w:color="CFF0FC"/>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vMerge w:val="continue"/>
          </w:tcPr>
          <w:p>
            <w:pPr>
              <w:spacing w:after="0"/>
              <w:rPr>
                <w:sz w:val="8"/>
                <w:szCs w:val="8"/>
                <w:color w:val="auto"/>
              </w:rPr>
            </w:pPr>
          </w:p>
        </w:tc>
        <w:tc>
          <w:tcPr>
            <w:tcW w:w="160" w:type="dxa"/>
            <w:vAlign w:val="bottom"/>
            <w:tcBorders>
              <w:bottom w:val="single" w:sz="8" w:color="CFF0FC"/>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48"/>
              <w:spacing w:after="0" w:line="97" w:lineRule="exact"/>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FF0FC"/>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63"/>
              <w:spacing w:after="0" w:line="97" w:lineRule="exact"/>
              <w:rPr>
                <w:sz w:val="20"/>
                <w:szCs w:val="20"/>
                <w:color w:val="auto"/>
              </w:rPr>
            </w:pPr>
            <w:r>
              <w:rPr>
                <w:rFonts w:ascii="Arial" w:cs="Arial" w:eastAsia="Arial" w:hAnsi="Arial"/>
                <w:sz w:val="10"/>
                <w:szCs w:val="10"/>
                <w:b w:val="1"/>
                <w:bCs w:val="1"/>
                <w:color w:val="auto"/>
              </w:rPr>
              <w:t>2022</w:t>
            </w:r>
          </w:p>
        </w:tc>
        <w:tc>
          <w:tcPr>
            <w:tcW w:w="160" w:type="dxa"/>
            <w:vAlign w:val="bottom"/>
            <w:tcBorders>
              <w:bottom w:val="single" w:sz="8" w:color="CFF0FC"/>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65"/>
              <w:spacing w:after="0" w:line="97" w:lineRule="exact"/>
              <w:rPr>
                <w:sz w:val="20"/>
                <w:szCs w:val="20"/>
                <w:color w:val="auto"/>
              </w:rPr>
            </w:pPr>
            <w:r>
              <w:rPr>
                <w:rFonts w:ascii="Arial" w:cs="Arial" w:eastAsia="Arial" w:hAnsi="Arial"/>
                <w:sz w:val="10"/>
                <w:szCs w:val="10"/>
                <w:b w:val="1"/>
                <w:bCs w:val="1"/>
                <w:color w:val="auto"/>
              </w:rPr>
              <w:t>2023</w:t>
            </w:r>
          </w:p>
        </w:tc>
        <w:tc>
          <w:tcPr>
            <w:tcW w:w="160" w:type="dxa"/>
            <w:vAlign w:val="bottom"/>
            <w:tcBorders>
              <w:bottom w:val="single" w:sz="8" w:color="CFF0FC"/>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63"/>
              <w:spacing w:after="0" w:line="97" w:lineRule="exact"/>
              <w:rPr>
                <w:sz w:val="20"/>
                <w:szCs w:val="20"/>
                <w:color w:val="auto"/>
              </w:rPr>
            </w:pPr>
            <w:r>
              <w:rPr>
                <w:rFonts w:ascii="Arial" w:cs="Arial" w:eastAsia="Arial" w:hAnsi="Arial"/>
                <w:sz w:val="10"/>
                <w:szCs w:val="10"/>
                <w:b w:val="1"/>
                <w:bCs w:val="1"/>
                <w:color w:val="auto"/>
              </w:rPr>
              <w:t>2024</w:t>
            </w:r>
          </w:p>
        </w:tc>
        <w:tc>
          <w:tcPr>
            <w:tcW w:w="160" w:type="dxa"/>
            <w:vAlign w:val="bottom"/>
            <w:tcBorders>
              <w:bottom w:val="single" w:sz="8" w:color="CFF0FC"/>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248"/>
              <w:spacing w:after="0" w:line="97" w:lineRule="exact"/>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2"/>
                <w:szCs w:val="12"/>
                <w:color w:val="auto"/>
              </w:rPr>
              <w:t>Current financing receivables, net of allowance of $4,352</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33,028</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33,028</w:t>
            </w:r>
          </w:p>
        </w:tc>
        <w:tc>
          <w:tcPr>
            <w:tcW w:w="30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480" w:type="dxa"/>
            <w:vAlign w:val="bottom"/>
            <w:shd w:val="clear" w:color="auto" w:fill="CFF0FC"/>
          </w:tcPr>
          <w:p>
            <w:pPr>
              <w:ind w:left="340"/>
              <w:spacing w:after="0"/>
              <w:rPr>
                <w:sz w:val="20"/>
                <w:szCs w:val="20"/>
                <w:color w:val="auto"/>
              </w:rPr>
            </w:pPr>
            <w:r>
              <w:rPr>
                <w:rFonts w:ascii="Arial" w:cs="Arial" w:eastAsia="Arial" w:hAnsi="Arial"/>
                <w:sz w:val="12"/>
                <w:szCs w:val="12"/>
                <w:color w:val="auto"/>
                <w:w w:val="99"/>
              </w:rPr>
              <w:t>—</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CFF0FC"/>
            </w:tcBorders>
            <w:shd w:val="clear" w:color="auto" w:fill="CFF0FC"/>
          </w:tcPr>
          <w:p>
            <w:pPr>
              <w:jc w:val="right"/>
              <w:ind w:right="2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140" w:type="dxa"/>
            <w:vAlign w:val="bottom"/>
            <w:gridSpan w:val="2"/>
          </w:tcPr>
          <w:p>
            <w:pPr>
              <w:spacing w:after="0"/>
              <w:rPr>
                <w:sz w:val="20"/>
                <w:szCs w:val="20"/>
                <w:color w:val="auto"/>
              </w:rPr>
            </w:pPr>
            <w:r>
              <w:rPr>
                <w:rFonts w:ascii="Arial" w:cs="Arial" w:eastAsia="Arial" w:hAnsi="Arial"/>
                <w:sz w:val="12"/>
                <w:szCs w:val="12"/>
                <w:color w:val="auto"/>
                <w:w w:val="98"/>
              </w:rPr>
              <w:t>Long-term financing receivables, net of allowance of $3,639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27,867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21,315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6,534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ind w:left="340"/>
              <w:spacing w:after="0"/>
              <w:rPr>
                <w:sz w:val="20"/>
                <w:szCs w:val="20"/>
                <w:color w:val="auto"/>
              </w:rPr>
            </w:pPr>
            <w:r>
              <w:rPr>
                <w:rFonts w:ascii="Arial" w:cs="Arial" w:eastAsia="Arial" w:hAnsi="Arial"/>
                <w:sz w:val="12"/>
                <w:szCs w:val="12"/>
                <w:color w:val="auto"/>
                <w:w w:val="89"/>
              </w:rPr>
              <w:t>18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28"/>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60,895</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33,028</w:t>
            </w:r>
          </w:p>
        </w:tc>
        <w:tc>
          <w:tcPr>
            <w:tcW w:w="30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21,315</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6,534</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480" w:type="dxa"/>
            <w:vAlign w:val="bottom"/>
            <w:shd w:val="clear" w:color="auto" w:fill="CFF0FC"/>
          </w:tcPr>
          <w:p>
            <w:pPr>
              <w:ind w:left="340"/>
              <w:spacing w:after="0"/>
              <w:rPr>
                <w:sz w:val="20"/>
                <w:szCs w:val="20"/>
                <w:color w:val="auto"/>
              </w:rPr>
            </w:pPr>
            <w:r>
              <w:rPr>
                <w:rFonts w:ascii="Arial" w:cs="Arial" w:eastAsia="Arial" w:hAnsi="Arial"/>
                <w:sz w:val="12"/>
                <w:szCs w:val="12"/>
                <w:color w:val="auto"/>
                <w:w w:val="89"/>
              </w:rPr>
              <w:t>18</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CFF0FC"/>
            </w:tcBorders>
            <w:shd w:val="clear" w:color="auto" w:fill="CFF0FC"/>
          </w:tcPr>
          <w:p>
            <w:pPr>
              <w:jc w:val="right"/>
              <w:ind w:right="2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2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tcBorders>
              <w:right w:val="single" w:sz="8" w:color="CFF0FC"/>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60" w:right="340"/>
        <w:spacing w:after="0" w:line="259" w:lineRule="auto"/>
        <w:rPr>
          <w:sz w:val="20"/>
          <w:szCs w:val="20"/>
          <w:color w:val="auto"/>
        </w:rPr>
      </w:pPr>
      <w:r>
        <w:rPr>
          <w:rFonts w:ascii="Arial" w:cs="Arial" w:eastAsia="Arial" w:hAnsi="Arial"/>
          <w:sz w:val="12"/>
          <w:szCs w:val="12"/>
          <w:color w:val="auto"/>
        </w:rPr>
        <w:t>Accounts receivable do not bear interest and are typically not collateralized. The Company performs ongoing credit evaluations of its customers’ financial condition and maintains an allowance for doubtful accounts. Uncollectible accounts are charged to expense when deemed uncollectible, and accounts receivable are presented net of an allowance for doubtful accounts. Accounts receivable are deemed past due in accordance with the contractual terms of the agreement. Actual losses may differ from our estimates and could be material to our consolidated financial position, results of operations and cash flows. The allowance for doubtful accounts was $10,889 and $10,494 as of March 31, 2020 and December 31, 2019, respectively.</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allowance for doubtful accounts consisted of the following activity for the three months ended March 31, 2020 and 2019, respectively:</w:t>
      </w:r>
    </w:p>
    <w:p>
      <w:pPr>
        <w:spacing w:after="0" w:line="138" w:lineRule="exact"/>
        <w:rPr>
          <w:sz w:val="20"/>
          <w:szCs w:val="20"/>
          <w:color w:val="auto"/>
        </w:rPr>
      </w:pPr>
    </w:p>
    <w:p>
      <w:pPr>
        <w:jc w:val="center"/>
        <w:ind w:left="5360"/>
        <w:spacing w:after="0"/>
        <w:rPr>
          <w:sz w:val="20"/>
          <w:szCs w:val="20"/>
          <w:color w:val="auto"/>
        </w:rPr>
      </w:pPr>
      <w:r>
        <w:rPr>
          <w:rFonts w:ascii="Arial" w:cs="Arial" w:eastAsia="Arial" w:hAnsi="Arial"/>
          <w:sz w:val="10"/>
          <w:szCs w:val="10"/>
          <w:b w:val="1"/>
          <w:bCs w:val="1"/>
          <w:color w:val="auto"/>
        </w:rPr>
        <w:t>Three Months</w:t>
      </w:r>
    </w:p>
    <w:p>
      <w:pPr>
        <w:jc w:val="center"/>
        <w:ind w:left="5360"/>
        <w:spacing w:after="0" w:line="215" w:lineRule="auto"/>
        <w:rPr>
          <w:sz w:val="20"/>
          <w:szCs w:val="20"/>
          <w:color w:val="auto"/>
        </w:rPr>
      </w:pPr>
      <w:r>
        <w:rPr>
          <w:rFonts w:ascii="Arial" w:cs="Arial" w:eastAsia="Arial" w:hAnsi="Arial"/>
          <w:sz w:val="10"/>
          <w:szCs w:val="10"/>
          <w:b w:val="1"/>
          <w:bCs w:val="1"/>
          <w:color w:val="auto"/>
        </w:rPr>
        <w:t>Ended March 31</w:t>
      </w:r>
    </w:p>
    <w:tbl>
      <w:tblPr>
        <w:tblLayout w:type="fixed"/>
        <w:tblInd w:w="0" w:type="dxa"/>
        <w:tblCellMar>
          <w:top w:w="0" w:type="dxa"/>
          <w:left w:w="0" w:type="dxa"/>
          <w:bottom w:w="0" w:type="dxa"/>
          <w:right w:w="0" w:type="dxa"/>
        </w:tblCellMar>
      </w:tblPr>
      <w:tr>
        <w:trPr>
          <w:trHeight w:val="97"/>
        </w:trPr>
        <w:tc>
          <w:tcPr>
            <w:tcW w:w="1700" w:type="dxa"/>
            <w:vAlign w:val="bottom"/>
          </w:tcPr>
          <w:p>
            <w:pPr>
              <w:spacing w:after="0"/>
              <w:rPr>
                <w:sz w:val="8"/>
                <w:szCs w:val="8"/>
                <w:color w:val="auto"/>
              </w:rPr>
            </w:pPr>
          </w:p>
        </w:tc>
        <w:tc>
          <w:tcPr>
            <w:tcW w:w="3580" w:type="dxa"/>
            <w:vAlign w:val="bottom"/>
            <w:tcBorders>
              <w:bottom w:val="single" w:sz="8" w:color="CFF0FC"/>
            </w:tcBorders>
          </w:tcPr>
          <w:p>
            <w:pPr>
              <w:spacing w:after="0"/>
              <w:rPr>
                <w:sz w:val="8"/>
                <w:szCs w:val="8"/>
                <w:color w:val="auto"/>
              </w:rPr>
            </w:pPr>
          </w:p>
        </w:tc>
        <w:tc>
          <w:tcPr>
            <w:tcW w:w="1860" w:type="dxa"/>
            <w:vAlign w:val="bottom"/>
            <w:tcBorders>
              <w:bottom w:val="single" w:sz="8" w:color="CFF0FC"/>
            </w:tcBorders>
          </w:tcPr>
          <w:p>
            <w:pPr>
              <w:spacing w:after="0"/>
              <w:rPr>
                <w:sz w:val="8"/>
                <w:szCs w:val="8"/>
                <w:color w:val="auto"/>
              </w:rPr>
            </w:pPr>
          </w:p>
        </w:tc>
        <w:tc>
          <w:tcPr>
            <w:tcW w:w="740" w:type="dxa"/>
            <w:vAlign w:val="bottom"/>
            <w:tcBorders>
              <w:top w:val="single" w:sz="8" w:color="auto"/>
              <w:bottom w:val="single" w:sz="8" w:color="auto"/>
            </w:tcBorders>
          </w:tcPr>
          <w:p>
            <w:pPr>
              <w:jc w:val="right"/>
              <w:ind w:right="72"/>
              <w:spacing w:after="0" w:line="97" w:lineRule="exact"/>
              <w:rPr>
                <w:sz w:val="20"/>
                <w:szCs w:val="20"/>
                <w:color w:val="auto"/>
              </w:rPr>
            </w:pPr>
            <w:r>
              <w:rPr>
                <w:rFonts w:ascii="Arial" w:cs="Arial" w:eastAsia="Arial" w:hAnsi="Arial"/>
                <w:sz w:val="10"/>
                <w:szCs w:val="10"/>
                <w:b w:val="1"/>
                <w:bCs w:val="1"/>
                <w:color w:val="auto"/>
              </w:rPr>
              <w:t>2020</w:t>
            </w:r>
          </w:p>
        </w:tc>
        <w:tc>
          <w:tcPr>
            <w:tcW w:w="34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bottom w:val="single" w:sz="8" w:color="CFF0FC"/>
            </w:tcBorders>
          </w:tcPr>
          <w:p>
            <w:pPr>
              <w:spacing w:after="0"/>
              <w:rPr>
                <w:sz w:val="8"/>
                <w:szCs w:val="8"/>
                <w:color w:val="auto"/>
              </w:rPr>
            </w:pPr>
          </w:p>
        </w:tc>
        <w:tc>
          <w:tcPr>
            <w:tcW w:w="100" w:type="dxa"/>
            <w:vAlign w:val="bottom"/>
            <w:tcBorders>
              <w:top w:val="single" w:sz="8" w:color="auto"/>
              <w:bottom w:val="single" w:sz="8" w:color="CFF0FC"/>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1000" w:type="dxa"/>
            <w:vAlign w:val="bottom"/>
            <w:tcBorders>
              <w:top w:val="single" w:sz="8" w:color="auto"/>
              <w:bottom w:val="single" w:sz="8" w:color="auto"/>
            </w:tcBorders>
          </w:tcPr>
          <w:p>
            <w:pPr>
              <w:jc w:val="right"/>
              <w:ind w:right="463"/>
              <w:spacing w:after="0" w:line="97" w:lineRule="exact"/>
              <w:rPr>
                <w:sz w:val="20"/>
                <w:szCs w:val="20"/>
                <w:color w:val="auto"/>
              </w:rPr>
            </w:pPr>
            <w:r>
              <w:rPr>
                <w:rFonts w:ascii="Arial" w:cs="Arial" w:eastAsia="Arial" w:hAnsi="Arial"/>
                <w:sz w:val="10"/>
                <w:szCs w:val="10"/>
                <w:b w:val="1"/>
                <w:bCs w:val="1"/>
                <w:color w:val="auto"/>
              </w:rPr>
              <w:t>2019</w:t>
            </w:r>
          </w:p>
        </w:tc>
        <w:tc>
          <w:tcPr>
            <w:tcW w:w="1720" w:type="dxa"/>
            <w:vAlign w:val="bottom"/>
          </w:tcPr>
          <w:p>
            <w:pPr>
              <w:spacing w:after="0"/>
              <w:rPr>
                <w:sz w:val="8"/>
                <w:szCs w:val="8"/>
                <w:color w:val="auto"/>
              </w:rPr>
            </w:pPr>
          </w:p>
        </w:tc>
      </w:tr>
      <w:tr>
        <w:trPr>
          <w:trHeight w:val="142"/>
        </w:trPr>
        <w:tc>
          <w:tcPr>
            <w:tcW w:w="1700" w:type="dxa"/>
            <w:vAlign w:val="bottom"/>
          </w:tcPr>
          <w:p>
            <w:pPr>
              <w:spacing w:after="0"/>
              <w:rPr>
                <w:sz w:val="12"/>
                <w:szCs w:val="12"/>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2"/>
                <w:szCs w:val="12"/>
                <w:color w:val="auto"/>
              </w:rPr>
              <w:t>Balance at beginning of period</w:t>
            </w:r>
          </w:p>
        </w:tc>
        <w:tc>
          <w:tcPr>
            <w:tcW w:w="2600" w:type="dxa"/>
            <w:vAlign w:val="bottom"/>
            <w:gridSpan w:val="2"/>
            <w:shd w:val="clear" w:color="auto" w:fill="CFF0FC"/>
          </w:tcPr>
          <w:p>
            <w:pPr>
              <w:jc w:val="right"/>
              <w:ind w:right="632"/>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7"/>
              </w:rPr>
              <w:t>10,494</w:t>
            </w:r>
          </w:p>
        </w:tc>
        <w:tc>
          <w:tcPr>
            <w:tcW w:w="12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0" w:type="dxa"/>
            <w:vAlign w:val="bottom"/>
            <w:tcBorders>
              <w:right w:val="single" w:sz="8" w:color="CFF0FC"/>
            </w:tcBorders>
            <w:shd w:val="clear" w:color="auto" w:fill="CFF0FC"/>
          </w:tcPr>
          <w:p>
            <w:pPr>
              <w:jc w:val="right"/>
              <w:ind w:right="23"/>
              <w:spacing w:after="0"/>
              <w:rPr>
                <w:sz w:val="20"/>
                <w:szCs w:val="20"/>
                <w:color w:val="auto"/>
              </w:rPr>
            </w:pPr>
            <w:r>
              <w:rPr>
                <w:rFonts w:ascii="Arial" w:cs="Arial" w:eastAsia="Arial" w:hAnsi="Arial"/>
                <w:sz w:val="12"/>
                <w:szCs w:val="12"/>
                <w:color w:val="auto"/>
              </w:rPr>
              <w:t>4,408</w:t>
            </w:r>
          </w:p>
        </w:tc>
        <w:tc>
          <w:tcPr>
            <w:tcW w:w="1720" w:type="dxa"/>
            <w:vAlign w:val="bottom"/>
          </w:tcPr>
          <w:p>
            <w:pPr>
              <w:spacing w:after="0"/>
              <w:rPr>
                <w:sz w:val="12"/>
                <w:szCs w:val="12"/>
                <w:color w:val="auto"/>
              </w:rPr>
            </w:pPr>
          </w:p>
        </w:tc>
      </w:tr>
      <w:tr>
        <w:trPr>
          <w:trHeight w:val="153"/>
        </w:trPr>
        <w:tc>
          <w:tcPr>
            <w:tcW w:w="5280" w:type="dxa"/>
            <w:vAlign w:val="bottom"/>
            <w:gridSpan w:val="2"/>
          </w:tcPr>
          <w:p>
            <w:pPr>
              <w:ind w:left="1680"/>
              <w:spacing w:after="0"/>
              <w:rPr>
                <w:sz w:val="20"/>
                <w:szCs w:val="20"/>
                <w:color w:val="auto"/>
              </w:rPr>
            </w:pPr>
            <w:r>
              <w:rPr>
                <w:rFonts w:ascii="Arial" w:cs="Arial" w:eastAsia="Arial" w:hAnsi="Arial"/>
                <w:sz w:val="12"/>
                <w:szCs w:val="12"/>
                <w:color w:val="auto"/>
              </w:rPr>
              <w:t>Write-offs</w:t>
            </w:r>
          </w:p>
        </w:tc>
        <w:tc>
          <w:tcPr>
            <w:tcW w:w="1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w w:val="94"/>
              </w:rPr>
              <w:t>(1,152)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(1,064)</w:t>
            </w:r>
          </w:p>
        </w:tc>
        <w:tc>
          <w:tcPr>
            <w:tcW w:w="1720" w:type="dxa"/>
            <w:vAlign w:val="bottom"/>
          </w:tcPr>
          <w:p>
            <w:pPr>
              <w:spacing w:after="0"/>
              <w:rPr>
                <w:sz w:val="13"/>
                <w:szCs w:val="13"/>
                <w:color w:val="auto"/>
              </w:rPr>
            </w:pPr>
          </w:p>
        </w:tc>
      </w:tr>
      <w:tr>
        <w:trPr>
          <w:trHeight w:val="153"/>
        </w:trPr>
        <w:tc>
          <w:tcPr>
            <w:tcW w:w="1700" w:type="dxa"/>
            <w:vAlign w:val="bottom"/>
          </w:tcPr>
          <w:p>
            <w:pPr>
              <w:spacing w:after="0"/>
              <w:rPr>
                <w:sz w:val="13"/>
                <w:szCs w:val="13"/>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2"/>
                <w:szCs w:val="12"/>
                <w:color w:val="auto"/>
              </w:rPr>
              <w:t>Provision</w:t>
            </w:r>
          </w:p>
        </w:tc>
        <w:tc>
          <w:tcPr>
            <w:tcW w:w="1860" w:type="dxa"/>
            <w:vAlign w:val="bottom"/>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1,547</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right w:val="single" w:sz="8" w:color="CFF0FC"/>
            </w:tcBorders>
            <w:shd w:val="clear" w:color="auto" w:fill="CFF0FC"/>
          </w:tcPr>
          <w:p>
            <w:pPr>
              <w:jc w:val="right"/>
              <w:ind w:right="23"/>
              <w:spacing w:after="0"/>
              <w:rPr>
                <w:sz w:val="20"/>
                <w:szCs w:val="20"/>
                <w:color w:val="auto"/>
              </w:rPr>
            </w:pPr>
            <w:r>
              <w:rPr>
                <w:rFonts w:ascii="Arial" w:cs="Arial" w:eastAsia="Arial" w:hAnsi="Arial"/>
                <w:sz w:val="12"/>
                <w:szCs w:val="12"/>
                <w:color w:val="auto"/>
              </w:rPr>
              <w:t>561</w:t>
            </w:r>
          </w:p>
        </w:tc>
        <w:tc>
          <w:tcPr>
            <w:tcW w:w="1720" w:type="dxa"/>
            <w:vAlign w:val="bottom"/>
          </w:tcPr>
          <w:p>
            <w:pPr>
              <w:spacing w:after="0"/>
              <w:rPr>
                <w:sz w:val="13"/>
                <w:szCs w:val="13"/>
                <w:color w:val="auto"/>
              </w:rPr>
            </w:pPr>
          </w:p>
        </w:tc>
      </w:tr>
      <w:tr>
        <w:trPr>
          <w:trHeight w:val="149"/>
        </w:trPr>
        <w:tc>
          <w:tcPr>
            <w:tcW w:w="5280" w:type="dxa"/>
            <w:vAlign w:val="bottom"/>
            <w:gridSpan w:val="2"/>
          </w:tcPr>
          <w:p>
            <w:pPr>
              <w:ind w:left="1680"/>
              <w:spacing w:after="0"/>
              <w:rPr>
                <w:sz w:val="20"/>
                <w:szCs w:val="20"/>
                <w:color w:val="auto"/>
              </w:rPr>
            </w:pPr>
            <w:r>
              <w:rPr>
                <w:rFonts w:ascii="Arial" w:cs="Arial" w:eastAsia="Arial" w:hAnsi="Arial"/>
                <w:sz w:val="12"/>
                <w:szCs w:val="12"/>
                <w:color w:val="auto"/>
              </w:rPr>
              <w:t>Balance at end of period</w:t>
            </w:r>
          </w:p>
        </w:tc>
        <w:tc>
          <w:tcPr>
            <w:tcW w:w="2600" w:type="dxa"/>
            <w:vAlign w:val="bottom"/>
            <w:gridSpan w:val="2"/>
          </w:tcPr>
          <w:p>
            <w:pPr>
              <w:jc w:val="right"/>
              <w:ind w:right="632"/>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w w:val="87"/>
              </w:rPr>
              <w:t>10,889</w:t>
            </w:r>
          </w:p>
        </w:tc>
        <w:tc>
          <w:tcPr>
            <w:tcW w:w="120" w:type="dxa"/>
            <w:vAlign w:val="bottom"/>
          </w:tcPr>
          <w:p>
            <w:pPr>
              <w:spacing w:after="0"/>
              <w:rPr>
                <w:sz w:val="12"/>
                <w:szCs w:val="12"/>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23"/>
              <w:spacing w:after="0"/>
              <w:rPr>
                <w:sz w:val="20"/>
                <w:szCs w:val="20"/>
                <w:color w:val="auto"/>
              </w:rPr>
            </w:pPr>
            <w:r>
              <w:rPr>
                <w:rFonts w:ascii="Arial" w:cs="Arial" w:eastAsia="Arial" w:hAnsi="Arial"/>
                <w:sz w:val="12"/>
                <w:szCs w:val="12"/>
                <w:color w:val="auto"/>
              </w:rPr>
              <w:t>3,905</w:t>
            </w:r>
          </w:p>
        </w:tc>
        <w:tc>
          <w:tcPr>
            <w:tcW w:w="1720" w:type="dxa"/>
            <w:vAlign w:val="bottom"/>
          </w:tcPr>
          <w:p>
            <w:pPr>
              <w:spacing w:after="0"/>
              <w:rPr>
                <w:sz w:val="12"/>
                <w:szCs w:val="12"/>
                <w:color w:val="auto"/>
              </w:rPr>
            </w:pPr>
          </w:p>
        </w:tc>
      </w:tr>
      <w:tr>
        <w:trPr>
          <w:trHeight w:val="279"/>
        </w:trPr>
        <w:tc>
          <w:tcPr>
            <w:tcW w:w="5280" w:type="dxa"/>
            <w:vAlign w:val="bottom"/>
            <w:gridSpan w:val="2"/>
          </w:tcPr>
          <w:p>
            <w:pPr>
              <w:ind w:left="360"/>
              <w:spacing w:after="0"/>
              <w:rPr>
                <w:sz w:val="20"/>
                <w:szCs w:val="20"/>
                <w:color w:val="auto"/>
              </w:rPr>
            </w:pPr>
            <w:r>
              <w:rPr>
                <w:rFonts w:ascii="Arial" w:cs="Arial" w:eastAsia="Arial" w:hAnsi="Arial"/>
                <w:sz w:val="12"/>
                <w:szCs w:val="12"/>
                <w:b w:val="1"/>
                <w:bCs w:val="1"/>
                <w:color w:val="auto"/>
              </w:rPr>
              <w:t>6. SELECT BALANCE SHEET AND STATEMENT OF OPERATIONS INFORMATION</w:t>
            </w:r>
          </w:p>
        </w:tc>
        <w:tc>
          <w:tcPr>
            <w:tcW w:w="18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r>
      <w:tr>
        <w:trPr>
          <w:trHeight w:val="288"/>
        </w:trPr>
        <w:tc>
          <w:tcPr>
            <w:tcW w:w="5280" w:type="dxa"/>
            <w:vAlign w:val="bottom"/>
            <w:gridSpan w:val="2"/>
          </w:tcPr>
          <w:p>
            <w:pPr>
              <w:ind w:left="360"/>
              <w:spacing w:after="0"/>
              <w:rPr>
                <w:sz w:val="20"/>
                <w:szCs w:val="20"/>
                <w:color w:val="auto"/>
              </w:rPr>
            </w:pPr>
            <w:r>
              <w:rPr>
                <w:rFonts w:ascii="Arial" w:cs="Arial" w:eastAsia="Arial" w:hAnsi="Arial"/>
                <w:sz w:val="12"/>
                <w:szCs w:val="12"/>
                <w:b w:val="1"/>
                <w:bCs w:val="1"/>
                <w:i w:val="1"/>
                <w:iCs w:val="1"/>
                <w:color w:val="auto"/>
              </w:rPr>
              <w:t>Inventory</w:t>
            </w:r>
          </w:p>
        </w:tc>
        <w:tc>
          <w:tcPr>
            <w:tcW w:w="1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88"/>
        </w:trPr>
        <w:tc>
          <w:tcPr>
            <w:tcW w:w="5280" w:type="dxa"/>
            <w:vAlign w:val="bottom"/>
            <w:gridSpan w:val="2"/>
          </w:tcPr>
          <w:p>
            <w:pPr>
              <w:ind w:left="360"/>
              <w:spacing w:after="0"/>
              <w:rPr>
                <w:sz w:val="20"/>
                <w:szCs w:val="20"/>
                <w:color w:val="auto"/>
              </w:rPr>
            </w:pPr>
            <w:r>
              <w:rPr>
                <w:rFonts w:ascii="Arial" w:cs="Arial" w:eastAsia="Arial" w:hAnsi="Arial"/>
                <w:sz w:val="12"/>
                <w:szCs w:val="12"/>
                <w:color w:val="auto"/>
              </w:rPr>
              <w:t>Inventory consists of the following:</w:t>
            </w:r>
          </w:p>
        </w:tc>
        <w:tc>
          <w:tcPr>
            <w:tcW w:w="1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91"/>
        </w:trPr>
        <w:tc>
          <w:tcPr>
            <w:tcW w:w="17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rPr>
              <w:t>March 31,</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283"/>
              <w:spacing w:after="0"/>
              <w:rPr>
                <w:sz w:val="20"/>
                <w:szCs w:val="20"/>
                <w:color w:val="auto"/>
              </w:rPr>
            </w:pPr>
            <w:r>
              <w:rPr>
                <w:rFonts w:ascii="Arial" w:cs="Arial" w:eastAsia="Arial" w:hAnsi="Arial"/>
                <w:sz w:val="10"/>
                <w:szCs w:val="10"/>
                <w:b w:val="1"/>
                <w:bCs w:val="1"/>
                <w:color w:val="auto"/>
                <w:w w:val="98"/>
              </w:rPr>
              <w:t>December 31,</w:t>
            </w:r>
          </w:p>
        </w:tc>
        <w:tc>
          <w:tcPr>
            <w:tcW w:w="1720" w:type="dxa"/>
            <w:vAlign w:val="bottom"/>
          </w:tcPr>
          <w:p>
            <w:pPr>
              <w:spacing w:after="0"/>
              <w:rPr>
                <w:sz w:val="24"/>
                <w:szCs w:val="24"/>
                <w:color w:val="auto"/>
              </w:rPr>
            </w:pPr>
          </w:p>
        </w:tc>
      </w:tr>
      <w:tr>
        <w:trPr>
          <w:trHeight w:val="113"/>
        </w:trPr>
        <w:tc>
          <w:tcPr>
            <w:tcW w:w="1700" w:type="dxa"/>
            <w:vAlign w:val="bottom"/>
          </w:tcPr>
          <w:p>
            <w:pPr>
              <w:spacing w:after="0"/>
              <w:rPr>
                <w:sz w:val="9"/>
                <w:szCs w:val="9"/>
                <w:color w:val="auto"/>
              </w:rPr>
            </w:pPr>
          </w:p>
        </w:tc>
        <w:tc>
          <w:tcPr>
            <w:tcW w:w="3580" w:type="dxa"/>
            <w:vAlign w:val="bottom"/>
            <w:tcBorders>
              <w:bottom w:val="single" w:sz="8" w:color="CFF0FC"/>
            </w:tcBorders>
          </w:tcPr>
          <w:p>
            <w:pPr>
              <w:spacing w:after="0"/>
              <w:rPr>
                <w:sz w:val="9"/>
                <w:szCs w:val="9"/>
                <w:color w:val="auto"/>
              </w:rPr>
            </w:pPr>
          </w:p>
        </w:tc>
        <w:tc>
          <w:tcPr>
            <w:tcW w:w="1860" w:type="dxa"/>
            <w:vAlign w:val="bottom"/>
            <w:tcBorders>
              <w:bottom w:val="single" w:sz="8" w:color="CFF0FC"/>
            </w:tcBorders>
          </w:tcPr>
          <w:p>
            <w:pPr>
              <w:spacing w:after="0"/>
              <w:rPr>
                <w:sz w:val="9"/>
                <w:szCs w:val="9"/>
                <w:color w:val="auto"/>
              </w:rPr>
            </w:pPr>
          </w:p>
        </w:tc>
        <w:tc>
          <w:tcPr>
            <w:tcW w:w="740" w:type="dxa"/>
            <w:vAlign w:val="bottom"/>
            <w:tcBorders>
              <w:bottom w:val="single" w:sz="8" w:color="auto"/>
            </w:tcBorders>
          </w:tcPr>
          <w:p>
            <w:pPr>
              <w:jc w:val="right"/>
              <w:ind w:right="72"/>
              <w:spacing w:after="0" w:line="114" w:lineRule="exact"/>
              <w:rPr>
                <w:sz w:val="20"/>
                <w:szCs w:val="20"/>
                <w:color w:val="auto"/>
              </w:rPr>
            </w:pPr>
            <w:r>
              <w:rPr>
                <w:rFonts w:ascii="Arial" w:cs="Arial" w:eastAsia="Arial" w:hAnsi="Arial"/>
                <w:sz w:val="10"/>
                <w:szCs w:val="10"/>
                <w:b w:val="1"/>
                <w:bCs w:val="1"/>
                <w:color w:val="auto"/>
              </w:rPr>
              <w:t>2020</w:t>
            </w: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right"/>
              <w:ind w:right="463"/>
              <w:spacing w:after="0" w:line="114" w:lineRule="exact"/>
              <w:rPr>
                <w:sz w:val="20"/>
                <w:szCs w:val="20"/>
                <w:color w:val="auto"/>
              </w:rPr>
            </w:pPr>
            <w:r>
              <w:rPr>
                <w:rFonts w:ascii="Arial" w:cs="Arial" w:eastAsia="Arial" w:hAnsi="Arial"/>
                <w:sz w:val="10"/>
                <w:szCs w:val="10"/>
                <w:b w:val="1"/>
                <w:bCs w:val="1"/>
                <w:color w:val="auto"/>
              </w:rPr>
              <w:t>2019</w:t>
            </w:r>
          </w:p>
        </w:tc>
        <w:tc>
          <w:tcPr>
            <w:tcW w:w="1720" w:type="dxa"/>
            <w:vAlign w:val="bottom"/>
          </w:tcPr>
          <w:p>
            <w:pPr>
              <w:spacing w:after="0"/>
              <w:rPr>
                <w:sz w:val="9"/>
                <w:szCs w:val="9"/>
                <w:color w:val="auto"/>
              </w:rPr>
            </w:pPr>
          </w:p>
        </w:tc>
      </w:tr>
      <w:tr>
        <w:trPr>
          <w:trHeight w:val="142"/>
        </w:trPr>
        <w:tc>
          <w:tcPr>
            <w:tcW w:w="1700" w:type="dxa"/>
            <w:vAlign w:val="bottom"/>
          </w:tcPr>
          <w:p>
            <w:pPr>
              <w:spacing w:after="0"/>
              <w:rPr>
                <w:sz w:val="12"/>
                <w:szCs w:val="12"/>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2"/>
                <w:szCs w:val="12"/>
                <w:color w:val="auto"/>
              </w:rPr>
              <w:t>Raw materials</w:t>
            </w:r>
          </w:p>
        </w:tc>
        <w:tc>
          <w:tcPr>
            <w:tcW w:w="2600" w:type="dxa"/>
            <w:vAlign w:val="bottom"/>
            <w:gridSpan w:val="2"/>
            <w:shd w:val="clear" w:color="auto" w:fill="CFF0FC"/>
          </w:tcPr>
          <w:p>
            <w:pPr>
              <w:jc w:val="right"/>
              <w:ind w:right="632"/>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956</w:t>
            </w:r>
          </w:p>
        </w:tc>
        <w:tc>
          <w:tcPr>
            <w:tcW w:w="12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0" w:type="dxa"/>
            <w:vAlign w:val="bottom"/>
            <w:tcBorders>
              <w:right w:val="single" w:sz="8" w:color="CFF0FC"/>
            </w:tcBorders>
            <w:shd w:val="clear" w:color="auto" w:fill="CFF0FC"/>
          </w:tcPr>
          <w:p>
            <w:pPr>
              <w:jc w:val="right"/>
              <w:ind w:right="23"/>
              <w:spacing w:after="0"/>
              <w:rPr>
                <w:sz w:val="20"/>
                <w:szCs w:val="20"/>
                <w:color w:val="auto"/>
              </w:rPr>
            </w:pPr>
            <w:r>
              <w:rPr>
                <w:rFonts w:ascii="Arial" w:cs="Arial" w:eastAsia="Arial" w:hAnsi="Arial"/>
                <w:sz w:val="12"/>
                <w:szCs w:val="12"/>
                <w:color w:val="auto"/>
              </w:rPr>
              <w:t>877</w:t>
            </w:r>
          </w:p>
        </w:tc>
        <w:tc>
          <w:tcPr>
            <w:tcW w:w="1720" w:type="dxa"/>
            <w:vAlign w:val="bottom"/>
          </w:tcPr>
          <w:p>
            <w:pPr>
              <w:spacing w:after="0"/>
              <w:rPr>
                <w:sz w:val="12"/>
                <w:szCs w:val="12"/>
                <w:color w:val="auto"/>
              </w:rPr>
            </w:pPr>
          </w:p>
        </w:tc>
      </w:tr>
      <w:tr>
        <w:trPr>
          <w:trHeight w:val="153"/>
        </w:trPr>
        <w:tc>
          <w:tcPr>
            <w:tcW w:w="5280" w:type="dxa"/>
            <w:vAlign w:val="bottom"/>
            <w:gridSpan w:val="2"/>
          </w:tcPr>
          <w:p>
            <w:pPr>
              <w:ind w:left="1680"/>
              <w:spacing w:after="0"/>
              <w:rPr>
                <w:sz w:val="20"/>
                <w:szCs w:val="20"/>
                <w:color w:val="auto"/>
              </w:rPr>
            </w:pPr>
            <w:r>
              <w:rPr>
                <w:rFonts w:ascii="Arial" w:cs="Arial" w:eastAsia="Arial" w:hAnsi="Arial"/>
                <w:sz w:val="12"/>
                <w:szCs w:val="12"/>
                <w:color w:val="auto"/>
              </w:rPr>
              <w:t>Work-in-progress</w:t>
            </w:r>
          </w:p>
        </w:tc>
        <w:tc>
          <w:tcPr>
            <w:tcW w:w="1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2,362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23"/>
              <w:spacing w:after="0"/>
              <w:rPr>
                <w:sz w:val="20"/>
                <w:szCs w:val="20"/>
                <w:color w:val="auto"/>
              </w:rPr>
            </w:pPr>
            <w:r>
              <w:rPr>
                <w:rFonts w:ascii="Arial" w:cs="Arial" w:eastAsia="Arial" w:hAnsi="Arial"/>
                <w:sz w:val="12"/>
                <w:szCs w:val="12"/>
                <w:color w:val="auto"/>
              </w:rPr>
              <w:t>2,067</w:t>
            </w:r>
          </w:p>
        </w:tc>
        <w:tc>
          <w:tcPr>
            <w:tcW w:w="1720" w:type="dxa"/>
            <w:vAlign w:val="bottom"/>
          </w:tcPr>
          <w:p>
            <w:pPr>
              <w:spacing w:after="0"/>
              <w:rPr>
                <w:sz w:val="13"/>
                <w:szCs w:val="13"/>
                <w:color w:val="auto"/>
              </w:rPr>
            </w:pPr>
          </w:p>
        </w:tc>
      </w:tr>
      <w:tr>
        <w:trPr>
          <w:trHeight w:val="153"/>
        </w:trPr>
        <w:tc>
          <w:tcPr>
            <w:tcW w:w="1700" w:type="dxa"/>
            <w:vAlign w:val="bottom"/>
          </w:tcPr>
          <w:p>
            <w:pPr>
              <w:spacing w:after="0"/>
              <w:rPr>
                <w:sz w:val="13"/>
                <w:szCs w:val="13"/>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2"/>
                <w:szCs w:val="12"/>
                <w:color w:val="auto"/>
              </w:rPr>
              <w:t>Finished goods</w:t>
            </w:r>
          </w:p>
        </w:tc>
        <w:tc>
          <w:tcPr>
            <w:tcW w:w="1860" w:type="dxa"/>
            <w:vAlign w:val="bottom"/>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7"/>
              </w:rPr>
              <w:t>15,605</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right w:val="single" w:sz="8" w:color="CFF0FC"/>
            </w:tcBorders>
            <w:shd w:val="clear" w:color="auto" w:fill="CFF0FC"/>
          </w:tcPr>
          <w:p>
            <w:pPr>
              <w:jc w:val="right"/>
              <w:ind w:right="23"/>
              <w:spacing w:after="0"/>
              <w:rPr>
                <w:sz w:val="20"/>
                <w:szCs w:val="20"/>
                <w:color w:val="auto"/>
              </w:rPr>
            </w:pPr>
            <w:r>
              <w:rPr>
                <w:rFonts w:ascii="Arial" w:cs="Arial" w:eastAsia="Arial" w:hAnsi="Arial"/>
                <w:sz w:val="12"/>
                <w:szCs w:val="12"/>
                <w:color w:val="auto"/>
              </w:rPr>
              <w:t>15,900</w:t>
            </w:r>
          </w:p>
        </w:tc>
        <w:tc>
          <w:tcPr>
            <w:tcW w:w="1720" w:type="dxa"/>
            <w:vAlign w:val="bottom"/>
          </w:tcPr>
          <w:p>
            <w:pPr>
              <w:spacing w:after="0"/>
              <w:rPr>
                <w:sz w:val="13"/>
                <w:szCs w:val="13"/>
                <w:color w:val="auto"/>
              </w:rPr>
            </w:pPr>
          </w:p>
        </w:tc>
      </w:tr>
      <w:tr>
        <w:trPr>
          <w:trHeight w:val="149"/>
        </w:trPr>
        <w:tc>
          <w:tcPr>
            <w:tcW w:w="1700" w:type="dxa"/>
            <w:vAlign w:val="bottom"/>
          </w:tcPr>
          <w:p>
            <w:pPr>
              <w:spacing w:after="0"/>
              <w:rPr>
                <w:sz w:val="12"/>
                <w:szCs w:val="12"/>
                <w:color w:val="auto"/>
              </w:rPr>
            </w:pPr>
          </w:p>
        </w:tc>
        <w:tc>
          <w:tcPr>
            <w:tcW w:w="3580" w:type="dxa"/>
            <w:vAlign w:val="bottom"/>
          </w:tcPr>
          <w:p>
            <w:pPr>
              <w:ind w:left="80"/>
              <w:spacing w:after="0"/>
              <w:rPr>
                <w:sz w:val="20"/>
                <w:szCs w:val="20"/>
                <w:color w:val="auto"/>
              </w:rPr>
            </w:pPr>
            <w:r>
              <w:rPr>
                <w:rFonts w:ascii="Arial" w:cs="Arial" w:eastAsia="Arial" w:hAnsi="Arial"/>
                <w:sz w:val="12"/>
                <w:szCs w:val="12"/>
                <w:color w:val="auto"/>
              </w:rPr>
              <w:t>Total inventory</w:t>
            </w:r>
          </w:p>
        </w:tc>
        <w:tc>
          <w:tcPr>
            <w:tcW w:w="2600" w:type="dxa"/>
            <w:vAlign w:val="bottom"/>
            <w:gridSpan w:val="2"/>
          </w:tcPr>
          <w:p>
            <w:pPr>
              <w:jc w:val="right"/>
              <w:ind w:right="632"/>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w w:val="87"/>
              </w:rPr>
              <w:t>18,923</w:t>
            </w:r>
          </w:p>
        </w:tc>
        <w:tc>
          <w:tcPr>
            <w:tcW w:w="120" w:type="dxa"/>
            <w:vAlign w:val="bottom"/>
          </w:tcPr>
          <w:p>
            <w:pPr>
              <w:spacing w:after="0"/>
              <w:rPr>
                <w:sz w:val="12"/>
                <w:szCs w:val="12"/>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23"/>
              <w:spacing w:after="0"/>
              <w:rPr>
                <w:sz w:val="20"/>
                <w:szCs w:val="20"/>
                <w:color w:val="auto"/>
              </w:rPr>
            </w:pPr>
            <w:r>
              <w:rPr>
                <w:rFonts w:ascii="Arial" w:cs="Arial" w:eastAsia="Arial" w:hAnsi="Arial"/>
                <w:sz w:val="12"/>
                <w:szCs w:val="12"/>
                <w:color w:val="auto"/>
              </w:rPr>
              <w:t>18,844</w:t>
            </w:r>
          </w:p>
        </w:tc>
        <w:tc>
          <w:tcPr>
            <w:tcW w:w="1720" w:type="dxa"/>
            <w:vAlign w:val="bottom"/>
          </w:tcPr>
          <w:p>
            <w:pPr>
              <w:spacing w:after="0"/>
              <w:rPr>
                <w:sz w:val="12"/>
                <w:szCs w:val="12"/>
                <w:color w:val="auto"/>
              </w:rPr>
            </w:pPr>
          </w:p>
        </w:tc>
      </w:tr>
      <w:tr>
        <w:trPr>
          <w:trHeight w:val="432"/>
        </w:trPr>
        <w:tc>
          <w:tcPr>
            <w:tcW w:w="17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60" w:type="dxa"/>
            <w:vAlign w:val="bottom"/>
          </w:tcPr>
          <w:p>
            <w:pPr>
              <w:jc w:val="right"/>
              <w:ind w:right="1380"/>
              <w:spacing w:after="0"/>
              <w:rPr>
                <w:sz w:val="20"/>
                <w:szCs w:val="20"/>
                <w:color w:val="auto"/>
              </w:rPr>
            </w:pPr>
            <w:r>
              <w:rPr>
                <w:rFonts w:ascii="Arial" w:cs="Arial" w:eastAsia="Arial" w:hAnsi="Arial"/>
                <w:sz w:val="12"/>
                <w:szCs w:val="12"/>
                <w:color w:val="auto"/>
              </w:rPr>
              <w:t>13</w:t>
            </w:r>
          </w:p>
        </w:tc>
        <w:tc>
          <w:tcPr>
            <w:tcW w:w="7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r>
      <w:tr>
        <w:trPr>
          <w:trHeight w:val="72"/>
        </w:trPr>
        <w:tc>
          <w:tcPr>
            <w:tcW w:w="1700" w:type="dxa"/>
            <w:vAlign w:val="bottom"/>
            <w:tcBorders>
              <w:bottom w:val="single" w:sz="8" w:color="9A9A9A"/>
            </w:tcBorders>
          </w:tcPr>
          <w:p>
            <w:pPr>
              <w:spacing w:after="0"/>
              <w:rPr>
                <w:sz w:val="6"/>
                <w:szCs w:val="6"/>
                <w:color w:val="auto"/>
              </w:rPr>
            </w:pPr>
          </w:p>
        </w:tc>
        <w:tc>
          <w:tcPr>
            <w:tcW w:w="3580" w:type="dxa"/>
            <w:vAlign w:val="bottom"/>
            <w:tcBorders>
              <w:bottom w:val="single" w:sz="8" w:color="9A9A9A"/>
            </w:tcBorders>
          </w:tcPr>
          <w:p>
            <w:pPr>
              <w:spacing w:after="0"/>
              <w:rPr>
                <w:sz w:val="6"/>
                <w:szCs w:val="6"/>
                <w:color w:val="auto"/>
              </w:rPr>
            </w:pPr>
          </w:p>
        </w:tc>
        <w:tc>
          <w:tcPr>
            <w:tcW w:w="186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75" w:right="279" w:bottom="1440" w:gutter="0" w:footer="0" w:header="0"/>
        </w:sectPr>
      </w:pPr>
    </w:p>
    <w:bookmarkStart w:id="14" w:name="page15"/>
    <w:bookmarkEnd w:id="14"/>
    <w:p>
      <w:pPr>
        <w:ind w:left="360" w:right="280"/>
        <w:spacing w:after="0" w:line="323" w:lineRule="auto"/>
        <w:rPr>
          <w:sz w:val="20"/>
          <w:szCs w:val="20"/>
          <w:color w:val="auto"/>
        </w:rPr>
      </w:pPr>
      <w:r>
        <w:rPr>
          <w:rFonts w:ascii="Arial" w:cs="Arial" w:eastAsia="Arial" w:hAnsi="Arial"/>
          <w:sz w:val="11"/>
          <w:szCs w:val="11"/>
          <w:color w:val="auto"/>
        </w:rPr>
        <w:t>Additions to inventory are primarily comprised of newly produced units and applicators, refurbishment cost from demonstration units and used equipment which were reacquired during the quarter from upgraded sales. The Company expensed $3,600 ($5,255 in the three months ended March 31, 2019) in cost of goods sold during the quarter. The balance of cost of goods sold represents the sale of applicators, parts and warranties.</w:t>
      </w:r>
    </w:p>
    <w:p>
      <w:pPr>
        <w:spacing w:after="0" w:line="92" w:lineRule="exact"/>
        <w:rPr>
          <w:sz w:val="20"/>
          <w:szCs w:val="20"/>
          <w:color w:val="auto"/>
        </w:rPr>
      </w:pPr>
    </w:p>
    <w:p>
      <w:pPr>
        <w:ind w:left="360" w:right="260"/>
        <w:spacing w:after="0" w:line="263" w:lineRule="auto"/>
        <w:rPr>
          <w:sz w:val="20"/>
          <w:szCs w:val="20"/>
          <w:color w:val="auto"/>
        </w:rPr>
      </w:pPr>
      <w:r>
        <w:rPr>
          <w:rFonts w:ascii="Arial" w:cs="Arial" w:eastAsia="Arial" w:hAnsi="Arial"/>
          <w:sz w:val="12"/>
          <w:szCs w:val="12"/>
          <w:color w:val="auto"/>
        </w:rPr>
        <w:t>The Company provides for excess and obsolete inventories when conditions indicate that the inventory cost is not recoverable due to physical deterioration, usage, obsolescence, reductions in estimated future demand and reductions in selling prices. Inventory provisions are measured as the difference between the cost of inventory and net realizable value to establish a lower cost basis for the inventories. As of March 31, 2020, a provision for obsolescence of $1,531 ($1,439 as of December 31, 2019) was taken against inventory.</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Property and Equipment, Net</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2"/>
          <w:szCs w:val="12"/>
          <w:color w:val="auto"/>
        </w:rPr>
        <w:t>Property and equipment, net consist of the following:</w:t>
      </w:r>
    </w:p>
    <w:p>
      <w:pPr>
        <w:spacing w:after="0" w:line="137" w:lineRule="exact"/>
        <w:rPr>
          <w:sz w:val="20"/>
          <w:szCs w:val="20"/>
          <w:color w:val="auto"/>
        </w:rPr>
      </w:pPr>
    </w:p>
    <w:tbl>
      <w:tblPr>
        <w:tblLayout w:type="fixed"/>
        <w:tblInd w:w="360" w:type="dxa"/>
        <w:tblCellMar>
          <w:top w:w="0" w:type="dxa"/>
          <w:left w:w="0" w:type="dxa"/>
          <w:bottom w:w="0" w:type="dxa"/>
          <w:right w:w="0" w:type="dxa"/>
        </w:tblCellMar>
      </w:tblPr>
      <w:tr>
        <w:trPr>
          <w:trHeight w:val="115"/>
        </w:trPr>
        <w:tc>
          <w:tcPr>
            <w:tcW w:w="134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160" w:type="dxa"/>
            <w:vAlign w:val="bottom"/>
          </w:tcPr>
          <w:p>
            <w:pPr>
              <w:jc w:val="center"/>
              <w:ind w:left="263"/>
              <w:spacing w:after="0"/>
              <w:rPr>
                <w:sz w:val="20"/>
                <w:szCs w:val="20"/>
                <w:color w:val="auto"/>
              </w:rPr>
            </w:pPr>
            <w:r>
              <w:rPr>
                <w:rFonts w:ascii="Arial" w:cs="Arial" w:eastAsia="Arial" w:hAnsi="Arial"/>
                <w:sz w:val="10"/>
                <w:szCs w:val="10"/>
                <w:b w:val="1"/>
                <w:bCs w:val="1"/>
                <w:color w:val="auto"/>
                <w:w w:val="88"/>
              </w:rPr>
              <w:t>Useful Lives</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March 31,</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w w:val="98"/>
              </w:rPr>
              <w:t>December 31,</w:t>
            </w:r>
          </w:p>
        </w:tc>
        <w:tc>
          <w:tcPr>
            <w:tcW w:w="0" w:type="dxa"/>
            <w:vAlign w:val="bottom"/>
          </w:tcPr>
          <w:p>
            <w:pPr>
              <w:spacing w:after="0"/>
              <w:rPr>
                <w:sz w:val="1"/>
                <w:szCs w:val="1"/>
                <w:color w:val="auto"/>
              </w:rPr>
            </w:pPr>
          </w:p>
        </w:tc>
      </w:tr>
      <w:tr>
        <w:trPr>
          <w:trHeight w:val="113"/>
        </w:trPr>
        <w:tc>
          <w:tcPr>
            <w:tcW w:w="1340" w:type="dxa"/>
            <w:vAlign w:val="bottom"/>
          </w:tcPr>
          <w:p>
            <w:pPr>
              <w:spacing w:after="0"/>
              <w:rPr>
                <w:sz w:val="9"/>
                <w:szCs w:val="9"/>
                <w:color w:val="auto"/>
              </w:rPr>
            </w:pPr>
          </w:p>
        </w:tc>
        <w:tc>
          <w:tcPr>
            <w:tcW w:w="4100" w:type="dxa"/>
            <w:vAlign w:val="bottom"/>
            <w:tcBorders>
              <w:bottom w:val="single" w:sz="8" w:color="CFF0FC"/>
            </w:tcBorders>
          </w:tcPr>
          <w:p>
            <w:pPr>
              <w:spacing w:after="0"/>
              <w:rPr>
                <w:sz w:val="9"/>
                <w:szCs w:val="9"/>
                <w:color w:val="auto"/>
              </w:rPr>
            </w:pPr>
          </w:p>
        </w:tc>
        <w:tc>
          <w:tcPr>
            <w:tcW w:w="1160" w:type="dxa"/>
            <w:vAlign w:val="bottom"/>
            <w:tcBorders>
              <w:bottom w:val="single" w:sz="8" w:color="auto"/>
            </w:tcBorders>
          </w:tcPr>
          <w:p>
            <w:pPr>
              <w:jc w:val="center"/>
              <w:ind w:left="263"/>
              <w:spacing w:after="0" w:line="114" w:lineRule="exact"/>
              <w:rPr>
                <w:sz w:val="20"/>
                <w:szCs w:val="20"/>
                <w:color w:val="auto"/>
              </w:rPr>
            </w:pPr>
            <w:r>
              <w:rPr>
                <w:rFonts w:ascii="Arial" w:cs="Arial" w:eastAsia="Arial" w:hAnsi="Arial"/>
                <w:sz w:val="10"/>
                <w:szCs w:val="10"/>
                <w:b w:val="1"/>
                <w:bCs w:val="1"/>
                <w:color w:val="auto"/>
                <w:w w:val="89"/>
              </w:rPr>
              <w:t>(in years)</w:t>
            </w: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283"/>
              <w:spacing w:after="0" w:line="114" w:lineRule="exact"/>
              <w:rPr>
                <w:sz w:val="20"/>
                <w:szCs w:val="20"/>
                <w:color w:val="auto"/>
              </w:rPr>
            </w:pPr>
            <w:r>
              <w:rPr>
                <w:rFonts w:ascii="Arial" w:cs="Arial" w:eastAsia="Arial" w:hAnsi="Arial"/>
                <w:sz w:val="10"/>
                <w:szCs w:val="10"/>
                <w:b w:val="1"/>
                <w:bCs w:val="1"/>
                <w:color w:val="auto"/>
              </w:rPr>
              <w:t>2020</w:t>
            </w:r>
          </w:p>
        </w:tc>
        <w:tc>
          <w:tcPr>
            <w:tcW w:w="160" w:type="dxa"/>
            <w:vAlign w:val="bottom"/>
            <w:tcBorders>
              <w:bottom w:val="single" w:sz="8" w:color="CFF0FC"/>
            </w:tcBorders>
          </w:tcPr>
          <w:p>
            <w:pPr>
              <w:spacing w:after="0"/>
              <w:rPr>
                <w:sz w:val="9"/>
                <w:szCs w:val="9"/>
                <w:color w:val="auto"/>
              </w:rPr>
            </w:pPr>
          </w:p>
        </w:tc>
        <w:tc>
          <w:tcPr>
            <w:tcW w:w="4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363"/>
              <w:spacing w:after="0" w:line="114" w:lineRule="exact"/>
              <w:rPr>
                <w:sz w:val="20"/>
                <w:szCs w:val="20"/>
                <w:color w:val="auto"/>
              </w:rPr>
            </w:pPr>
            <w:r>
              <w:rPr>
                <w:rFonts w:ascii="Arial" w:cs="Arial" w:eastAsia="Arial" w:hAnsi="Arial"/>
                <w:sz w:val="10"/>
                <w:szCs w:val="10"/>
                <w:b w:val="1"/>
                <w:bCs w:val="1"/>
                <w:color w:val="auto"/>
              </w:rPr>
              <w:t>2019</w:t>
            </w:r>
          </w:p>
        </w:tc>
        <w:tc>
          <w:tcPr>
            <w:tcW w:w="8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2"/>
                <w:szCs w:val="12"/>
                <w:color w:val="auto"/>
              </w:rPr>
              <w:t>Lab equipment tooling and molds</w:t>
            </w:r>
          </w:p>
        </w:tc>
        <w:tc>
          <w:tcPr>
            <w:tcW w:w="1160" w:type="dxa"/>
            <w:vAlign w:val="bottom"/>
            <w:shd w:val="clear" w:color="auto" w:fill="CFF0FC"/>
          </w:tcPr>
          <w:p>
            <w:pPr>
              <w:jc w:val="center"/>
              <w:ind w:left="263"/>
              <w:spacing w:after="0"/>
              <w:rPr>
                <w:sz w:val="20"/>
                <w:szCs w:val="20"/>
                <w:color w:val="auto"/>
              </w:rPr>
            </w:pPr>
            <w:r>
              <w:rPr>
                <w:rFonts w:ascii="Arial" w:cs="Arial" w:eastAsia="Arial" w:hAnsi="Arial"/>
                <w:sz w:val="12"/>
                <w:szCs w:val="12"/>
                <w:color w:val="auto"/>
              </w:rPr>
              <w:t>4-10</w:t>
            </w:r>
          </w:p>
        </w:tc>
        <w:tc>
          <w:tcPr>
            <w:tcW w:w="560" w:type="dxa"/>
            <w:vAlign w:val="bottom"/>
            <w:gridSpan w:val="4"/>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7,973</w:t>
            </w:r>
          </w:p>
        </w:tc>
        <w:tc>
          <w:tcPr>
            <w:tcW w:w="160" w:type="dxa"/>
            <w:vAlign w:val="bottom"/>
            <w:tcBorders>
              <w:right w:val="single" w:sz="8" w:color="CFF0FC"/>
            </w:tcBorders>
            <w:shd w:val="clear" w:color="auto" w:fill="CFF0FC"/>
          </w:tcPr>
          <w:p>
            <w:pPr>
              <w:spacing w:after="0"/>
              <w:rPr>
                <w:sz w:val="12"/>
                <w:szCs w:val="12"/>
                <w:color w:val="auto"/>
              </w:rPr>
            </w:pPr>
          </w:p>
        </w:tc>
        <w:tc>
          <w:tcPr>
            <w:tcW w:w="1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7,872</w:t>
            </w:r>
          </w:p>
        </w:tc>
        <w:tc>
          <w:tcPr>
            <w:tcW w:w="80" w:type="dxa"/>
            <w:vAlign w:val="bottom"/>
            <w:tcBorders>
              <w:lef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440" w:type="dxa"/>
            <w:vAlign w:val="bottom"/>
            <w:gridSpan w:val="2"/>
          </w:tcPr>
          <w:p>
            <w:pPr>
              <w:ind w:left="1320"/>
              <w:spacing w:after="0"/>
              <w:rPr>
                <w:sz w:val="20"/>
                <w:szCs w:val="20"/>
                <w:color w:val="auto"/>
              </w:rPr>
            </w:pPr>
            <w:r>
              <w:rPr>
                <w:rFonts w:ascii="Arial" w:cs="Arial" w:eastAsia="Arial" w:hAnsi="Arial"/>
                <w:sz w:val="12"/>
                <w:szCs w:val="12"/>
                <w:color w:val="auto"/>
              </w:rPr>
              <w:t>Office furniture and equipment</w:t>
            </w:r>
          </w:p>
        </w:tc>
        <w:tc>
          <w:tcPr>
            <w:tcW w:w="1160" w:type="dxa"/>
            <w:vAlign w:val="bottom"/>
          </w:tcPr>
          <w:p>
            <w:pPr>
              <w:jc w:val="center"/>
              <w:ind w:left="263"/>
              <w:spacing w:after="0"/>
              <w:rPr>
                <w:sz w:val="20"/>
                <w:szCs w:val="20"/>
                <w:color w:val="auto"/>
              </w:rPr>
            </w:pPr>
            <w:r>
              <w:rPr>
                <w:rFonts w:ascii="Arial" w:cs="Arial" w:eastAsia="Arial" w:hAnsi="Arial"/>
                <w:sz w:val="12"/>
                <w:szCs w:val="12"/>
                <w:color w:val="auto"/>
              </w:rPr>
              <w:t>6-10</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1,692</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1,710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2"/>
                <w:szCs w:val="12"/>
                <w:color w:val="auto"/>
              </w:rPr>
              <w:t>Leasehold improvements</w:t>
            </w:r>
          </w:p>
        </w:tc>
        <w:tc>
          <w:tcPr>
            <w:tcW w:w="1160" w:type="dxa"/>
            <w:vAlign w:val="bottom"/>
            <w:shd w:val="clear" w:color="auto" w:fill="CFF0FC"/>
          </w:tcPr>
          <w:p>
            <w:pPr>
              <w:jc w:val="center"/>
              <w:ind w:left="263"/>
              <w:spacing w:after="0"/>
              <w:rPr>
                <w:sz w:val="20"/>
                <w:szCs w:val="20"/>
                <w:color w:val="auto"/>
              </w:rPr>
            </w:pPr>
            <w:r>
              <w:rPr>
                <w:rFonts w:ascii="Arial" w:cs="Arial" w:eastAsia="Arial" w:hAnsi="Arial"/>
                <w:sz w:val="12"/>
                <w:szCs w:val="12"/>
                <w:color w:val="auto"/>
                <w:w w:val="92"/>
              </w:rPr>
              <w:t>up to 10</w:t>
            </w: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1,961</w:t>
            </w:r>
          </w:p>
        </w:tc>
        <w:tc>
          <w:tcPr>
            <w:tcW w:w="160" w:type="dxa"/>
            <w:vAlign w:val="bottom"/>
            <w:tcBorders>
              <w:right w:val="single" w:sz="8" w:color="CFF0FC"/>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1,950</w:t>
            </w:r>
          </w:p>
        </w:tc>
        <w:tc>
          <w:tcPr>
            <w:tcW w:w="80" w:type="dxa"/>
            <w:vAlign w:val="bottom"/>
            <w:tcBorders>
              <w:lef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40" w:type="dxa"/>
            <w:vAlign w:val="bottom"/>
            <w:gridSpan w:val="2"/>
          </w:tcPr>
          <w:p>
            <w:pPr>
              <w:ind w:left="1320"/>
              <w:spacing w:after="0"/>
              <w:rPr>
                <w:sz w:val="20"/>
                <w:szCs w:val="20"/>
                <w:color w:val="auto"/>
              </w:rPr>
            </w:pPr>
            <w:r>
              <w:rPr>
                <w:rFonts w:ascii="Arial" w:cs="Arial" w:eastAsia="Arial" w:hAnsi="Arial"/>
                <w:sz w:val="12"/>
                <w:szCs w:val="12"/>
                <w:color w:val="auto"/>
              </w:rPr>
              <w:t>Computers and software</w:t>
            </w:r>
          </w:p>
        </w:tc>
        <w:tc>
          <w:tcPr>
            <w:tcW w:w="1160" w:type="dxa"/>
            <w:vAlign w:val="bottom"/>
          </w:tcPr>
          <w:p>
            <w:pPr>
              <w:jc w:val="center"/>
              <w:ind w:left="243"/>
              <w:spacing w:after="0"/>
              <w:rPr>
                <w:sz w:val="20"/>
                <w:szCs w:val="20"/>
                <w:color w:val="auto"/>
              </w:rPr>
            </w:pPr>
            <w:r>
              <w:rPr>
                <w:rFonts w:ascii="Arial" w:cs="Arial" w:eastAsia="Arial" w:hAnsi="Arial"/>
                <w:sz w:val="12"/>
                <w:szCs w:val="12"/>
                <w:color w:val="auto"/>
                <w:w w:val="89"/>
              </w:rPr>
              <w:t>3</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1,814</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1,811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2"/>
                <w:szCs w:val="12"/>
                <w:color w:val="auto"/>
              </w:rPr>
              <w:t>Vehicles</w:t>
            </w:r>
          </w:p>
        </w:tc>
        <w:tc>
          <w:tcPr>
            <w:tcW w:w="1160" w:type="dxa"/>
            <w:vAlign w:val="bottom"/>
            <w:shd w:val="clear" w:color="auto" w:fill="CFF0FC"/>
          </w:tcPr>
          <w:p>
            <w:pPr>
              <w:jc w:val="center"/>
              <w:ind w:left="243"/>
              <w:spacing w:after="0"/>
              <w:rPr>
                <w:sz w:val="20"/>
                <w:szCs w:val="20"/>
                <w:color w:val="auto"/>
              </w:rPr>
            </w:pPr>
            <w:r>
              <w:rPr>
                <w:rFonts w:ascii="Arial" w:cs="Arial" w:eastAsia="Arial" w:hAnsi="Arial"/>
                <w:sz w:val="12"/>
                <w:szCs w:val="12"/>
                <w:color w:val="auto"/>
                <w:w w:val="91"/>
              </w:rPr>
              <w:t>5 - 7</w:t>
            </w: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16</w:t>
            </w:r>
          </w:p>
        </w:tc>
        <w:tc>
          <w:tcPr>
            <w:tcW w:w="160" w:type="dxa"/>
            <w:vAlign w:val="bottom"/>
            <w:tcBorders>
              <w:right w:val="single" w:sz="8" w:color="CFF0FC"/>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w:t>
            </w:r>
          </w:p>
        </w:tc>
        <w:tc>
          <w:tcPr>
            <w:tcW w:w="80" w:type="dxa"/>
            <w:vAlign w:val="bottom"/>
            <w:tcBorders>
              <w:lef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4100" w:type="dxa"/>
            <w:vAlign w:val="bottom"/>
            <w:tcBorders>
              <w:bottom w:val="single" w:sz="8" w:color="CFF0FC"/>
            </w:tcBorders>
          </w:tcPr>
          <w:p>
            <w:pPr>
              <w:ind w:left="80"/>
              <w:spacing w:after="0"/>
              <w:rPr>
                <w:sz w:val="20"/>
                <w:szCs w:val="20"/>
                <w:color w:val="auto"/>
              </w:rPr>
            </w:pPr>
            <w:r>
              <w:rPr>
                <w:rFonts w:ascii="Arial" w:cs="Arial" w:eastAsia="Arial" w:hAnsi="Arial"/>
                <w:sz w:val="12"/>
                <w:szCs w:val="12"/>
                <w:color w:val="auto"/>
              </w:rPr>
              <w:t>Total property and equipment</w:t>
            </w:r>
          </w:p>
        </w:tc>
        <w:tc>
          <w:tcPr>
            <w:tcW w:w="116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13,456</w:t>
            </w:r>
          </w:p>
        </w:tc>
        <w:tc>
          <w:tcPr>
            <w:tcW w:w="16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13,359</w:t>
            </w: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2"/>
                <w:szCs w:val="12"/>
                <w:color w:val="auto"/>
              </w:rPr>
              <w:t>Less: Accumulated depreciation</w:t>
            </w:r>
          </w:p>
        </w:tc>
        <w:tc>
          <w:tcPr>
            <w:tcW w:w="1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(9,067)</w:t>
            </w: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(8,711)</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100" w:type="dxa"/>
            <w:vAlign w:val="bottom"/>
            <w:vMerge w:val="restart"/>
          </w:tcPr>
          <w:p>
            <w:pPr>
              <w:ind w:left="80"/>
              <w:spacing w:after="0"/>
              <w:rPr>
                <w:sz w:val="20"/>
                <w:szCs w:val="20"/>
                <w:color w:val="auto"/>
              </w:rPr>
            </w:pPr>
            <w:r>
              <w:rPr>
                <w:rFonts w:ascii="Arial" w:cs="Arial" w:eastAsia="Arial" w:hAnsi="Arial"/>
                <w:sz w:val="12"/>
                <w:szCs w:val="12"/>
                <w:color w:val="auto"/>
              </w:rPr>
              <w:t>Total property and equipment, net</w:t>
            </w: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340" w:type="dxa"/>
            <w:vAlign w:val="bottom"/>
          </w:tcPr>
          <w:p>
            <w:pPr>
              <w:spacing w:after="0"/>
              <w:rPr>
                <w:sz w:val="12"/>
                <w:szCs w:val="12"/>
                <w:color w:val="auto"/>
              </w:rPr>
            </w:pPr>
          </w:p>
        </w:tc>
        <w:tc>
          <w:tcPr>
            <w:tcW w:w="410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560" w:type="dxa"/>
            <w:vAlign w:val="bottom"/>
            <w:gridSpan w:val="4"/>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4,389</w:t>
            </w:r>
          </w:p>
        </w:tc>
        <w:tc>
          <w:tcPr>
            <w:tcW w:w="160" w:type="dxa"/>
            <w:vAlign w:val="bottom"/>
          </w:tcPr>
          <w:p>
            <w:pPr>
              <w:spacing w:after="0"/>
              <w:rPr>
                <w:sz w:val="12"/>
                <w:szCs w:val="12"/>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4,648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5440" w:type="dxa"/>
            <w:vAlign w:val="bottom"/>
            <w:gridSpan w:val="2"/>
          </w:tcPr>
          <w:p>
            <w:pPr>
              <w:spacing w:after="0"/>
              <w:rPr>
                <w:sz w:val="20"/>
                <w:szCs w:val="20"/>
                <w:color w:val="auto"/>
              </w:rPr>
            </w:pPr>
            <w:r>
              <w:rPr>
                <w:rFonts w:ascii="Arial" w:cs="Arial" w:eastAsia="Arial" w:hAnsi="Arial"/>
                <w:sz w:val="12"/>
                <w:szCs w:val="12"/>
                <w:color w:val="auto"/>
                <w:w w:val="91"/>
              </w:rPr>
              <w:t>Depreciation expense were $377 and $192 for the three months ended March 31, 2020 and 2019, respectively.</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44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Other Current Assets</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3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0"/>
                <w:szCs w:val="10"/>
                <w:b w:val="1"/>
                <w:bCs w:val="1"/>
                <w:color w:val="auto"/>
                <w:w w:val="95"/>
              </w:rPr>
              <w:t>March 31,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13"/>
        </w:trPr>
        <w:tc>
          <w:tcPr>
            <w:tcW w:w="1340" w:type="dxa"/>
            <w:vAlign w:val="bottom"/>
          </w:tcPr>
          <w:p>
            <w:pPr>
              <w:spacing w:after="0"/>
              <w:rPr>
                <w:sz w:val="9"/>
                <w:szCs w:val="9"/>
                <w:color w:val="auto"/>
              </w:rPr>
            </w:pPr>
          </w:p>
        </w:tc>
        <w:tc>
          <w:tcPr>
            <w:tcW w:w="4100" w:type="dxa"/>
            <w:vAlign w:val="bottom"/>
            <w:tcBorders>
              <w:bottom w:val="single" w:sz="8" w:color="CFF0FC"/>
            </w:tcBorders>
          </w:tcPr>
          <w:p>
            <w:pPr>
              <w:spacing w:after="0"/>
              <w:rPr>
                <w:sz w:val="9"/>
                <w:szCs w:val="9"/>
                <w:color w:val="auto"/>
              </w:rPr>
            </w:pPr>
          </w:p>
        </w:tc>
        <w:tc>
          <w:tcPr>
            <w:tcW w:w="1160" w:type="dxa"/>
            <w:vAlign w:val="bottom"/>
            <w:tcBorders>
              <w:bottom w:val="single" w:sz="8" w:color="CFF0FC"/>
            </w:tcBorders>
          </w:tcPr>
          <w:p>
            <w:pPr>
              <w:spacing w:after="0"/>
              <w:rPr>
                <w:sz w:val="9"/>
                <w:szCs w:val="9"/>
                <w:color w:val="auto"/>
              </w:rPr>
            </w:pPr>
          </w:p>
        </w:tc>
        <w:tc>
          <w:tcPr>
            <w:tcW w:w="18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463"/>
              <w:spacing w:after="0" w:line="114" w:lineRule="exact"/>
              <w:rPr>
                <w:sz w:val="20"/>
                <w:szCs w:val="20"/>
                <w:color w:val="auto"/>
              </w:rPr>
            </w:pPr>
            <w:r>
              <w:rPr>
                <w:rFonts w:ascii="Arial" w:cs="Arial" w:eastAsia="Arial" w:hAnsi="Arial"/>
                <w:sz w:val="10"/>
                <w:szCs w:val="10"/>
                <w:b w:val="1"/>
                <w:bCs w:val="1"/>
                <w:color w:val="auto"/>
                <w:w w:val="98"/>
              </w:rPr>
              <w:t>2020</w:t>
            </w:r>
          </w:p>
        </w:tc>
        <w:tc>
          <w:tcPr>
            <w:tcW w:w="160" w:type="dxa"/>
            <w:vAlign w:val="bottom"/>
            <w:tcBorders>
              <w:bottom w:val="single" w:sz="8" w:color="CFF0FC"/>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383"/>
              <w:spacing w:after="0" w:line="114" w:lineRule="exact"/>
              <w:rPr>
                <w:sz w:val="20"/>
                <w:szCs w:val="20"/>
                <w:color w:val="auto"/>
              </w:rPr>
            </w:pPr>
            <w:r>
              <w:rPr>
                <w:rFonts w:ascii="Arial" w:cs="Arial" w:eastAsia="Arial" w:hAnsi="Arial"/>
                <w:sz w:val="10"/>
                <w:szCs w:val="10"/>
                <w:b w:val="1"/>
                <w:bCs w:val="1"/>
                <w:color w:val="auto"/>
              </w:rPr>
              <w:t>2019</w:t>
            </w:r>
          </w:p>
        </w:tc>
        <w:tc>
          <w:tcPr>
            <w:tcW w:w="8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Government remittances </w:t>
            </w:r>
            <w:r>
              <w:rPr>
                <w:rFonts w:ascii="Arial" w:cs="Arial" w:eastAsia="Arial" w:hAnsi="Arial"/>
                <w:sz w:val="10"/>
                <w:szCs w:val="10"/>
                <w:color w:val="auto"/>
              </w:rPr>
              <w:t>(1)</w:t>
            </w:r>
          </w:p>
        </w:tc>
        <w:tc>
          <w:tcPr>
            <w:tcW w:w="116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jc w:val="right"/>
              <w:ind w:right="3"/>
              <w:spacing w:after="0"/>
              <w:rPr>
                <w:sz w:val="20"/>
                <w:szCs w:val="20"/>
                <w:color w:val="auto"/>
              </w:rPr>
            </w:pPr>
            <w:r>
              <w:rPr>
                <w:rFonts w:ascii="Arial" w:cs="Arial" w:eastAsia="Arial" w:hAnsi="Arial"/>
                <w:sz w:val="12"/>
                <w:szCs w:val="12"/>
                <w:color w:val="auto"/>
              </w:rPr>
              <w:t>1,435</w:t>
            </w:r>
          </w:p>
        </w:tc>
        <w:tc>
          <w:tcPr>
            <w:tcW w:w="160" w:type="dxa"/>
            <w:vAlign w:val="bottom"/>
            <w:tcBorders>
              <w:right w:val="single" w:sz="8" w:color="CFF0FC"/>
            </w:tcBorders>
            <w:shd w:val="clear" w:color="auto" w:fill="CFF0FC"/>
          </w:tcPr>
          <w:p>
            <w:pPr>
              <w:spacing w:after="0"/>
              <w:rPr>
                <w:sz w:val="12"/>
                <w:szCs w:val="12"/>
                <w:color w:val="auto"/>
              </w:rPr>
            </w:pPr>
          </w:p>
        </w:tc>
        <w:tc>
          <w:tcPr>
            <w:tcW w:w="180" w:type="dxa"/>
            <w:vAlign w:val="bottom"/>
            <w:gridSpan w:val="2"/>
            <w:shd w:val="clear" w:color="auto" w:fill="CFF0FC"/>
          </w:tcPr>
          <w:p>
            <w:pPr>
              <w:jc w:val="right"/>
              <w:ind w:right="140"/>
              <w:spacing w:after="0"/>
              <w:rPr>
                <w:sz w:val="20"/>
                <w:szCs w:val="20"/>
                <w:color w:val="auto"/>
              </w:rPr>
            </w:pPr>
            <w:r>
              <w:rPr>
                <w:rFonts w:ascii="Arial" w:cs="Arial" w:eastAsia="Arial" w:hAnsi="Arial"/>
                <w:sz w:val="5"/>
                <w:szCs w:val="5"/>
                <w:color w:val="auto"/>
                <w:w w:val="70"/>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1,704</w:t>
            </w:r>
          </w:p>
        </w:tc>
        <w:tc>
          <w:tcPr>
            <w:tcW w:w="80" w:type="dxa"/>
            <w:vAlign w:val="bottom"/>
            <w:tcBorders>
              <w:lef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440" w:type="dxa"/>
            <w:vAlign w:val="bottom"/>
            <w:gridSpan w:val="2"/>
          </w:tcPr>
          <w:p>
            <w:pPr>
              <w:ind w:left="1320"/>
              <w:spacing w:after="0"/>
              <w:rPr>
                <w:sz w:val="20"/>
                <w:szCs w:val="20"/>
                <w:color w:val="auto"/>
              </w:rPr>
            </w:pPr>
            <w:r>
              <w:rPr>
                <w:rFonts w:ascii="Arial" w:cs="Arial" w:eastAsia="Arial" w:hAnsi="Arial"/>
                <w:sz w:val="12"/>
                <w:szCs w:val="12"/>
                <w:color w:val="auto"/>
              </w:rPr>
              <w:t>Sundry assets and miscellaneous</w:t>
            </w: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2"/>
                <w:szCs w:val="12"/>
                <w:color w:val="auto"/>
              </w:rPr>
              <w:t>1,551</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1,397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100" w:type="dxa"/>
            <w:vAlign w:val="bottom"/>
            <w:vMerge w:val="restart"/>
            <w:shd w:val="clear" w:color="auto" w:fill="CFF0FC"/>
          </w:tcPr>
          <w:p>
            <w:pPr>
              <w:ind w:left="80"/>
              <w:spacing w:after="0"/>
              <w:rPr>
                <w:sz w:val="20"/>
                <w:szCs w:val="20"/>
                <w:color w:val="auto"/>
              </w:rPr>
            </w:pPr>
            <w:r>
              <w:rPr>
                <w:rFonts w:ascii="Arial" w:cs="Arial" w:eastAsia="Arial" w:hAnsi="Arial"/>
                <w:sz w:val="12"/>
                <w:szCs w:val="12"/>
                <w:color w:val="auto"/>
              </w:rPr>
              <w:t>Total other current assets</w:t>
            </w:r>
          </w:p>
        </w:tc>
        <w:tc>
          <w:tcPr>
            <w:tcW w:w="11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340" w:type="dxa"/>
            <w:vAlign w:val="bottom"/>
          </w:tcPr>
          <w:p>
            <w:pPr>
              <w:spacing w:after="0"/>
              <w:rPr>
                <w:sz w:val="12"/>
                <w:szCs w:val="12"/>
                <w:color w:val="auto"/>
              </w:rPr>
            </w:pPr>
          </w:p>
        </w:tc>
        <w:tc>
          <w:tcPr>
            <w:tcW w:w="4100" w:type="dxa"/>
            <w:vAlign w:val="bottom"/>
            <w:vMerge w:val="continue"/>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jc w:val="right"/>
              <w:ind w:right="3"/>
              <w:spacing w:after="0"/>
              <w:rPr>
                <w:sz w:val="20"/>
                <w:szCs w:val="20"/>
                <w:color w:val="auto"/>
              </w:rPr>
            </w:pPr>
            <w:r>
              <w:rPr>
                <w:rFonts w:ascii="Arial" w:cs="Arial" w:eastAsia="Arial" w:hAnsi="Arial"/>
                <w:sz w:val="12"/>
                <w:szCs w:val="12"/>
                <w:color w:val="auto"/>
              </w:rPr>
              <w:t>2,986</w:t>
            </w:r>
          </w:p>
        </w:tc>
        <w:tc>
          <w:tcPr>
            <w:tcW w:w="160" w:type="dxa"/>
            <w:vAlign w:val="bottom"/>
            <w:tcBorders>
              <w:right w:val="single" w:sz="8" w:color="CFF0FC"/>
            </w:tcBorders>
            <w:shd w:val="clear" w:color="auto" w:fill="CFF0FC"/>
          </w:tcPr>
          <w:p>
            <w:pPr>
              <w:spacing w:after="0"/>
              <w:rPr>
                <w:sz w:val="12"/>
                <w:szCs w:val="12"/>
                <w:color w:val="auto"/>
              </w:rPr>
            </w:pPr>
          </w:p>
        </w:tc>
        <w:tc>
          <w:tcPr>
            <w:tcW w:w="180" w:type="dxa"/>
            <w:vAlign w:val="bottom"/>
            <w:gridSpan w:val="2"/>
            <w:shd w:val="clear" w:color="auto" w:fill="CFF0FC"/>
          </w:tcPr>
          <w:p>
            <w:pPr>
              <w:jc w:val="right"/>
              <w:ind w:right="140"/>
              <w:spacing w:after="0"/>
              <w:rPr>
                <w:sz w:val="20"/>
                <w:szCs w:val="20"/>
                <w:color w:val="auto"/>
              </w:rPr>
            </w:pPr>
            <w:r>
              <w:rPr>
                <w:rFonts w:ascii="Arial" w:cs="Arial" w:eastAsia="Arial" w:hAnsi="Arial"/>
                <w:sz w:val="5"/>
                <w:szCs w:val="5"/>
                <w:color w:val="auto"/>
                <w:w w:val="70"/>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3,101</w:t>
            </w:r>
          </w:p>
        </w:tc>
        <w:tc>
          <w:tcPr>
            <w:tcW w:w="80" w:type="dxa"/>
            <w:vAlign w:val="bottom"/>
            <w:tcBorders>
              <w:lef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410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tcBorders>
              <w:right w:val="single" w:sz="8" w:color="CFF0FC"/>
            </w:tcBorders>
            <w:shd w:val="clear" w:color="auto" w:fill="000000"/>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940" w:hanging="572"/>
        <w:spacing w:after="0"/>
        <w:tabs>
          <w:tab w:leader="none" w:pos="940" w:val="left"/>
        </w:tabs>
        <w:numPr>
          <w:ilvl w:val="0"/>
          <w:numId w:val="3"/>
        </w:numPr>
        <w:rPr>
          <w:rFonts w:ascii="Arial" w:cs="Arial" w:eastAsia="Arial" w:hAnsi="Arial"/>
          <w:sz w:val="12"/>
          <w:szCs w:val="12"/>
          <w:color w:val="auto"/>
        </w:rPr>
      </w:pPr>
      <w:r>
        <w:rPr>
          <w:rFonts w:ascii="Arial" w:cs="Arial" w:eastAsia="Arial" w:hAnsi="Arial"/>
          <w:sz w:val="12"/>
          <w:szCs w:val="12"/>
          <w:color w:val="auto"/>
        </w:rPr>
        <w:t>Government remittances are receivables from the local tax authorities for refunds of sales taxes and income taxes.</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Accrued Expenses and Other Current Liabilities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7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rPr>
              <w:t>March 31,</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right"/>
              <w:ind w:right="283"/>
              <w:spacing w:after="0"/>
              <w:rPr>
                <w:sz w:val="20"/>
                <w:szCs w:val="20"/>
                <w:color w:val="auto"/>
              </w:rPr>
            </w:pPr>
            <w:r>
              <w:rPr>
                <w:rFonts w:ascii="Arial" w:cs="Arial" w:eastAsia="Arial" w:hAnsi="Arial"/>
                <w:sz w:val="10"/>
                <w:szCs w:val="10"/>
                <w:b w:val="1"/>
                <w:bCs w:val="1"/>
                <w:color w:val="auto"/>
                <w:w w:val="98"/>
              </w:rPr>
              <w:t>December 31,</w:t>
            </w: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700" w:type="dxa"/>
            <w:vAlign w:val="bottom"/>
          </w:tcPr>
          <w:p>
            <w:pPr>
              <w:spacing w:after="0"/>
              <w:rPr>
                <w:sz w:val="9"/>
                <w:szCs w:val="9"/>
                <w:color w:val="auto"/>
              </w:rPr>
            </w:pPr>
          </w:p>
        </w:tc>
        <w:tc>
          <w:tcPr>
            <w:tcW w:w="3200" w:type="dxa"/>
            <w:vAlign w:val="bottom"/>
            <w:tcBorders>
              <w:bottom w:val="single" w:sz="8" w:color="CFF0FC"/>
            </w:tcBorders>
          </w:tcPr>
          <w:p>
            <w:pPr>
              <w:spacing w:after="0"/>
              <w:rPr>
                <w:sz w:val="9"/>
                <w:szCs w:val="9"/>
                <w:color w:val="auto"/>
              </w:rPr>
            </w:pPr>
          </w:p>
        </w:tc>
        <w:tc>
          <w:tcPr>
            <w:tcW w:w="2240" w:type="dxa"/>
            <w:vAlign w:val="bottom"/>
            <w:tcBorders>
              <w:bottom w:val="single" w:sz="8" w:color="CFF0FC"/>
            </w:tcBorders>
          </w:tcPr>
          <w:p>
            <w:pPr>
              <w:spacing w:after="0"/>
              <w:rPr>
                <w:sz w:val="9"/>
                <w:szCs w:val="9"/>
                <w:color w:val="auto"/>
              </w:rPr>
            </w:pPr>
          </w:p>
        </w:tc>
        <w:tc>
          <w:tcPr>
            <w:tcW w:w="740" w:type="dxa"/>
            <w:vAlign w:val="bottom"/>
            <w:tcBorders>
              <w:bottom w:val="single" w:sz="8" w:color="auto"/>
            </w:tcBorders>
          </w:tcPr>
          <w:p>
            <w:pPr>
              <w:jc w:val="right"/>
              <w:ind w:right="72"/>
              <w:spacing w:after="0" w:line="114" w:lineRule="exact"/>
              <w:rPr>
                <w:sz w:val="20"/>
                <w:szCs w:val="20"/>
                <w:color w:val="auto"/>
              </w:rPr>
            </w:pPr>
            <w:r>
              <w:rPr>
                <w:rFonts w:ascii="Arial" w:cs="Arial" w:eastAsia="Arial" w:hAnsi="Arial"/>
                <w:sz w:val="10"/>
                <w:szCs w:val="10"/>
                <w:b w:val="1"/>
                <w:bCs w:val="1"/>
                <w:color w:val="auto"/>
              </w:rPr>
              <w:t>2020</w:t>
            </w:r>
          </w:p>
        </w:tc>
        <w:tc>
          <w:tcPr>
            <w:tcW w:w="340" w:type="dxa"/>
            <w:vAlign w:val="bottom"/>
            <w:tcBorders>
              <w:bottom w:val="single" w:sz="8" w:color="auto"/>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right"/>
              <w:ind w:right="463"/>
              <w:spacing w:after="0" w:line="114" w:lineRule="exact"/>
              <w:rPr>
                <w:sz w:val="20"/>
                <w:szCs w:val="20"/>
                <w:color w:val="auto"/>
              </w:rPr>
            </w:pPr>
            <w:r>
              <w:rPr>
                <w:rFonts w:ascii="Arial" w:cs="Arial" w:eastAsia="Arial" w:hAnsi="Arial"/>
                <w:sz w:val="10"/>
                <w:szCs w:val="10"/>
                <w:b w:val="1"/>
                <w:bCs w:val="1"/>
                <w:color w:val="auto"/>
              </w:rPr>
              <w:t>2019</w:t>
            </w: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Payroll and related expense</w:t>
            </w:r>
          </w:p>
        </w:tc>
        <w:tc>
          <w:tcPr>
            <w:tcW w:w="2980" w:type="dxa"/>
            <w:vAlign w:val="bottom"/>
            <w:gridSpan w:val="2"/>
            <w:shd w:val="clear" w:color="auto" w:fill="CFF0FC"/>
          </w:tcPr>
          <w:p>
            <w:pPr>
              <w:jc w:val="right"/>
              <w:ind w:right="632"/>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2,335</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0" w:type="dxa"/>
            <w:vAlign w:val="bottom"/>
            <w:tcBorders>
              <w:right w:val="single" w:sz="8" w:color="CFF0FC"/>
            </w:tcBorders>
            <w:shd w:val="clear" w:color="auto" w:fill="CFF0FC"/>
          </w:tcPr>
          <w:p>
            <w:pPr>
              <w:jc w:val="right"/>
              <w:ind w:right="23"/>
              <w:spacing w:after="0"/>
              <w:rPr>
                <w:sz w:val="20"/>
                <w:szCs w:val="20"/>
                <w:color w:val="auto"/>
              </w:rPr>
            </w:pPr>
            <w:r>
              <w:rPr>
                <w:rFonts w:ascii="Arial" w:cs="Arial" w:eastAsia="Arial" w:hAnsi="Arial"/>
                <w:sz w:val="12"/>
                <w:szCs w:val="12"/>
                <w:color w:val="auto"/>
              </w:rPr>
              <w:t>3,117</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900" w:type="dxa"/>
            <w:vAlign w:val="bottom"/>
            <w:gridSpan w:val="2"/>
          </w:tcPr>
          <w:p>
            <w:pPr>
              <w:ind w:left="1680"/>
              <w:spacing w:after="0"/>
              <w:rPr>
                <w:sz w:val="20"/>
                <w:szCs w:val="20"/>
                <w:color w:val="auto"/>
              </w:rPr>
            </w:pPr>
            <w:r>
              <w:rPr>
                <w:rFonts w:ascii="Arial" w:cs="Arial" w:eastAsia="Arial" w:hAnsi="Arial"/>
                <w:sz w:val="12"/>
                <w:szCs w:val="12"/>
                <w:color w:val="auto"/>
              </w:rPr>
              <w:t>Accrued expenses</w:t>
            </w:r>
          </w:p>
        </w:tc>
        <w:tc>
          <w:tcPr>
            <w:tcW w:w="2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8,309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23"/>
              <w:spacing w:after="0"/>
              <w:rPr>
                <w:sz w:val="20"/>
                <w:szCs w:val="20"/>
                <w:color w:val="auto"/>
              </w:rPr>
            </w:pPr>
            <w:r>
              <w:rPr>
                <w:rFonts w:ascii="Arial" w:cs="Arial" w:eastAsia="Arial" w:hAnsi="Arial"/>
                <w:sz w:val="12"/>
                <w:szCs w:val="12"/>
                <w:color w:val="auto"/>
              </w:rPr>
              <w:t>10,645</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Commission accrual</w:t>
            </w:r>
          </w:p>
        </w:tc>
        <w:tc>
          <w:tcPr>
            <w:tcW w:w="22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2,445</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tcBorders>
              <w:right w:val="single" w:sz="8" w:color="CFF0FC"/>
            </w:tcBorders>
            <w:shd w:val="clear" w:color="auto" w:fill="CFF0FC"/>
          </w:tcPr>
          <w:p>
            <w:pPr>
              <w:jc w:val="right"/>
              <w:ind w:right="23"/>
              <w:spacing w:after="0"/>
              <w:rPr>
                <w:sz w:val="20"/>
                <w:szCs w:val="20"/>
                <w:color w:val="auto"/>
              </w:rPr>
            </w:pPr>
            <w:r>
              <w:rPr>
                <w:rFonts w:ascii="Arial" w:cs="Arial" w:eastAsia="Arial" w:hAnsi="Arial"/>
                <w:sz w:val="12"/>
                <w:szCs w:val="12"/>
                <w:color w:val="auto"/>
              </w:rPr>
              <w:t>4,215</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00" w:type="dxa"/>
            <w:vAlign w:val="bottom"/>
            <w:gridSpan w:val="2"/>
          </w:tcPr>
          <w:p>
            <w:pPr>
              <w:ind w:left="1680"/>
              <w:spacing w:after="0"/>
              <w:rPr>
                <w:sz w:val="20"/>
                <w:szCs w:val="20"/>
                <w:color w:val="auto"/>
              </w:rPr>
            </w:pPr>
            <w:r>
              <w:rPr>
                <w:rFonts w:ascii="Arial" w:cs="Arial" w:eastAsia="Arial" w:hAnsi="Arial"/>
                <w:sz w:val="12"/>
                <w:szCs w:val="12"/>
                <w:color w:val="auto"/>
              </w:rPr>
              <w:t>Sales and consumption taxes</w:t>
            </w:r>
          </w:p>
        </w:tc>
        <w:tc>
          <w:tcPr>
            <w:tcW w:w="2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2,131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23"/>
              <w:spacing w:after="0"/>
              <w:rPr>
                <w:sz w:val="20"/>
                <w:szCs w:val="20"/>
                <w:color w:val="auto"/>
              </w:rPr>
            </w:pPr>
            <w:r>
              <w:rPr>
                <w:rFonts w:ascii="Arial" w:cs="Arial" w:eastAsia="Arial" w:hAnsi="Arial"/>
                <w:sz w:val="12"/>
                <w:szCs w:val="12"/>
                <w:color w:val="auto"/>
              </w:rPr>
              <w:t>3,143</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00" w:type="dxa"/>
            <w:vAlign w:val="bottom"/>
            <w:vMerge w:val="restart"/>
            <w:shd w:val="clear" w:color="auto" w:fill="CFF0FC"/>
          </w:tcPr>
          <w:p>
            <w:pPr>
              <w:ind w:left="80"/>
              <w:spacing w:after="0"/>
              <w:rPr>
                <w:sz w:val="20"/>
                <w:szCs w:val="20"/>
                <w:color w:val="auto"/>
              </w:rPr>
            </w:pPr>
            <w:r>
              <w:rPr>
                <w:rFonts w:ascii="Arial" w:cs="Arial" w:eastAsia="Arial" w:hAnsi="Arial"/>
                <w:sz w:val="12"/>
                <w:szCs w:val="12"/>
                <w:color w:val="auto"/>
              </w:rPr>
              <w:t>Total accrued expenses and other current liabilities</w:t>
            </w:r>
          </w:p>
        </w:tc>
        <w:tc>
          <w:tcPr>
            <w:tcW w:w="22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700" w:type="dxa"/>
            <w:vAlign w:val="bottom"/>
          </w:tcPr>
          <w:p>
            <w:pPr>
              <w:spacing w:after="0"/>
              <w:rPr>
                <w:sz w:val="14"/>
                <w:szCs w:val="14"/>
                <w:color w:val="auto"/>
              </w:rPr>
            </w:pPr>
          </w:p>
        </w:tc>
        <w:tc>
          <w:tcPr>
            <w:tcW w:w="3200" w:type="dxa"/>
            <w:vAlign w:val="bottom"/>
            <w:vMerge w:val="continue"/>
            <w:shd w:val="clear" w:color="auto" w:fill="CFF0FC"/>
          </w:tcPr>
          <w:p>
            <w:pPr>
              <w:spacing w:after="0"/>
              <w:rPr>
                <w:sz w:val="14"/>
                <w:szCs w:val="14"/>
                <w:color w:val="auto"/>
              </w:rPr>
            </w:pPr>
          </w:p>
        </w:tc>
        <w:tc>
          <w:tcPr>
            <w:tcW w:w="2980" w:type="dxa"/>
            <w:vAlign w:val="bottom"/>
            <w:gridSpan w:val="2"/>
            <w:shd w:val="clear" w:color="auto" w:fill="CFF0FC"/>
          </w:tcPr>
          <w:p>
            <w:pPr>
              <w:jc w:val="right"/>
              <w:ind w:right="632"/>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7"/>
              </w:rPr>
              <w:t>15,220</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0" w:type="dxa"/>
            <w:vAlign w:val="bottom"/>
            <w:tcBorders>
              <w:right w:val="single" w:sz="8" w:color="CFF0FC"/>
            </w:tcBorders>
            <w:shd w:val="clear" w:color="auto" w:fill="CFF0FC"/>
          </w:tcPr>
          <w:p>
            <w:pPr>
              <w:jc w:val="right"/>
              <w:ind w:right="23"/>
              <w:spacing w:after="0"/>
              <w:rPr>
                <w:sz w:val="20"/>
                <w:szCs w:val="20"/>
                <w:color w:val="auto"/>
              </w:rPr>
            </w:pPr>
            <w:r>
              <w:rPr>
                <w:rFonts w:ascii="Arial" w:cs="Arial" w:eastAsia="Arial" w:hAnsi="Arial"/>
                <w:sz w:val="12"/>
                <w:szCs w:val="12"/>
                <w:color w:val="auto"/>
              </w:rPr>
              <w:t>21,120</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700" w:type="dxa"/>
            <w:vAlign w:val="bottom"/>
          </w:tcPr>
          <w:p>
            <w:pPr>
              <w:spacing w:after="0"/>
              <w:rPr>
                <w:sz w:val="24"/>
                <w:szCs w:val="24"/>
                <w:color w:val="auto"/>
              </w:rPr>
            </w:pPr>
          </w:p>
        </w:tc>
        <w:tc>
          <w:tcPr>
            <w:tcW w:w="3200" w:type="dxa"/>
            <w:vAlign w:val="bottom"/>
            <w:tcBorders>
              <w:top w:val="single" w:sz="8" w:color="CFF0FC"/>
            </w:tcBorders>
          </w:tcPr>
          <w:p>
            <w:pPr>
              <w:spacing w:after="0"/>
              <w:rPr>
                <w:sz w:val="24"/>
                <w:szCs w:val="24"/>
                <w:color w:val="auto"/>
              </w:rPr>
            </w:pPr>
          </w:p>
        </w:tc>
        <w:tc>
          <w:tcPr>
            <w:tcW w:w="2240" w:type="dxa"/>
            <w:vAlign w:val="bottom"/>
            <w:tcBorders>
              <w:top w:val="single" w:sz="8" w:color="CFF0FC"/>
            </w:tcBorders>
          </w:tcPr>
          <w:p>
            <w:pPr>
              <w:jc w:val="right"/>
              <w:ind w:right="1380"/>
              <w:spacing w:after="0"/>
              <w:rPr>
                <w:sz w:val="20"/>
                <w:szCs w:val="20"/>
                <w:color w:val="auto"/>
              </w:rPr>
            </w:pPr>
            <w:r>
              <w:rPr>
                <w:rFonts w:ascii="Arial" w:cs="Arial" w:eastAsia="Arial" w:hAnsi="Arial"/>
                <w:sz w:val="12"/>
                <w:szCs w:val="12"/>
                <w:color w:val="auto"/>
              </w:rPr>
              <w:t>14</w:t>
            </w:r>
          </w:p>
        </w:tc>
        <w:tc>
          <w:tcPr>
            <w:tcW w:w="7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700" w:type="dxa"/>
            <w:vAlign w:val="bottom"/>
            <w:tcBorders>
              <w:bottom w:val="single" w:sz="8" w:color="9A9A9A"/>
            </w:tcBorders>
          </w:tcPr>
          <w:p>
            <w:pPr>
              <w:spacing w:after="0"/>
              <w:rPr>
                <w:sz w:val="6"/>
                <w:szCs w:val="6"/>
                <w:color w:val="auto"/>
              </w:rPr>
            </w:pPr>
          </w:p>
        </w:tc>
        <w:tc>
          <w:tcPr>
            <w:tcW w:w="3200" w:type="dxa"/>
            <w:vAlign w:val="bottom"/>
            <w:tcBorders>
              <w:bottom w:val="single" w:sz="8" w:color="9A9A9A"/>
            </w:tcBorders>
          </w:tcPr>
          <w:p>
            <w:pPr>
              <w:spacing w:after="0"/>
              <w:rPr>
                <w:sz w:val="6"/>
                <w:szCs w:val="6"/>
                <w:color w:val="auto"/>
              </w:rPr>
            </w:pPr>
          </w:p>
        </w:tc>
        <w:tc>
          <w:tcPr>
            <w:tcW w:w="22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75" w:right="279" w:bottom="1440" w:gutter="0" w:footer="0" w:header="0"/>
        </w:sectPr>
      </w:pPr>
    </w:p>
    <w:bookmarkStart w:id="15" w:name="page16"/>
    <w:bookmarkEnd w:id="15"/>
    <w:p>
      <w:pPr>
        <w:ind w:left="360"/>
        <w:spacing w:after="0"/>
        <w:rPr>
          <w:sz w:val="20"/>
          <w:szCs w:val="20"/>
          <w:color w:val="auto"/>
        </w:rPr>
      </w:pPr>
      <w:r>
        <w:rPr>
          <w:rFonts w:ascii="Arial" w:cs="Arial" w:eastAsia="Arial" w:hAnsi="Arial"/>
          <w:sz w:val="12"/>
          <w:szCs w:val="12"/>
          <w:b w:val="1"/>
          <w:bCs w:val="1"/>
          <w:i w:val="1"/>
          <w:iCs w:val="1"/>
          <w:color w:val="auto"/>
        </w:rPr>
        <w:t>Warranty Accrual</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following table provides the details of the change in the Company’s warranty accrual:</w:t>
      </w:r>
    </w:p>
    <w:p>
      <w:pPr>
        <w:spacing w:after="0" w:line="290" w:lineRule="exact"/>
        <w:rPr>
          <w:sz w:val="20"/>
          <w:szCs w:val="20"/>
          <w:color w:val="auto"/>
        </w:rPr>
      </w:pPr>
    </w:p>
    <w:tbl>
      <w:tblPr>
        <w:tblLayout w:type="fixed"/>
        <w:tblInd w:w="360" w:type="dxa"/>
        <w:tblCellMar>
          <w:top w:w="0" w:type="dxa"/>
          <w:left w:w="0" w:type="dxa"/>
          <w:bottom w:w="0" w:type="dxa"/>
          <w:right w:w="0" w:type="dxa"/>
        </w:tblCellMar>
      </w:tblPr>
      <w:tr>
        <w:trPr>
          <w:trHeight w:val="115"/>
        </w:trPr>
        <w:tc>
          <w:tcPr>
            <w:tcW w:w="134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March 31,</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jc w:val="right"/>
              <w:ind w:right="283"/>
              <w:spacing w:after="0"/>
              <w:rPr>
                <w:sz w:val="20"/>
                <w:szCs w:val="20"/>
                <w:color w:val="auto"/>
              </w:rPr>
            </w:pPr>
            <w:r>
              <w:rPr>
                <w:rFonts w:ascii="Arial" w:cs="Arial" w:eastAsia="Arial" w:hAnsi="Arial"/>
                <w:sz w:val="10"/>
                <w:szCs w:val="10"/>
                <w:b w:val="1"/>
                <w:bCs w:val="1"/>
                <w:color w:val="auto"/>
                <w:w w:val="86"/>
              </w:rPr>
              <w:t>December 31,</w:t>
            </w:r>
          </w:p>
        </w:tc>
        <w:tc>
          <w:tcPr>
            <w:tcW w:w="0" w:type="dxa"/>
            <w:vAlign w:val="bottom"/>
          </w:tcPr>
          <w:p>
            <w:pPr>
              <w:spacing w:after="0"/>
              <w:rPr>
                <w:sz w:val="1"/>
                <w:szCs w:val="1"/>
                <w:color w:val="auto"/>
              </w:rPr>
            </w:pPr>
          </w:p>
        </w:tc>
      </w:tr>
      <w:tr>
        <w:trPr>
          <w:trHeight w:val="113"/>
        </w:trPr>
        <w:tc>
          <w:tcPr>
            <w:tcW w:w="1340" w:type="dxa"/>
            <w:vAlign w:val="bottom"/>
          </w:tcPr>
          <w:p>
            <w:pPr>
              <w:spacing w:after="0"/>
              <w:rPr>
                <w:sz w:val="9"/>
                <w:szCs w:val="9"/>
                <w:color w:val="auto"/>
              </w:rPr>
            </w:pPr>
          </w:p>
        </w:tc>
        <w:tc>
          <w:tcPr>
            <w:tcW w:w="3920" w:type="dxa"/>
            <w:vAlign w:val="bottom"/>
            <w:tcBorders>
              <w:bottom w:val="single" w:sz="8" w:color="CFF0FC"/>
            </w:tcBorders>
          </w:tcPr>
          <w:p>
            <w:pPr>
              <w:spacing w:after="0"/>
              <w:rPr>
                <w:sz w:val="9"/>
                <w:szCs w:val="9"/>
                <w:color w:val="auto"/>
              </w:rPr>
            </w:pPr>
          </w:p>
        </w:tc>
        <w:tc>
          <w:tcPr>
            <w:tcW w:w="1520" w:type="dxa"/>
            <w:vAlign w:val="bottom"/>
            <w:tcBorders>
              <w:bottom w:val="single" w:sz="8" w:color="CFF0FC"/>
            </w:tcBorders>
          </w:tcPr>
          <w:p>
            <w:pPr>
              <w:spacing w:after="0"/>
              <w:rPr>
                <w:sz w:val="9"/>
                <w:szCs w:val="9"/>
                <w:color w:val="auto"/>
              </w:rPr>
            </w:pPr>
          </w:p>
        </w:tc>
        <w:tc>
          <w:tcPr>
            <w:tcW w:w="780" w:type="dxa"/>
            <w:vAlign w:val="bottom"/>
            <w:tcBorders>
              <w:bottom w:val="single" w:sz="8" w:color="auto"/>
            </w:tcBorders>
          </w:tcPr>
          <w:p>
            <w:pPr>
              <w:jc w:val="right"/>
              <w:ind w:right="112"/>
              <w:spacing w:after="0" w:line="114" w:lineRule="exact"/>
              <w:rPr>
                <w:sz w:val="20"/>
                <w:szCs w:val="20"/>
                <w:color w:val="auto"/>
              </w:rPr>
            </w:pPr>
            <w:r>
              <w:rPr>
                <w:rFonts w:ascii="Arial" w:cs="Arial" w:eastAsia="Arial" w:hAnsi="Arial"/>
                <w:sz w:val="10"/>
                <w:szCs w:val="10"/>
                <w:b w:val="1"/>
                <w:bCs w:val="1"/>
                <w:color w:val="auto"/>
              </w:rPr>
              <w:t>2020</w:t>
            </w:r>
          </w:p>
        </w:tc>
        <w:tc>
          <w:tcPr>
            <w:tcW w:w="30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463"/>
              <w:spacing w:after="0" w:line="114" w:lineRule="exact"/>
              <w:rPr>
                <w:sz w:val="20"/>
                <w:szCs w:val="20"/>
                <w:color w:val="auto"/>
              </w:rPr>
            </w:pPr>
            <w:r>
              <w:rPr>
                <w:rFonts w:ascii="Arial" w:cs="Arial" w:eastAsia="Arial" w:hAnsi="Arial"/>
                <w:sz w:val="10"/>
                <w:szCs w:val="10"/>
                <w:b w:val="1"/>
                <w:bCs w:val="1"/>
                <w:color w:val="auto"/>
              </w:rPr>
              <w:t>2019</w:t>
            </w: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2"/>
                <w:szCs w:val="12"/>
                <w:color w:val="auto"/>
              </w:rPr>
              <w:t>Balance as of the beginning of the year</w:t>
            </w:r>
          </w:p>
        </w:tc>
        <w:tc>
          <w:tcPr>
            <w:tcW w:w="2300" w:type="dxa"/>
            <w:vAlign w:val="bottom"/>
            <w:gridSpan w:val="2"/>
            <w:shd w:val="clear" w:color="auto" w:fill="CFF0FC"/>
          </w:tcPr>
          <w:p>
            <w:pPr>
              <w:jc w:val="right"/>
              <w:ind w:right="672"/>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3"/>
              </w:rPr>
              <w:t>1,977</w:t>
            </w:r>
          </w:p>
        </w:tc>
        <w:tc>
          <w:tcPr>
            <w:tcW w:w="1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20" w:type="dxa"/>
            <w:vAlign w:val="bottom"/>
            <w:tcBorders>
              <w:right w:val="single" w:sz="8" w:color="CFF0FC"/>
            </w:tcBorders>
            <w:shd w:val="clear" w:color="auto" w:fill="CFF0FC"/>
          </w:tcPr>
          <w:p>
            <w:pPr>
              <w:jc w:val="right"/>
              <w:ind w:right="23"/>
              <w:spacing w:after="0"/>
              <w:rPr>
                <w:sz w:val="20"/>
                <w:szCs w:val="20"/>
                <w:color w:val="auto"/>
              </w:rPr>
            </w:pPr>
            <w:r>
              <w:rPr>
                <w:rFonts w:ascii="Arial" w:cs="Arial" w:eastAsia="Arial" w:hAnsi="Arial"/>
                <w:sz w:val="12"/>
                <w:szCs w:val="12"/>
                <w:color w:val="auto"/>
              </w:rPr>
              <w:t>1,336</w:t>
            </w:r>
          </w:p>
        </w:tc>
        <w:tc>
          <w:tcPr>
            <w:tcW w:w="0" w:type="dxa"/>
            <w:vAlign w:val="bottom"/>
          </w:tcPr>
          <w:p>
            <w:pPr>
              <w:spacing w:after="0"/>
              <w:rPr>
                <w:sz w:val="1"/>
                <w:szCs w:val="1"/>
                <w:color w:val="auto"/>
              </w:rPr>
            </w:pPr>
          </w:p>
        </w:tc>
      </w:tr>
      <w:tr>
        <w:trPr>
          <w:trHeight w:val="153"/>
        </w:trPr>
        <w:tc>
          <w:tcPr>
            <w:tcW w:w="5260" w:type="dxa"/>
            <w:vAlign w:val="bottom"/>
            <w:gridSpan w:val="2"/>
          </w:tcPr>
          <w:p>
            <w:pPr>
              <w:ind w:left="1320"/>
              <w:spacing w:after="0"/>
              <w:rPr>
                <w:sz w:val="20"/>
                <w:szCs w:val="20"/>
                <w:color w:val="auto"/>
              </w:rPr>
            </w:pPr>
            <w:r>
              <w:rPr>
                <w:rFonts w:ascii="Arial" w:cs="Arial" w:eastAsia="Arial" w:hAnsi="Arial"/>
                <w:sz w:val="12"/>
                <w:szCs w:val="12"/>
                <w:color w:val="auto"/>
              </w:rPr>
              <w:t>Warranties assumed through business combination</w:t>
            </w:r>
          </w:p>
        </w:tc>
        <w:tc>
          <w:tcPr>
            <w:tcW w:w="1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23"/>
              <w:spacing w:after="0"/>
              <w:rPr>
                <w:sz w:val="20"/>
                <w:szCs w:val="20"/>
                <w:color w:val="auto"/>
              </w:rPr>
            </w:pPr>
            <w:r>
              <w:rPr>
                <w:rFonts w:ascii="Arial" w:cs="Arial" w:eastAsia="Arial" w:hAnsi="Arial"/>
                <w:sz w:val="12"/>
                <w:szCs w:val="12"/>
                <w:color w:val="auto"/>
              </w:rPr>
              <w:t>273</w:t>
            </w: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2"/>
                <w:szCs w:val="12"/>
                <w:color w:val="auto"/>
              </w:rPr>
              <w:t>Warranties issued during the year</w:t>
            </w:r>
          </w:p>
        </w:tc>
        <w:tc>
          <w:tcPr>
            <w:tcW w:w="15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115</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tcBorders>
              <w:right w:val="single" w:sz="8" w:color="CFF0FC"/>
            </w:tcBorders>
            <w:shd w:val="clear" w:color="auto" w:fill="CFF0FC"/>
          </w:tcPr>
          <w:p>
            <w:pPr>
              <w:jc w:val="right"/>
              <w:ind w:right="23"/>
              <w:spacing w:after="0"/>
              <w:rPr>
                <w:sz w:val="20"/>
                <w:szCs w:val="20"/>
                <w:color w:val="auto"/>
              </w:rPr>
            </w:pPr>
            <w:r>
              <w:rPr>
                <w:rFonts w:ascii="Arial" w:cs="Arial" w:eastAsia="Arial" w:hAnsi="Arial"/>
                <w:sz w:val="12"/>
                <w:szCs w:val="12"/>
                <w:color w:val="auto"/>
              </w:rPr>
              <w:t>1,038</w:t>
            </w:r>
          </w:p>
        </w:tc>
        <w:tc>
          <w:tcPr>
            <w:tcW w:w="0" w:type="dxa"/>
            <w:vAlign w:val="bottom"/>
          </w:tcPr>
          <w:p>
            <w:pPr>
              <w:spacing w:after="0"/>
              <w:rPr>
                <w:sz w:val="1"/>
                <w:szCs w:val="1"/>
                <w:color w:val="auto"/>
              </w:rPr>
            </w:pPr>
          </w:p>
        </w:tc>
      </w:tr>
      <w:tr>
        <w:trPr>
          <w:trHeight w:val="153"/>
        </w:trPr>
        <w:tc>
          <w:tcPr>
            <w:tcW w:w="5260" w:type="dxa"/>
            <w:vAlign w:val="bottom"/>
            <w:gridSpan w:val="2"/>
          </w:tcPr>
          <w:p>
            <w:pPr>
              <w:ind w:left="1320"/>
              <w:spacing w:after="0"/>
              <w:rPr>
                <w:sz w:val="20"/>
                <w:szCs w:val="20"/>
                <w:color w:val="auto"/>
              </w:rPr>
            </w:pPr>
            <w:r>
              <w:rPr>
                <w:rFonts w:ascii="Arial" w:cs="Arial" w:eastAsia="Arial" w:hAnsi="Arial"/>
                <w:sz w:val="12"/>
                <w:szCs w:val="12"/>
                <w:color w:val="auto"/>
              </w:rPr>
              <w:t>Warranty costs incurred during the year</w:t>
            </w:r>
          </w:p>
        </w:tc>
        <w:tc>
          <w:tcPr>
            <w:tcW w:w="1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(458)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(670)</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92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Balance at the end of the year</w:t>
            </w:r>
          </w:p>
        </w:tc>
        <w:tc>
          <w:tcPr>
            <w:tcW w:w="15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340" w:type="dxa"/>
            <w:vAlign w:val="bottom"/>
          </w:tcPr>
          <w:p>
            <w:pPr>
              <w:spacing w:after="0"/>
              <w:rPr>
                <w:sz w:val="12"/>
                <w:szCs w:val="12"/>
                <w:color w:val="auto"/>
              </w:rPr>
            </w:pPr>
          </w:p>
        </w:tc>
        <w:tc>
          <w:tcPr>
            <w:tcW w:w="3920" w:type="dxa"/>
            <w:vAlign w:val="bottom"/>
            <w:vMerge w:val="continue"/>
            <w:shd w:val="clear" w:color="auto" w:fill="CFF0FC"/>
          </w:tcPr>
          <w:p>
            <w:pPr>
              <w:spacing w:after="0"/>
              <w:rPr>
                <w:sz w:val="12"/>
                <w:szCs w:val="12"/>
                <w:color w:val="auto"/>
              </w:rPr>
            </w:pPr>
          </w:p>
        </w:tc>
        <w:tc>
          <w:tcPr>
            <w:tcW w:w="2300" w:type="dxa"/>
            <w:vAlign w:val="bottom"/>
            <w:gridSpan w:val="2"/>
            <w:shd w:val="clear" w:color="auto" w:fill="CFF0FC"/>
          </w:tcPr>
          <w:p>
            <w:pPr>
              <w:jc w:val="right"/>
              <w:ind w:right="672"/>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3"/>
              </w:rPr>
              <w:t>1,634</w:t>
            </w:r>
          </w:p>
        </w:tc>
        <w:tc>
          <w:tcPr>
            <w:tcW w:w="1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20" w:type="dxa"/>
            <w:vAlign w:val="bottom"/>
            <w:tcBorders>
              <w:right w:val="single" w:sz="8" w:color="CFF0FC"/>
            </w:tcBorders>
            <w:shd w:val="clear" w:color="auto" w:fill="CFF0FC"/>
          </w:tcPr>
          <w:p>
            <w:pPr>
              <w:jc w:val="right"/>
              <w:ind w:right="23"/>
              <w:spacing w:after="0"/>
              <w:rPr>
                <w:sz w:val="20"/>
                <w:szCs w:val="20"/>
                <w:color w:val="auto"/>
              </w:rPr>
            </w:pPr>
            <w:r>
              <w:rPr>
                <w:rFonts w:ascii="Arial" w:cs="Arial" w:eastAsia="Arial" w:hAnsi="Arial"/>
                <w:sz w:val="12"/>
                <w:szCs w:val="12"/>
                <w:color w:val="auto"/>
              </w:rPr>
              <w:t>1,977</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920" w:type="dxa"/>
            <w:vAlign w:val="bottom"/>
            <w:shd w:val="clear" w:color="auto" w:fill="CFF0FC"/>
          </w:tcPr>
          <w:p>
            <w:pPr>
              <w:spacing w:after="0" w:line="20" w:lineRule="exact"/>
              <w:rPr>
                <w:sz w:val="1"/>
                <w:szCs w:val="1"/>
                <w:color w:val="auto"/>
              </w:rPr>
            </w:pPr>
          </w:p>
        </w:tc>
        <w:tc>
          <w:tcPr>
            <w:tcW w:w="1520" w:type="dxa"/>
            <w:vAlign w:val="bottom"/>
            <w:shd w:val="clear" w:color="auto" w:fill="CFF0FC"/>
          </w:tcPr>
          <w:p>
            <w:pPr>
              <w:spacing w:after="0" w:line="20" w:lineRule="exact"/>
              <w:rPr>
                <w:sz w:val="1"/>
                <w:szCs w:val="1"/>
                <w:color w:val="auto"/>
              </w:rPr>
            </w:pPr>
          </w:p>
        </w:tc>
        <w:tc>
          <w:tcPr>
            <w:tcW w:w="780" w:type="dxa"/>
            <w:vAlign w:val="bottom"/>
            <w:tcBorders>
              <w:bottom w:val="single" w:sz="8" w:color="auto"/>
            </w:tcBorders>
            <w:shd w:val="clear" w:color="auto" w:fill="000000"/>
          </w:tcPr>
          <w:p>
            <w:pPr>
              <w:spacing w:after="0" w:line="20" w:lineRule="exact"/>
              <w:rPr>
                <w:sz w:val="1"/>
                <w:szCs w:val="1"/>
                <w:color w:val="auto"/>
              </w:rPr>
            </w:pPr>
          </w:p>
        </w:tc>
        <w:tc>
          <w:tcPr>
            <w:tcW w:w="30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tcBorders>
              <w:bottom w:val="single" w:sz="8" w:color="auto"/>
            </w:tcBorders>
            <w:shd w:val="clear" w:color="auto" w:fill="000000"/>
          </w:tcPr>
          <w:p>
            <w:pPr>
              <w:spacing w:after="0" w:line="20" w:lineRule="exact"/>
              <w:rPr>
                <w:sz w:val="1"/>
                <w:szCs w:val="1"/>
                <w:color w:val="auto"/>
              </w:rPr>
            </w:pPr>
          </w:p>
        </w:tc>
        <w:tc>
          <w:tcPr>
            <w:tcW w:w="920" w:type="dxa"/>
            <w:vAlign w:val="bottom"/>
            <w:tcBorders>
              <w:bottom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260" w:type="dxa"/>
            <w:vAlign w:val="bottom"/>
            <w:gridSpan w:val="2"/>
          </w:tcPr>
          <w:p>
            <w:pPr>
              <w:ind w:left="1320"/>
              <w:spacing w:after="0"/>
              <w:rPr>
                <w:sz w:val="20"/>
                <w:szCs w:val="20"/>
                <w:color w:val="auto"/>
              </w:rPr>
            </w:pPr>
            <w:r>
              <w:rPr>
                <w:rFonts w:ascii="Arial" w:cs="Arial" w:eastAsia="Arial" w:hAnsi="Arial"/>
                <w:sz w:val="12"/>
                <w:szCs w:val="12"/>
                <w:color w:val="auto"/>
              </w:rPr>
              <w:t>Current</w:t>
            </w:r>
          </w:p>
        </w:tc>
        <w:tc>
          <w:tcPr>
            <w:tcW w:w="1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w w:val="93"/>
              </w:rPr>
              <w:t>1,084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23"/>
              <w:spacing w:after="0"/>
              <w:rPr>
                <w:sz w:val="20"/>
                <w:szCs w:val="20"/>
                <w:color w:val="auto"/>
              </w:rPr>
            </w:pPr>
            <w:r>
              <w:rPr>
                <w:rFonts w:ascii="Arial" w:cs="Arial" w:eastAsia="Arial" w:hAnsi="Arial"/>
                <w:sz w:val="12"/>
                <w:szCs w:val="12"/>
                <w:color w:val="auto"/>
              </w:rPr>
              <w:t>1,254</w:t>
            </w: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2"/>
                <w:szCs w:val="12"/>
                <w:color w:val="auto"/>
              </w:rPr>
              <w:t>Long-term</w:t>
            </w:r>
          </w:p>
        </w:tc>
        <w:tc>
          <w:tcPr>
            <w:tcW w:w="1520" w:type="dxa"/>
            <w:vAlign w:val="bottom"/>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550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right w:val="single" w:sz="8" w:color="CFF0FC"/>
            </w:tcBorders>
            <w:shd w:val="clear" w:color="auto" w:fill="CFF0FC"/>
          </w:tcPr>
          <w:p>
            <w:pPr>
              <w:jc w:val="right"/>
              <w:ind w:right="23"/>
              <w:spacing w:after="0"/>
              <w:rPr>
                <w:sz w:val="20"/>
                <w:szCs w:val="20"/>
                <w:color w:val="auto"/>
              </w:rPr>
            </w:pPr>
            <w:r>
              <w:rPr>
                <w:rFonts w:ascii="Arial" w:cs="Arial" w:eastAsia="Arial" w:hAnsi="Arial"/>
                <w:sz w:val="12"/>
                <w:szCs w:val="12"/>
                <w:color w:val="auto"/>
              </w:rPr>
              <w:t>723</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3920" w:type="dxa"/>
            <w:vAlign w:val="bottom"/>
          </w:tcPr>
          <w:p>
            <w:pPr>
              <w:ind w:left="80"/>
              <w:spacing w:after="0"/>
              <w:rPr>
                <w:sz w:val="20"/>
                <w:szCs w:val="20"/>
                <w:color w:val="auto"/>
              </w:rPr>
            </w:pPr>
            <w:r>
              <w:rPr>
                <w:rFonts w:ascii="Arial" w:cs="Arial" w:eastAsia="Arial" w:hAnsi="Arial"/>
                <w:sz w:val="12"/>
                <w:szCs w:val="12"/>
                <w:color w:val="auto"/>
              </w:rPr>
              <w:t>Total</w:t>
            </w:r>
          </w:p>
        </w:tc>
        <w:tc>
          <w:tcPr>
            <w:tcW w:w="2300" w:type="dxa"/>
            <w:vAlign w:val="bottom"/>
            <w:gridSpan w:val="2"/>
          </w:tcPr>
          <w:p>
            <w:pPr>
              <w:jc w:val="right"/>
              <w:ind w:right="672"/>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2"/>
                <w:szCs w:val="12"/>
                <w:color w:val="auto"/>
                <w:w w:val="93"/>
              </w:rPr>
              <w:t>1,634</w:t>
            </w:r>
          </w:p>
        </w:tc>
        <w:tc>
          <w:tcPr>
            <w:tcW w:w="120" w:type="dxa"/>
            <w:vAlign w:val="bottom"/>
          </w:tcPr>
          <w:p>
            <w:pPr>
              <w:spacing w:after="0"/>
              <w:rPr>
                <w:sz w:val="12"/>
                <w:szCs w:val="12"/>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23"/>
              <w:spacing w:after="0"/>
              <w:rPr>
                <w:sz w:val="20"/>
                <w:szCs w:val="20"/>
                <w:color w:val="auto"/>
              </w:rPr>
            </w:pPr>
            <w:r>
              <w:rPr>
                <w:rFonts w:ascii="Arial" w:cs="Arial" w:eastAsia="Arial" w:hAnsi="Arial"/>
                <w:sz w:val="12"/>
                <w:szCs w:val="12"/>
                <w:color w:val="auto"/>
              </w:rPr>
              <w:t>1,977</w:t>
            </w:r>
          </w:p>
        </w:tc>
        <w:tc>
          <w:tcPr>
            <w:tcW w:w="0" w:type="dxa"/>
            <w:vAlign w:val="bottom"/>
          </w:tcPr>
          <w:p>
            <w:pPr>
              <w:spacing w:after="0"/>
              <w:rPr>
                <w:sz w:val="1"/>
                <w:szCs w:val="1"/>
                <w:color w:val="auto"/>
              </w:rPr>
            </w:pPr>
          </w:p>
        </w:tc>
      </w:tr>
      <w:tr>
        <w:trPr>
          <w:trHeight w:val="288"/>
        </w:trPr>
        <w:tc>
          <w:tcPr>
            <w:tcW w:w="526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Finance Expenses</w:t>
            </w:r>
          </w:p>
        </w:tc>
        <w:tc>
          <w:tcPr>
            <w:tcW w:w="15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0"/>
                <w:szCs w:val="10"/>
                <w:b w:val="1"/>
                <w:bCs w:val="1"/>
                <w:color w:val="auto"/>
              </w:rPr>
              <w:t>Three Months</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134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4"/>
          </w:tcPr>
          <w:p>
            <w:pPr>
              <w:jc w:val="right"/>
              <w:ind w:right="20"/>
              <w:spacing w:after="0" w:line="114" w:lineRule="exact"/>
              <w:rPr>
                <w:sz w:val="20"/>
                <w:szCs w:val="20"/>
                <w:color w:val="auto"/>
              </w:rPr>
            </w:pPr>
            <w:r>
              <w:rPr>
                <w:rFonts w:ascii="Arial" w:cs="Arial" w:eastAsia="Arial" w:hAnsi="Arial"/>
                <w:sz w:val="10"/>
                <w:szCs w:val="10"/>
                <w:b w:val="1"/>
                <w:bCs w:val="1"/>
                <w:color w:val="auto"/>
                <w:w w:val="93"/>
              </w:rPr>
              <w:t>Ended March 31</w:t>
            </w:r>
          </w:p>
        </w:tc>
        <w:tc>
          <w:tcPr>
            <w:tcW w:w="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340" w:type="dxa"/>
            <w:vAlign w:val="bottom"/>
          </w:tcPr>
          <w:p>
            <w:pPr>
              <w:spacing w:after="0"/>
              <w:rPr>
                <w:sz w:val="8"/>
                <w:szCs w:val="8"/>
                <w:color w:val="auto"/>
              </w:rPr>
            </w:pPr>
          </w:p>
        </w:tc>
        <w:tc>
          <w:tcPr>
            <w:tcW w:w="3920" w:type="dxa"/>
            <w:vAlign w:val="bottom"/>
            <w:tcBorders>
              <w:bottom w:val="single" w:sz="8" w:color="CFF0FC"/>
            </w:tcBorders>
          </w:tcPr>
          <w:p>
            <w:pPr>
              <w:spacing w:after="0"/>
              <w:rPr>
                <w:sz w:val="8"/>
                <w:szCs w:val="8"/>
                <w:color w:val="auto"/>
              </w:rPr>
            </w:pPr>
          </w:p>
        </w:tc>
        <w:tc>
          <w:tcPr>
            <w:tcW w:w="1520" w:type="dxa"/>
            <w:vAlign w:val="bottom"/>
            <w:tcBorders>
              <w:bottom w:val="single" w:sz="8" w:color="CFF0FC"/>
            </w:tcBorders>
          </w:tcPr>
          <w:p>
            <w:pPr>
              <w:spacing w:after="0"/>
              <w:rPr>
                <w:sz w:val="8"/>
                <w:szCs w:val="8"/>
                <w:color w:val="auto"/>
              </w:rPr>
            </w:pPr>
          </w:p>
        </w:tc>
        <w:tc>
          <w:tcPr>
            <w:tcW w:w="780" w:type="dxa"/>
            <w:vAlign w:val="bottom"/>
            <w:tcBorders>
              <w:bottom w:val="single" w:sz="8" w:color="auto"/>
            </w:tcBorders>
          </w:tcPr>
          <w:p>
            <w:pPr>
              <w:jc w:val="right"/>
              <w:ind w:right="112"/>
              <w:spacing w:after="0" w:line="97" w:lineRule="exact"/>
              <w:rPr>
                <w:sz w:val="20"/>
                <w:szCs w:val="20"/>
                <w:color w:val="auto"/>
              </w:rPr>
            </w:pPr>
            <w:r>
              <w:rPr>
                <w:rFonts w:ascii="Arial" w:cs="Arial" w:eastAsia="Arial" w:hAnsi="Arial"/>
                <w:sz w:val="10"/>
                <w:szCs w:val="10"/>
                <w:b w:val="1"/>
                <w:bCs w:val="1"/>
                <w:color w:val="auto"/>
              </w:rPr>
              <w:t>2020</w:t>
            </w: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jc w:val="right"/>
              <w:ind w:right="463"/>
              <w:spacing w:after="0" w:line="97" w:lineRule="exact"/>
              <w:rPr>
                <w:sz w:val="20"/>
                <w:szCs w:val="20"/>
                <w:color w:val="auto"/>
              </w:rPr>
            </w:pPr>
            <w:r>
              <w:rPr>
                <w:rFonts w:ascii="Arial" w:cs="Arial" w:eastAsia="Arial" w:hAnsi="Arial"/>
                <w:sz w:val="10"/>
                <w:szCs w:val="10"/>
                <w:b w:val="1"/>
                <w:bCs w:val="1"/>
                <w:color w:val="auto"/>
              </w:rPr>
              <w:t>2019</w:t>
            </w: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2"/>
                <w:szCs w:val="12"/>
                <w:color w:val="auto"/>
              </w:rPr>
              <w:t>Interest expense</w:t>
            </w:r>
          </w:p>
        </w:tc>
        <w:tc>
          <w:tcPr>
            <w:tcW w:w="2300" w:type="dxa"/>
            <w:vAlign w:val="bottom"/>
            <w:gridSpan w:val="2"/>
            <w:shd w:val="clear" w:color="auto" w:fill="CFF0FC"/>
          </w:tcPr>
          <w:p>
            <w:pPr>
              <w:jc w:val="right"/>
              <w:ind w:right="672"/>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3"/>
              </w:rPr>
              <w:t>2,108</w:t>
            </w:r>
          </w:p>
        </w:tc>
        <w:tc>
          <w:tcPr>
            <w:tcW w:w="1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20" w:type="dxa"/>
            <w:vAlign w:val="bottom"/>
            <w:tcBorders>
              <w:right w:val="single" w:sz="8" w:color="CFF0FC"/>
            </w:tcBorders>
            <w:shd w:val="clear" w:color="auto" w:fill="CFF0FC"/>
          </w:tcPr>
          <w:p>
            <w:pPr>
              <w:jc w:val="right"/>
              <w:ind w:right="23"/>
              <w:spacing w:after="0"/>
              <w:rPr>
                <w:sz w:val="20"/>
                <w:szCs w:val="20"/>
                <w:color w:val="auto"/>
              </w:rPr>
            </w:pPr>
            <w:r>
              <w:rPr>
                <w:rFonts w:ascii="Arial" w:cs="Arial" w:eastAsia="Arial" w:hAnsi="Arial"/>
                <w:sz w:val="12"/>
                <w:szCs w:val="12"/>
                <w:color w:val="auto"/>
              </w:rPr>
              <w:t>1,555</w:t>
            </w:r>
          </w:p>
        </w:tc>
        <w:tc>
          <w:tcPr>
            <w:tcW w:w="0" w:type="dxa"/>
            <w:vAlign w:val="bottom"/>
          </w:tcPr>
          <w:p>
            <w:pPr>
              <w:spacing w:after="0"/>
              <w:rPr>
                <w:sz w:val="1"/>
                <w:szCs w:val="1"/>
                <w:color w:val="auto"/>
              </w:rPr>
            </w:pPr>
          </w:p>
        </w:tc>
      </w:tr>
      <w:tr>
        <w:trPr>
          <w:trHeight w:val="153"/>
        </w:trPr>
        <w:tc>
          <w:tcPr>
            <w:tcW w:w="5260" w:type="dxa"/>
            <w:vAlign w:val="bottom"/>
            <w:gridSpan w:val="2"/>
          </w:tcPr>
          <w:p>
            <w:pPr>
              <w:ind w:left="1320"/>
              <w:spacing w:after="0"/>
              <w:rPr>
                <w:sz w:val="20"/>
                <w:szCs w:val="20"/>
                <w:color w:val="auto"/>
              </w:rPr>
            </w:pPr>
            <w:r>
              <w:rPr>
                <w:rFonts w:ascii="Arial" w:cs="Arial" w:eastAsia="Arial" w:hAnsi="Arial"/>
                <w:sz w:val="12"/>
                <w:szCs w:val="12"/>
                <w:color w:val="auto"/>
              </w:rPr>
              <w:t>Accretion on long-term debt</w:t>
            </w:r>
          </w:p>
        </w:tc>
        <w:tc>
          <w:tcPr>
            <w:tcW w:w="1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146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23"/>
              <w:spacing w:after="0"/>
              <w:rPr>
                <w:sz w:val="20"/>
                <w:szCs w:val="20"/>
                <w:color w:val="auto"/>
              </w:rPr>
            </w:pPr>
            <w:r>
              <w:rPr>
                <w:rFonts w:ascii="Arial" w:cs="Arial" w:eastAsia="Arial" w:hAnsi="Arial"/>
                <w:sz w:val="12"/>
                <w:szCs w:val="12"/>
                <w:color w:val="auto"/>
              </w:rPr>
              <w:t>99</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920" w:type="dxa"/>
            <w:vAlign w:val="bottom"/>
            <w:vMerge w:val="restart"/>
            <w:shd w:val="clear" w:color="auto" w:fill="CFF0FC"/>
          </w:tcPr>
          <w:p>
            <w:pPr>
              <w:ind w:left="80"/>
              <w:spacing w:after="0"/>
              <w:rPr>
                <w:sz w:val="20"/>
                <w:szCs w:val="20"/>
                <w:color w:val="auto"/>
              </w:rPr>
            </w:pPr>
            <w:r>
              <w:rPr>
                <w:rFonts w:ascii="Arial" w:cs="Arial" w:eastAsia="Arial" w:hAnsi="Arial"/>
                <w:sz w:val="12"/>
                <w:szCs w:val="12"/>
                <w:color w:val="auto"/>
              </w:rPr>
              <w:t>Total finance expenses</w:t>
            </w:r>
          </w:p>
        </w:tc>
        <w:tc>
          <w:tcPr>
            <w:tcW w:w="15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340" w:type="dxa"/>
            <w:vAlign w:val="bottom"/>
          </w:tcPr>
          <w:p>
            <w:pPr>
              <w:spacing w:after="0"/>
              <w:rPr>
                <w:sz w:val="12"/>
                <w:szCs w:val="12"/>
                <w:color w:val="auto"/>
              </w:rPr>
            </w:pPr>
          </w:p>
        </w:tc>
        <w:tc>
          <w:tcPr>
            <w:tcW w:w="3920" w:type="dxa"/>
            <w:vAlign w:val="bottom"/>
            <w:vMerge w:val="continue"/>
            <w:shd w:val="clear" w:color="auto" w:fill="CFF0FC"/>
          </w:tcPr>
          <w:p>
            <w:pPr>
              <w:spacing w:after="0"/>
              <w:rPr>
                <w:sz w:val="12"/>
                <w:szCs w:val="12"/>
                <w:color w:val="auto"/>
              </w:rPr>
            </w:pPr>
          </w:p>
        </w:tc>
        <w:tc>
          <w:tcPr>
            <w:tcW w:w="2300" w:type="dxa"/>
            <w:vAlign w:val="bottom"/>
            <w:gridSpan w:val="2"/>
            <w:shd w:val="clear" w:color="auto" w:fill="CFF0FC"/>
          </w:tcPr>
          <w:p>
            <w:pPr>
              <w:jc w:val="right"/>
              <w:ind w:right="672"/>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3"/>
              </w:rPr>
              <w:t>2,254</w:t>
            </w:r>
          </w:p>
        </w:tc>
        <w:tc>
          <w:tcPr>
            <w:tcW w:w="1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20" w:type="dxa"/>
            <w:vAlign w:val="bottom"/>
            <w:tcBorders>
              <w:right w:val="single" w:sz="8" w:color="CFF0FC"/>
            </w:tcBorders>
            <w:shd w:val="clear" w:color="auto" w:fill="CFF0FC"/>
          </w:tcPr>
          <w:p>
            <w:pPr>
              <w:jc w:val="right"/>
              <w:ind w:right="23"/>
              <w:spacing w:after="0"/>
              <w:rPr>
                <w:sz w:val="20"/>
                <w:szCs w:val="20"/>
                <w:color w:val="auto"/>
              </w:rPr>
            </w:pPr>
            <w:r>
              <w:rPr>
                <w:rFonts w:ascii="Arial" w:cs="Arial" w:eastAsia="Arial" w:hAnsi="Arial"/>
                <w:sz w:val="12"/>
                <w:szCs w:val="12"/>
                <w:color w:val="auto"/>
              </w:rPr>
              <w:t>1,654</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3920" w:type="dxa"/>
            <w:vAlign w:val="bottom"/>
            <w:shd w:val="clear" w:color="auto" w:fill="CFF0FC"/>
          </w:tcPr>
          <w:p>
            <w:pPr>
              <w:spacing w:after="0"/>
              <w:rPr>
                <w:sz w:val="2"/>
                <w:szCs w:val="2"/>
                <w:color w:val="auto"/>
              </w:rPr>
            </w:pPr>
          </w:p>
        </w:tc>
        <w:tc>
          <w:tcPr>
            <w:tcW w:w="1520" w:type="dxa"/>
            <w:vAlign w:val="bottom"/>
            <w:shd w:val="clear" w:color="auto" w:fill="CFF0F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FF0FC"/>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auto"/>
        </w:rPr>
        <w:t>7. INTANGIBLE ASSETS AND GOODWILL</w:t>
      </w:r>
    </w:p>
    <w:p>
      <w:pPr>
        <w:spacing w:after="0" w:line="154" w:lineRule="exact"/>
        <w:rPr>
          <w:sz w:val="20"/>
          <w:szCs w:val="20"/>
          <w:color w:val="auto"/>
        </w:rPr>
      </w:pPr>
    </w:p>
    <w:p>
      <w:pPr>
        <w:ind w:left="360" w:right="140"/>
        <w:spacing w:after="0" w:line="263" w:lineRule="auto"/>
        <w:rPr>
          <w:sz w:val="20"/>
          <w:szCs w:val="20"/>
          <w:color w:val="auto"/>
        </w:rPr>
      </w:pPr>
      <w:r>
        <w:rPr>
          <w:rFonts w:ascii="Arial" w:cs="Arial" w:eastAsia="Arial" w:hAnsi="Arial"/>
          <w:sz w:val="12"/>
          <w:szCs w:val="12"/>
          <w:color w:val="auto"/>
        </w:rPr>
        <w:t>As described in Note 1, in November 2019, the Company completed its business combination with Venus Concept Ltd., which included the addition of goodwill of $24,847 and amortizable intangible assets, represented by the technology ($16,900) and the brand name ($1,200). Goodwill associated with the Merger was primarily attributable to the future revenue growth opportunities associated with additional share in the hair restoration market, as well as the value associated with assembled workforce.</w:t>
      </w:r>
    </w:p>
    <w:p>
      <w:pPr>
        <w:spacing w:after="0" w:line="122" w:lineRule="exact"/>
        <w:rPr>
          <w:sz w:val="20"/>
          <w:szCs w:val="20"/>
          <w:color w:val="auto"/>
        </w:rPr>
      </w:pPr>
    </w:p>
    <w:p>
      <w:pPr>
        <w:ind w:left="360" w:right="100"/>
        <w:spacing w:after="0" w:line="259" w:lineRule="auto"/>
        <w:rPr>
          <w:sz w:val="20"/>
          <w:szCs w:val="20"/>
          <w:color w:val="auto"/>
        </w:rPr>
      </w:pPr>
      <w:r>
        <w:rPr>
          <w:rFonts w:ascii="Arial" w:cs="Arial" w:eastAsia="Arial" w:hAnsi="Arial"/>
          <w:sz w:val="12"/>
          <w:szCs w:val="12"/>
          <w:color w:val="auto"/>
        </w:rPr>
        <w:t>The carrying values of goodwill and indefinite-life intangible assets are subject to annual impairment assessment as of the last day of each fiscal year. Between annual assessments, impairment review may also be triggered by any significant events or changes in circumstances affecting the Company’s business. The global pandemic caused by the novel coronavirus (COVID-19) has significantly impacted the Company’s business during the first three months of 2020, including its sales, supply chain, manufacturing and accounts receivable collections. As a result, the Company considered the COVID-19 pandemic as a triggering event and conducted quantitative impairment assessment of its goodwill as of March 31, 2020.</w:t>
      </w:r>
    </w:p>
    <w:p>
      <w:pPr>
        <w:spacing w:after="0" w:line="124" w:lineRule="exact"/>
        <w:rPr>
          <w:sz w:val="20"/>
          <w:szCs w:val="20"/>
          <w:color w:val="auto"/>
        </w:rPr>
      </w:pPr>
    </w:p>
    <w:p>
      <w:pPr>
        <w:ind w:left="360" w:right="80"/>
        <w:spacing w:after="0" w:line="289" w:lineRule="auto"/>
        <w:rPr>
          <w:sz w:val="20"/>
          <w:szCs w:val="20"/>
          <w:color w:val="auto"/>
        </w:rPr>
      </w:pPr>
      <w:r>
        <w:rPr>
          <w:rFonts w:ascii="Arial" w:cs="Arial" w:eastAsia="Arial" w:hAnsi="Arial"/>
          <w:sz w:val="11"/>
          <w:szCs w:val="11"/>
          <w:color w:val="auto"/>
        </w:rPr>
        <w:t>The Company has one reporting unit and it’s carrying value was compared to its estimated fair value. As at March 31, 2020, the Company estimated its fair value using a combination of income approach and market approach. The income approach is based on the present value of future cash flows, which are derived from long term financial forecasts, and requires significant assumptions including among others, a discount rate and a terminal value. The market approach is based on the observed ratios of enterprise value to revenue multiples of the Company and other comparable publicly traded companies. Based upon the results of the goodwill impairment assessment, the Company recorded an impairment charge of $27,450 as of March 31, 2020, which represented the full balance of goodwill for the reporting unit.</w:t>
      </w:r>
    </w:p>
    <w:p>
      <w:pPr>
        <w:spacing w:after="0" w:line="111" w:lineRule="exact"/>
        <w:rPr>
          <w:sz w:val="20"/>
          <w:szCs w:val="20"/>
          <w:color w:val="auto"/>
        </w:rPr>
      </w:pPr>
    </w:p>
    <w:p>
      <w:pPr>
        <w:ind w:left="360"/>
        <w:spacing w:after="0"/>
        <w:rPr>
          <w:sz w:val="20"/>
          <w:szCs w:val="20"/>
          <w:color w:val="auto"/>
        </w:rPr>
      </w:pPr>
      <w:r>
        <w:rPr>
          <w:rFonts w:ascii="Arial" w:cs="Arial" w:eastAsia="Arial" w:hAnsi="Arial"/>
          <w:sz w:val="12"/>
          <w:szCs w:val="12"/>
          <w:color w:val="auto"/>
        </w:rPr>
        <w:t>Intangible assets net of accumulated amortization and goodwill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70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0"/>
                <w:szCs w:val="10"/>
                <w:b w:val="1"/>
                <w:bCs w:val="1"/>
                <w:color w:val="auto"/>
                <w:w w:val="89"/>
              </w:rPr>
              <w:t>At March 31, 2020</w:t>
            </w: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1700" w:type="dxa"/>
            <w:vAlign w:val="bottom"/>
          </w:tcPr>
          <w:p>
            <w:pPr>
              <w:spacing w:after="0"/>
              <w:rPr>
                <w:sz w:val="7"/>
                <w:szCs w:val="7"/>
                <w:color w:val="auto"/>
              </w:rPr>
            </w:pPr>
          </w:p>
        </w:tc>
        <w:tc>
          <w:tcPr>
            <w:tcW w:w="28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jc w:val="right"/>
              <w:ind w:right="244"/>
              <w:spacing w:after="0" w:line="83" w:lineRule="exact"/>
              <w:rPr>
                <w:sz w:val="20"/>
                <w:szCs w:val="20"/>
                <w:color w:val="auto"/>
              </w:rPr>
            </w:pPr>
            <w:r>
              <w:rPr>
                <w:rFonts w:ascii="Arial" w:cs="Arial" w:eastAsia="Arial" w:hAnsi="Arial"/>
                <w:sz w:val="8"/>
                <w:szCs w:val="8"/>
                <w:b w:val="1"/>
                <w:bCs w:val="1"/>
                <w:color w:val="auto"/>
              </w:rPr>
              <w:t>Gross</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gridSpan w:val="2"/>
          </w:tcPr>
          <w:p>
            <w:pPr>
              <w:jc w:val="right"/>
              <w:ind w:right="320"/>
              <w:spacing w:after="0" w:line="83" w:lineRule="exact"/>
              <w:rPr>
                <w:sz w:val="20"/>
                <w:szCs w:val="20"/>
                <w:color w:val="auto"/>
              </w:rPr>
            </w:pPr>
            <w:r>
              <w:rPr>
                <w:rFonts w:ascii="Arial" w:cs="Arial" w:eastAsia="Arial" w:hAnsi="Arial"/>
                <w:sz w:val="8"/>
                <w:szCs w:val="8"/>
                <w:b w:val="1"/>
                <w:bCs w:val="1"/>
                <w:color w:val="auto"/>
              </w:rPr>
              <w:t>Accumulated</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jc w:val="right"/>
              <w:ind w:right="384"/>
              <w:spacing w:after="0" w:line="83" w:lineRule="exact"/>
              <w:rPr>
                <w:sz w:val="20"/>
                <w:szCs w:val="20"/>
                <w:color w:val="auto"/>
              </w:rPr>
            </w:pPr>
            <w:r>
              <w:rPr>
                <w:rFonts w:ascii="Arial" w:cs="Arial" w:eastAsia="Arial" w:hAnsi="Arial"/>
                <w:sz w:val="8"/>
                <w:szCs w:val="8"/>
                <w:b w:val="1"/>
                <w:bCs w:val="1"/>
                <w:color w:val="auto"/>
              </w:rPr>
              <w:t>Net</w:t>
            </w: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700" w:type="dxa"/>
            <w:vAlign w:val="bottom"/>
          </w:tcPr>
          <w:p>
            <w:pPr>
              <w:spacing w:after="0"/>
              <w:rPr>
                <w:sz w:val="9"/>
                <w:szCs w:val="9"/>
                <w:color w:val="auto"/>
              </w:rPr>
            </w:pPr>
          </w:p>
        </w:tc>
        <w:tc>
          <w:tcPr>
            <w:tcW w:w="2840" w:type="dxa"/>
            <w:vAlign w:val="bottom"/>
            <w:tcBorders>
              <w:bottom w:val="single" w:sz="8" w:color="CFF0FC"/>
            </w:tcBorders>
          </w:tcPr>
          <w:p>
            <w:pPr>
              <w:spacing w:after="0"/>
              <w:rPr>
                <w:sz w:val="9"/>
                <w:szCs w:val="9"/>
                <w:color w:val="auto"/>
              </w:rPr>
            </w:pPr>
          </w:p>
        </w:tc>
        <w:tc>
          <w:tcPr>
            <w:tcW w:w="196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184"/>
              <w:spacing w:after="0" w:line="114" w:lineRule="exact"/>
              <w:rPr>
                <w:sz w:val="20"/>
                <w:szCs w:val="20"/>
                <w:color w:val="auto"/>
              </w:rPr>
            </w:pPr>
            <w:r>
              <w:rPr>
                <w:rFonts w:ascii="Arial" w:cs="Arial" w:eastAsia="Arial" w:hAnsi="Arial"/>
                <w:sz w:val="10"/>
                <w:szCs w:val="10"/>
                <w:b w:val="1"/>
                <w:bCs w:val="1"/>
                <w:color w:val="auto"/>
              </w:rPr>
              <w:t>Amount</w:t>
            </w:r>
          </w:p>
        </w:tc>
        <w:tc>
          <w:tcPr>
            <w:tcW w:w="20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145"/>
              <w:spacing w:after="0" w:line="114" w:lineRule="exact"/>
              <w:rPr>
                <w:sz w:val="20"/>
                <w:szCs w:val="20"/>
                <w:color w:val="auto"/>
              </w:rPr>
            </w:pPr>
            <w:r>
              <w:rPr>
                <w:rFonts w:ascii="Arial" w:cs="Arial" w:eastAsia="Arial" w:hAnsi="Arial"/>
                <w:sz w:val="10"/>
                <w:szCs w:val="10"/>
                <w:b w:val="1"/>
                <w:bCs w:val="1"/>
                <w:color w:val="auto"/>
              </w:rPr>
              <w:t>Amortization</w:t>
            </w:r>
          </w:p>
        </w:tc>
        <w:tc>
          <w:tcPr>
            <w:tcW w:w="12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84"/>
              <w:spacing w:after="0" w:line="114" w:lineRule="exact"/>
              <w:rPr>
                <w:sz w:val="20"/>
                <w:szCs w:val="20"/>
                <w:color w:val="auto"/>
              </w:rPr>
            </w:pPr>
            <w:r>
              <w:rPr>
                <w:rFonts w:ascii="Arial" w:cs="Arial" w:eastAsia="Arial" w:hAnsi="Arial"/>
                <w:sz w:val="10"/>
                <w:szCs w:val="10"/>
                <w:b w:val="1"/>
                <w:bCs w:val="1"/>
                <w:color w:val="auto"/>
              </w:rPr>
              <w:t>Amount</w:t>
            </w: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2"/>
                <w:szCs w:val="12"/>
                <w:color w:val="auto"/>
              </w:rPr>
              <w:t>Customer relationships</w:t>
            </w:r>
          </w:p>
        </w:tc>
        <w:tc>
          <w:tcPr>
            <w:tcW w:w="21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1,400</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(172)</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Borders>
              <w:right w:val="single" w:sz="8" w:color="CFF0FC"/>
            </w:tcBorders>
            <w:shd w:val="clear" w:color="auto" w:fill="CFF0FC"/>
          </w:tcPr>
          <w:p>
            <w:pPr>
              <w:jc w:val="right"/>
              <w:ind w:right="24"/>
              <w:spacing w:after="0"/>
              <w:rPr>
                <w:sz w:val="20"/>
                <w:szCs w:val="20"/>
                <w:color w:val="auto"/>
              </w:rPr>
            </w:pPr>
            <w:r>
              <w:rPr>
                <w:rFonts w:ascii="Arial" w:cs="Arial" w:eastAsia="Arial" w:hAnsi="Arial"/>
                <w:sz w:val="12"/>
                <w:szCs w:val="12"/>
                <w:color w:val="auto"/>
              </w:rPr>
              <w:t>1,228</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40" w:type="dxa"/>
            <w:vAlign w:val="bottom"/>
            <w:gridSpan w:val="2"/>
          </w:tcPr>
          <w:p>
            <w:pPr>
              <w:ind w:left="1680"/>
              <w:spacing w:after="0"/>
              <w:rPr>
                <w:sz w:val="20"/>
                <w:szCs w:val="20"/>
                <w:color w:val="auto"/>
              </w:rPr>
            </w:pPr>
            <w:r>
              <w:rPr>
                <w:rFonts w:ascii="Arial" w:cs="Arial" w:eastAsia="Arial" w:hAnsi="Arial"/>
                <w:sz w:val="12"/>
                <w:szCs w:val="12"/>
                <w:color w:val="auto"/>
              </w:rPr>
              <w:t>Brand</w:t>
            </w:r>
          </w:p>
        </w:tc>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2,500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(342)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24"/>
              <w:spacing w:after="0"/>
              <w:rPr>
                <w:sz w:val="20"/>
                <w:szCs w:val="20"/>
                <w:color w:val="auto"/>
              </w:rPr>
            </w:pPr>
            <w:r>
              <w:rPr>
                <w:rFonts w:ascii="Arial" w:cs="Arial" w:eastAsia="Arial" w:hAnsi="Arial"/>
                <w:sz w:val="12"/>
                <w:szCs w:val="12"/>
                <w:color w:val="auto"/>
              </w:rPr>
              <w:t>2,158</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2"/>
                <w:szCs w:val="12"/>
                <w:color w:val="auto"/>
              </w:rPr>
              <w:t>Technology</w:t>
            </w:r>
          </w:p>
        </w:tc>
        <w:tc>
          <w:tcPr>
            <w:tcW w:w="19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16,900</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(1,174)</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tcBorders>
              <w:right w:val="single" w:sz="8" w:color="CFF0FC"/>
            </w:tcBorders>
            <w:shd w:val="clear" w:color="auto" w:fill="CFF0FC"/>
          </w:tcPr>
          <w:p>
            <w:pPr>
              <w:jc w:val="right"/>
              <w:ind w:right="24"/>
              <w:spacing w:after="0"/>
              <w:rPr>
                <w:sz w:val="20"/>
                <w:szCs w:val="20"/>
                <w:color w:val="auto"/>
              </w:rPr>
            </w:pPr>
            <w:r>
              <w:rPr>
                <w:rFonts w:ascii="Arial" w:cs="Arial" w:eastAsia="Arial" w:hAnsi="Arial"/>
                <w:sz w:val="12"/>
                <w:szCs w:val="12"/>
                <w:color w:val="auto"/>
              </w:rPr>
              <w:t>15,726</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40" w:type="dxa"/>
            <w:vAlign w:val="bottom"/>
            <w:gridSpan w:val="2"/>
          </w:tcPr>
          <w:p>
            <w:pPr>
              <w:ind w:left="1680"/>
              <w:spacing w:after="0"/>
              <w:rPr>
                <w:sz w:val="20"/>
                <w:szCs w:val="20"/>
                <w:color w:val="auto"/>
              </w:rPr>
            </w:pPr>
            <w:r>
              <w:rPr>
                <w:rFonts w:ascii="Arial" w:cs="Arial" w:eastAsia="Arial" w:hAnsi="Arial"/>
                <w:sz w:val="12"/>
                <w:szCs w:val="12"/>
                <w:color w:val="auto"/>
              </w:rPr>
              <w:t>Supplier agreement</w:t>
            </w:r>
          </w:p>
        </w:tc>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3,000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(642)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24"/>
              <w:spacing w:after="0"/>
              <w:rPr>
                <w:sz w:val="20"/>
                <w:szCs w:val="20"/>
                <w:color w:val="auto"/>
              </w:rPr>
            </w:pPr>
            <w:r>
              <w:rPr>
                <w:rFonts w:ascii="Arial" w:cs="Arial" w:eastAsia="Arial" w:hAnsi="Arial"/>
                <w:sz w:val="12"/>
                <w:szCs w:val="12"/>
                <w:color w:val="auto"/>
              </w:rPr>
              <w:t>2,358</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840" w:type="dxa"/>
            <w:vAlign w:val="bottom"/>
            <w:vMerge w:val="restart"/>
            <w:shd w:val="clear" w:color="auto" w:fill="CFF0FC"/>
          </w:tcPr>
          <w:p>
            <w:pPr>
              <w:ind w:left="80"/>
              <w:spacing w:after="0"/>
              <w:rPr>
                <w:sz w:val="20"/>
                <w:szCs w:val="20"/>
                <w:color w:val="auto"/>
              </w:rPr>
            </w:pPr>
            <w:r>
              <w:rPr>
                <w:rFonts w:ascii="Arial" w:cs="Arial" w:eastAsia="Arial" w:hAnsi="Arial"/>
                <w:sz w:val="12"/>
                <w:szCs w:val="12"/>
                <w:color w:val="auto"/>
              </w:rPr>
              <w:t>Total intangible assets and goodwill</w:t>
            </w:r>
          </w:p>
        </w:tc>
        <w:tc>
          <w:tcPr>
            <w:tcW w:w="19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700" w:type="dxa"/>
            <w:vAlign w:val="bottom"/>
          </w:tcPr>
          <w:p>
            <w:pPr>
              <w:spacing w:after="0"/>
              <w:rPr>
                <w:sz w:val="14"/>
                <w:szCs w:val="14"/>
                <w:color w:val="auto"/>
              </w:rPr>
            </w:pPr>
          </w:p>
        </w:tc>
        <w:tc>
          <w:tcPr>
            <w:tcW w:w="2840" w:type="dxa"/>
            <w:vAlign w:val="bottom"/>
            <w:vMerge w:val="continue"/>
            <w:shd w:val="clear" w:color="auto" w:fill="CFF0FC"/>
          </w:tcPr>
          <w:p>
            <w:pPr>
              <w:spacing w:after="0"/>
              <w:rPr>
                <w:sz w:val="14"/>
                <w:szCs w:val="14"/>
                <w:color w:val="auto"/>
              </w:rPr>
            </w:pPr>
          </w:p>
        </w:tc>
        <w:tc>
          <w:tcPr>
            <w:tcW w:w="21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23,800</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(2,330)</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Borders>
              <w:right w:val="single" w:sz="8" w:color="CFF0FC"/>
            </w:tcBorders>
            <w:shd w:val="clear" w:color="auto" w:fill="CFF0FC"/>
          </w:tcPr>
          <w:p>
            <w:pPr>
              <w:jc w:val="right"/>
              <w:ind w:right="24"/>
              <w:spacing w:after="0"/>
              <w:rPr>
                <w:sz w:val="20"/>
                <w:szCs w:val="20"/>
                <w:color w:val="auto"/>
              </w:rPr>
            </w:pPr>
            <w:r>
              <w:rPr>
                <w:rFonts w:ascii="Arial" w:cs="Arial" w:eastAsia="Arial" w:hAnsi="Arial"/>
                <w:sz w:val="12"/>
                <w:szCs w:val="12"/>
                <w:color w:val="auto"/>
              </w:rPr>
              <w:t>21,470</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1700" w:type="dxa"/>
            <w:vAlign w:val="bottom"/>
          </w:tcPr>
          <w:p>
            <w:pPr>
              <w:spacing w:after="0"/>
              <w:rPr>
                <w:sz w:val="23"/>
                <w:szCs w:val="23"/>
                <w:color w:val="auto"/>
              </w:rPr>
            </w:pPr>
          </w:p>
        </w:tc>
        <w:tc>
          <w:tcPr>
            <w:tcW w:w="2840" w:type="dxa"/>
            <w:vAlign w:val="bottom"/>
            <w:tcBorders>
              <w:top w:val="single" w:sz="8" w:color="CFF0FC"/>
            </w:tcBorders>
          </w:tcPr>
          <w:p>
            <w:pPr>
              <w:spacing w:after="0"/>
              <w:rPr>
                <w:sz w:val="23"/>
                <w:szCs w:val="23"/>
                <w:color w:val="auto"/>
              </w:rPr>
            </w:pPr>
          </w:p>
        </w:tc>
        <w:tc>
          <w:tcPr>
            <w:tcW w:w="1960" w:type="dxa"/>
            <w:vAlign w:val="bottom"/>
            <w:tcBorders>
              <w:top w:val="single" w:sz="8" w:color="CFF0FC"/>
            </w:tcBorders>
          </w:tcPr>
          <w:p>
            <w:pPr>
              <w:jc w:val="right"/>
              <w:ind w:right="740"/>
              <w:spacing w:after="0"/>
              <w:rPr>
                <w:sz w:val="20"/>
                <w:szCs w:val="20"/>
                <w:color w:val="auto"/>
              </w:rPr>
            </w:pPr>
            <w:r>
              <w:rPr>
                <w:rFonts w:ascii="Arial" w:cs="Arial" w:eastAsia="Arial" w:hAnsi="Arial"/>
                <w:sz w:val="12"/>
                <w:szCs w:val="12"/>
                <w:color w:val="auto"/>
              </w:rPr>
              <w:t>15</w:t>
            </w:r>
          </w:p>
        </w:tc>
        <w:tc>
          <w:tcPr>
            <w:tcW w:w="14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200" w:type="dxa"/>
            <w:vAlign w:val="bottom"/>
            <w:tcBorders>
              <w:top w:val="single" w:sz="8" w:color="CFF0FC"/>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80" w:type="dxa"/>
            <w:vAlign w:val="bottom"/>
            <w:tcBorders>
              <w:top w:val="single" w:sz="8" w:color="CFF0FC"/>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2"/>
        </w:trPr>
        <w:tc>
          <w:tcPr>
            <w:tcW w:w="1700" w:type="dxa"/>
            <w:vAlign w:val="bottom"/>
            <w:tcBorders>
              <w:bottom w:val="single" w:sz="8" w:color="9A9A9A"/>
            </w:tcBorders>
          </w:tcPr>
          <w:p>
            <w:pPr>
              <w:spacing w:after="0"/>
              <w:rPr>
                <w:sz w:val="6"/>
                <w:szCs w:val="6"/>
                <w:color w:val="auto"/>
              </w:rPr>
            </w:pPr>
          </w:p>
        </w:tc>
        <w:tc>
          <w:tcPr>
            <w:tcW w:w="2840" w:type="dxa"/>
            <w:vAlign w:val="bottom"/>
            <w:tcBorders>
              <w:bottom w:val="single" w:sz="8" w:color="9A9A9A"/>
            </w:tcBorders>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75" w:right="27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15"/>
        </w:trPr>
        <w:tc>
          <w:tcPr>
            <w:tcW w:w="134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0"/>
                <w:szCs w:val="10"/>
                <w:b w:val="1"/>
                <w:bCs w:val="1"/>
                <w:color w:val="auto"/>
                <w:w w:val="88"/>
              </w:rPr>
              <w:t>At December 31, 2019</w:t>
            </w: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1340" w:type="dxa"/>
            <w:vAlign w:val="bottom"/>
          </w:tcPr>
          <w:p>
            <w:pPr>
              <w:spacing w:after="0"/>
              <w:rPr>
                <w:sz w:val="7"/>
                <w:szCs w:val="7"/>
                <w:color w:val="auto"/>
              </w:rPr>
            </w:pPr>
          </w:p>
        </w:tc>
        <w:tc>
          <w:tcPr>
            <w:tcW w:w="4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jc w:val="right"/>
              <w:ind w:right="244"/>
              <w:spacing w:after="0" w:line="83" w:lineRule="exact"/>
              <w:rPr>
                <w:sz w:val="20"/>
                <w:szCs w:val="20"/>
                <w:color w:val="auto"/>
              </w:rPr>
            </w:pPr>
            <w:r>
              <w:rPr>
                <w:rFonts w:ascii="Arial" w:cs="Arial" w:eastAsia="Arial" w:hAnsi="Arial"/>
                <w:sz w:val="8"/>
                <w:szCs w:val="8"/>
                <w:b w:val="1"/>
                <w:bCs w:val="1"/>
                <w:color w:val="auto"/>
              </w:rPr>
              <w:t>Gross</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3"/>
          </w:tcPr>
          <w:p>
            <w:pPr>
              <w:jc w:val="right"/>
              <w:ind w:right="320"/>
              <w:spacing w:after="0" w:line="83" w:lineRule="exact"/>
              <w:rPr>
                <w:sz w:val="20"/>
                <w:szCs w:val="20"/>
                <w:color w:val="auto"/>
              </w:rPr>
            </w:pPr>
            <w:r>
              <w:rPr>
                <w:rFonts w:ascii="Arial" w:cs="Arial" w:eastAsia="Arial" w:hAnsi="Arial"/>
                <w:sz w:val="8"/>
                <w:szCs w:val="8"/>
                <w:b w:val="1"/>
                <w:bCs w:val="1"/>
                <w:color w:val="auto"/>
              </w:rPr>
              <w:t>Accumulated</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jc w:val="right"/>
              <w:ind w:right="322"/>
              <w:spacing w:after="0" w:line="83" w:lineRule="exact"/>
              <w:rPr>
                <w:sz w:val="20"/>
                <w:szCs w:val="20"/>
                <w:color w:val="auto"/>
              </w:rPr>
            </w:pPr>
            <w:r>
              <w:rPr>
                <w:rFonts w:ascii="Arial" w:cs="Arial" w:eastAsia="Arial" w:hAnsi="Arial"/>
                <w:sz w:val="8"/>
                <w:szCs w:val="8"/>
                <w:b w:val="1"/>
                <w:bCs w:val="1"/>
                <w:color w:val="auto"/>
              </w:rPr>
              <w:t>Net</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340" w:type="dxa"/>
            <w:vAlign w:val="bottom"/>
          </w:tcPr>
          <w:p>
            <w:pPr>
              <w:spacing w:after="0"/>
              <w:rPr>
                <w:sz w:val="9"/>
                <w:szCs w:val="9"/>
                <w:color w:val="auto"/>
              </w:rPr>
            </w:pPr>
          </w:p>
        </w:tc>
        <w:tc>
          <w:tcPr>
            <w:tcW w:w="4120" w:type="dxa"/>
            <w:vAlign w:val="bottom"/>
            <w:tcBorders>
              <w:bottom w:val="single" w:sz="8" w:color="CFF0FC"/>
            </w:tcBorders>
          </w:tcPr>
          <w:p>
            <w:pPr>
              <w:spacing w:after="0"/>
              <w:rPr>
                <w:sz w:val="9"/>
                <w:szCs w:val="9"/>
                <w:color w:val="auto"/>
              </w:rPr>
            </w:pPr>
          </w:p>
        </w:tc>
        <w:tc>
          <w:tcPr>
            <w:tcW w:w="68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184"/>
              <w:spacing w:after="0" w:line="114" w:lineRule="exact"/>
              <w:rPr>
                <w:sz w:val="20"/>
                <w:szCs w:val="20"/>
                <w:color w:val="auto"/>
              </w:rPr>
            </w:pPr>
            <w:r>
              <w:rPr>
                <w:rFonts w:ascii="Arial" w:cs="Arial" w:eastAsia="Arial" w:hAnsi="Arial"/>
                <w:sz w:val="10"/>
                <w:szCs w:val="10"/>
                <w:b w:val="1"/>
                <w:bCs w:val="1"/>
                <w:color w:val="auto"/>
              </w:rPr>
              <w:t>Amount</w:t>
            </w:r>
          </w:p>
        </w:tc>
        <w:tc>
          <w:tcPr>
            <w:tcW w:w="20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gridSpan w:val="2"/>
          </w:tcPr>
          <w:p>
            <w:pPr>
              <w:jc w:val="right"/>
              <w:ind w:right="140"/>
              <w:spacing w:after="0" w:line="114" w:lineRule="exact"/>
              <w:rPr>
                <w:sz w:val="20"/>
                <w:szCs w:val="20"/>
                <w:color w:val="auto"/>
              </w:rPr>
            </w:pPr>
            <w:r>
              <w:rPr>
                <w:rFonts w:ascii="Arial" w:cs="Arial" w:eastAsia="Arial" w:hAnsi="Arial"/>
                <w:sz w:val="10"/>
                <w:szCs w:val="10"/>
                <w:b w:val="1"/>
                <w:bCs w:val="1"/>
                <w:color w:val="auto"/>
                <w:w w:val="98"/>
              </w:rPr>
              <w:t>Amortization</w:t>
            </w:r>
          </w:p>
        </w:tc>
        <w:tc>
          <w:tcPr>
            <w:tcW w:w="12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22"/>
              <w:spacing w:after="0" w:line="114" w:lineRule="exact"/>
              <w:rPr>
                <w:sz w:val="20"/>
                <w:szCs w:val="20"/>
                <w:color w:val="auto"/>
              </w:rPr>
            </w:pPr>
            <w:r>
              <w:rPr>
                <w:rFonts w:ascii="Arial" w:cs="Arial" w:eastAsia="Arial" w:hAnsi="Arial"/>
                <w:sz w:val="10"/>
                <w:szCs w:val="10"/>
                <w:b w:val="1"/>
                <w:bCs w:val="1"/>
                <w:color w:val="auto"/>
              </w:rPr>
              <w:t>Amount</w:t>
            </w:r>
          </w:p>
        </w:tc>
        <w:tc>
          <w:tcPr>
            <w:tcW w:w="6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2"/>
                <w:szCs w:val="12"/>
                <w:color w:val="auto"/>
              </w:rPr>
              <w:t>Goodwill</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27,450</w:t>
            </w:r>
          </w:p>
        </w:tc>
        <w:tc>
          <w:tcPr>
            <w:tcW w:w="320" w:type="dxa"/>
            <w:vAlign w:val="bottom"/>
            <w:gridSpan w:val="2"/>
            <w:shd w:val="clear" w:color="auto" w:fill="CFF0FC"/>
          </w:tcPr>
          <w:p>
            <w:pPr>
              <w:jc w:val="right"/>
              <w:ind w:right="12"/>
              <w:spacing w:after="0"/>
              <w:rPr>
                <w:sz w:val="20"/>
                <w:szCs w:val="20"/>
                <w:color w:val="auto"/>
              </w:rPr>
            </w:pPr>
            <w:r>
              <w:rPr>
                <w:rFonts w:ascii="Arial" w:cs="Arial" w:eastAsia="Arial" w:hAnsi="Arial"/>
                <w:sz w:val="12"/>
                <w:szCs w:val="12"/>
                <w:color w:val="auto"/>
              </w:rPr>
              <w:t>$</w:t>
            </w:r>
          </w:p>
        </w:tc>
        <w:tc>
          <w:tcPr>
            <w:tcW w:w="56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27,450</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460" w:type="dxa"/>
            <w:vAlign w:val="bottom"/>
            <w:gridSpan w:val="2"/>
          </w:tcPr>
          <w:p>
            <w:pPr>
              <w:ind w:left="1320"/>
              <w:spacing w:after="0"/>
              <w:rPr>
                <w:sz w:val="20"/>
                <w:szCs w:val="20"/>
                <w:color w:val="auto"/>
              </w:rPr>
            </w:pPr>
            <w:r>
              <w:rPr>
                <w:rFonts w:ascii="Arial" w:cs="Arial" w:eastAsia="Arial" w:hAnsi="Arial"/>
                <w:sz w:val="12"/>
                <w:szCs w:val="12"/>
                <w:color w:val="auto"/>
              </w:rPr>
              <w:t>Customer relationships</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1,400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2"/>
                <w:szCs w:val="12"/>
                <w:color w:val="auto"/>
              </w:rPr>
              <w:t>(149)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1,251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2"/>
                <w:szCs w:val="12"/>
                <w:color w:val="auto"/>
              </w:rPr>
              <w:t>Brand</w:t>
            </w: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2,500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(276)</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2,224</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60" w:type="dxa"/>
            <w:vAlign w:val="bottom"/>
            <w:gridSpan w:val="2"/>
          </w:tcPr>
          <w:p>
            <w:pPr>
              <w:ind w:left="1320"/>
              <w:spacing w:after="0"/>
              <w:rPr>
                <w:sz w:val="20"/>
                <w:szCs w:val="20"/>
                <w:color w:val="auto"/>
              </w:rPr>
            </w:pPr>
            <w:r>
              <w:rPr>
                <w:rFonts w:ascii="Arial" w:cs="Arial" w:eastAsia="Arial" w:hAnsi="Arial"/>
                <w:sz w:val="12"/>
                <w:szCs w:val="12"/>
                <w:color w:val="auto"/>
              </w:rPr>
              <w:t>Technology</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16,900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2"/>
                <w:szCs w:val="12"/>
                <w:color w:val="auto"/>
              </w:rPr>
              <w:t>(469)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16,431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2"/>
                <w:szCs w:val="12"/>
                <w:color w:val="auto"/>
              </w:rPr>
              <w:t>Supplier agreement</w:t>
            </w: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3,000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(568)</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2,432</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120" w:type="dxa"/>
            <w:vAlign w:val="bottom"/>
            <w:vMerge w:val="restart"/>
          </w:tcPr>
          <w:p>
            <w:pPr>
              <w:ind w:left="80"/>
              <w:spacing w:after="0"/>
              <w:rPr>
                <w:sz w:val="20"/>
                <w:szCs w:val="20"/>
                <w:color w:val="auto"/>
              </w:rPr>
            </w:pPr>
            <w:r>
              <w:rPr>
                <w:rFonts w:ascii="Arial" w:cs="Arial" w:eastAsia="Arial" w:hAnsi="Arial"/>
                <w:sz w:val="12"/>
                <w:szCs w:val="12"/>
                <w:color w:val="auto"/>
              </w:rPr>
              <w:t>Total intangible assets and goodwill</w:t>
            </w: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340" w:type="dxa"/>
            <w:vAlign w:val="bottom"/>
          </w:tcPr>
          <w:p>
            <w:pPr>
              <w:spacing w:after="0"/>
              <w:rPr>
                <w:sz w:val="12"/>
                <w:szCs w:val="12"/>
                <w:color w:val="auto"/>
              </w:rPr>
            </w:pPr>
          </w:p>
        </w:tc>
        <w:tc>
          <w:tcPr>
            <w:tcW w:w="4120" w:type="dxa"/>
            <w:vAlign w:val="bottom"/>
            <w:vMerge w:val="continue"/>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51,250</w:t>
            </w:r>
          </w:p>
        </w:tc>
        <w:tc>
          <w:tcPr>
            <w:tcW w:w="320" w:type="dxa"/>
            <w:vAlign w:val="bottom"/>
            <w:gridSpan w:val="2"/>
          </w:tcPr>
          <w:p>
            <w:pPr>
              <w:jc w:val="right"/>
              <w:ind w:right="12"/>
              <w:spacing w:after="0"/>
              <w:rPr>
                <w:sz w:val="20"/>
                <w:szCs w:val="20"/>
                <w:color w:val="auto"/>
              </w:rPr>
            </w:pPr>
            <w:r>
              <w:rPr>
                <w:rFonts w:ascii="Arial" w:cs="Arial" w:eastAsia="Arial" w:hAnsi="Arial"/>
                <w:sz w:val="12"/>
                <w:szCs w:val="12"/>
                <w:color w:val="auto"/>
              </w:rPr>
              <w:t>$</w:t>
            </w:r>
          </w:p>
        </w:tc>
        <w:tc>
          <w:tcPr>
            <w:tcW w:w="940" w:type="dxa"/>
            <w:vAlign w:val="bottom"/>
            <w:gridSpan w:val="3"/>
          </w:tcPr>
          <w:p>
            <w:pPr>
              <w:jc w:val="right"/>
              <w:ind w:right="80"/>
              <w:spacing w:after="0"/>
              <w:rPr>
                <w:sz w:val="20"/>
                <w:szCs w:val="20"/>
                <w:color w:val="auto"/>
              </w:rPr>
            </w:pPr>
            <w:r>
              <w:rPr>
                <w:rFonts w:ascii="Arial" w:cs="Arial" w:eastAsia="Arial" w:hAnsi="Arial"/>
                <w:sz w:val="12"/>
                <w:szCs w:val="12"/>
                <w:color w:val="auto"/>
              </w:rPr>
              <w:t>(1,462)</w:t>
            </w:r>
          </w:p>
        </w:tc>
        <w:tc>
          <w:tcPr>
            <w:tcW w:w="2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49,788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5460" w:type="dxa"/>
            <w:vAlign w:val="bottom"/>
            <w:gridSpan w:val="2"/>
          </w:tcPr>
          <w:p>
            <w:pPr>
              <w:jc w:val="right"/>
              <w:ind w:right="640"/>
              <w:spacing w:after="0"/>
              <w:rPr>
                <w:sz w:val="20"/>
                <w:szCs w:val="20"/>
                <w:color w:val="auto"/>
              </w:rPr>
            </w:pPr>
            <w:r>
              <w:rPr>
                <w:rFonts w:ascii="Arial" w:cs="Arial" w:eastAsia="Arial" w:hAnsi="Arial"/>
                <w:sz w:val="12"/>
                <w:szCs w:val="12"/>
                <w:color w:val="auto"/>
                <w:w w:val="90"/>
              </w:rPr>
              <w:t>Estimated amortization expense for the next five fiscal years and all years thereafter are as follows:</w:t>
            </w:r>
          </w:p>
        </w:tc>
        <w:tc>
          <w:tcPr>
            <w:tcW w:w="6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46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2"/>
                <w:szCs w:val="12"/>
                <w:color w:val="auto"/>
              </w:rPr>
              <w:t>April 1, 2020 to December 31, 2020</w:t>
            </w: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2,605</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60" w:type="dxa"/>
            <w:vAlign w:val="bottom"/>
            <w:gridSpan w:val="2"/>
          </w:tcPr>
          <w:p>
            <w:pPr>
              <w:jc w:val="right"/>
              <w:ind w:right="3840"/>
              <w:spacing w:after="0"/>
              <w:rPr>
                <w:sz w:val="20"/>
                <w:szCs w:val="20"/>
                <w:color w:val="auto"/>
              </w:rPr>
            </w:pPr>
            <w:r>
              <w:rPr>
                <w:rFonts w:ascii="Arial" w:cs="Arial" w:eastAsia="Arial" w:hAnsi="Arial"/>
                <w:sz w:val="12"/>
                <w:szCs w:val="12"/>
                <w:color w:val="auto"/>
              </w:rPr>
              <w:t>2021</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3,473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4120" w:type="dxa"/>
            <w:vAlign w:val="bottom"/>
            <w:shd w:val="clear" w:color="auto" w:fill="CFF0FC"/>
          </w:tcPr>
          <w:p>
            <w:pPr>
              <w:jc w:val="right"/>
              <w:ind w:right="3840"/>
              <w:spacing w:after="0"/>
              <w:rPr>
                <w:sz w:val="20"/>
                <w:szCs w:val="20"/>
                <w:color w:val="auto"/>
              </w:rPr>
            </w:pPr>
            <w:r>
              <w:rPr>
                <w:rFonts w:ascii="Arial" w:cs="Arial" w:eastAsia="Arial" w:hAnsi="Arial"/>
                <w:sz w:val="12"/>
                <w:szCs w:val="12"/>
                <w:color w:val="auto"/>
                <w:w w:val="74"/>
              </w:rPr>
              <w:t>2022</w:t>
            </w: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3,473</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60" w:type="dxa"/>
            <w:vAlign w:val="bottom"/>
            <w:gridSpan w:val="2"/>
          </w:tcPr>
          <w:p>
            <w:pPr>
              <w:jc w:val="right"/>
              <w:ind w:right="3840"/>
              <w:spacing w:after="0"/>
              <w:rPr>
                <w:sz w:val="20"/>
                <w:szCs w:val="20"/>
                <w:color w:val="auto"/>
              </w:rPr>
            </w:pPr>
            <w:r>
              <w:rPr>
                <w:rFonts w:ascii="Arial" w:cs="Arial" w:eastAsia="Arial" w:hAnsi="Arial"/>
                <w:sz w:val="12"/>
                <w:szCs w:val="12"/>
                <w:color w:val="auto"/>
              </w:rPr>
              <w:t>2023</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3,473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4120" w:type="dxa"/>
            <w:vAlign w:val="bottom"/>
            <w:shd w:val="clear" w:color="auto" w:fill="CFF0FC"/>
          </w:tcPr>
          <w:p>
            <w:pPr>
              <w:jc w:val="right"/>
              <w:ind w:right="3840"/>
              <w:spacing w:after="0"/>
              <w:rPr>
                <w:sz w:val="20"/>
                <w:szCs w:val="20"/>
                <w:color w:val="auto"/>
              </w:rPr>
            </w:pPr>
            <w:r>
              <w:rPr>
                <w:rFonts w:ascii="Arial" w:cs="Arial" w:eastAsia="Arial" w:hAnsi="Arial"/>
                <w:sz w:val="12"/>
                <w:szCs w:val="12"/>
                <w:color w:val="auto"/>
                <w:w w:val="74"/>
              </w:rPr>
              <w:t>2024</w:t>
            </w: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3,473</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60" w:type="dxa"/>
            <w:vAlign w:val="bottom"/>
            <w:gridSpan w:val="2"/>
          </w:tcPr>
          <w:p>
            <w:pPr>
              <w:ind w:left="1320"/>
              <w:spacing w:after="0"/>
              <w:rPr>
                <w:sz w:val="20"/>
                <w:szCs w:val="20"/>
                <w:color w:val="auto"/>
              </w:rPr>
            </w:pPr>
            <w:r>
              <w:rPr>
                <w:rFonts w:ascii="Arial" w:cs="Arial" w:eastAsia="Arial" w:hAnsi="Arial"/>
                <w:sz w:val="12"/>
                <w:szCs w:val="12"/>
                <w:color w:val="auto"/>
              </w:rPr>
              <w:t>Thereafter</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4,973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120" w:type="dxa"/>
            <w:vAlign w:val="bottom"/>
            <w:vMerge w:val="restart"/>
            <w:shd w:val="clear" w:color="auto" w:fill="CFF0FC"/>
          </w:tcPr>
          <w:p>
            <w:pPr>
              <w:ind w:left="80"/>
              <w:spacing w:after="0"/>
              <w:rPr>
                <w:sz w:val="20"/>
                <w:szCs w:val="20"/>
                <w:color w:val="auto"/>
              </w:rPr>
            </w:pPr>
            <w:r>
              <w:rPr>
                <w:rFonts w:ascii="Arial" w:cs="Arial" w:eastAsia="Arial" w:hAnsi="Arial"/>
                <w:sz w:val="12"/>
                <w:szCs w:val="12"/>
                <w:color w:val="auto"/>
              </w:rPr>
              <w:t>Total</w:t>
            </w:r>
          </w:p>
        </w:tc>
        <w:tc>
          <w:tcPr>
            <w:tcW w:w="6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Borders>
              <w:right w:val="single" w:sz="8" w:color="CFF0FC"/>
            </w:tcBorders>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340" w:type="dxa"/>
            <w:vAlign w:val="bottom"/>
          </w:tcPr>
          <w:p>
            <w:pPr>
              <w:spacing w:after="0"/>
              <w:rPr>
                <w:sz w:val="12"/>
                <w:szCs w:val="12"/>
                <w:color w:val="auto"/>
              </w:rPr>
            </w:pPr>
          </w:p>
        </w:tc>
        <w:tc>
          <w:tcPr>
            <w:tcW w:w="4120" w:type="dxa"/>
            <w:vAlign w:val="bottom"/>
            <w:vMerge w:val="continue"/>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21,470</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412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tcBorders>
              <w:right w:val="single" w:sz="8" w:color="CFF0FC"/>
            </w:tcBorders>
            <w:shd w:val="clear" w:color="auto" w:fill="000000"/>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COMMITMENTS AND CONTINGENCIES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Leases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Company and its subsidiaries have various operating lease agreements, which expire on various dates.</w:t>
      </w:r>
    </w:p>
    <w:p>
      <w:pPr>
        <w:spacing w:after="0" w:line="168" w:lineRule="exact"/>
        <w:rPr>
          <w:sz w:val="20"/>
          <w:szCs w:val="20"/>
          <w:color w:val="auto"/>
        </w:rPr>
      </w:pPr>
    </w:p>
    <w:p>
      <w:pPr>
        <w:jc w:val="both"/>
        <w:ind w:right="100"/>
        <w:spacing w:after="0" w:line="263" w:lineRule="auto"/>
        <w:rPr>
          <w:sz w:val="20"/>
          <w:szCs w:val="20"/>
          <w:color w:val="auto"/>
        </w:rPr>
      </w:pPr>
      <w:r>
        <w:rPr>
          <w:rFonts w:ascii="Arial" w:cs="Arial" w:eastAsia="Arial" w:hAnsi="Arial"/>
          <w:sz w:val="12"/>
          <w:szCs w:val="12"/>
          <w:color w:val="auto"/>
        </w:rPr>
        <w:t>The Company recognizes rent expense on a straight-line basis over the non-cancellable lease period and records the difference between cash rent payments and the recognition of rent expense as a deferred rent liability. When leases contain escalation clauses, rent abatements and/or concessions, such as rent holidays and landlord or tenant incentives or allowances, the Company applies them in the determination of straight-line rent expense over the lease period.</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Aggregate future minimum lease payments and purchase commitments with manufacturers as of March 31, 2020 are as follows:</w:t>
      </w:r>
    </w:p>
    <w:p>
      <w:pPr>
        <w:spacing w:after="0" w:line="155" w:lineRule="exact"/>
        <w:rPr>
          <w:sz w:val="20"/>
          <w:szCs w:val="20"/>
          <w:color w:val="auto"/>
        </w:rPr>
      </w:pPr>
    </w:p>
    <w:tbl>
      <w:tblPr>
        <w:tblLayout w:type="fixed"/>
        <w:tblInd w:w="13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Office</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Arial" w:cs="Arial" w:eastAsia="Arial" w:hAnsi="Arial"/>
                <w:sz w:val="10"/>
                <w:szCs w:val="10"/>
                <w:b w:val="1"/>
                <w:bCs w:val="1"/>
                <w:color w:val="auto"/>
              </w:rPr>
              <w:t>Purchase</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13"/>
        </w:trPr>
        <w:tc>
          <w:tcPr>
            <w:tcW w:w="20" w:type="dxa"/>
            <w:vAlign w:val="bottom"/>
          </w:tcPr>
          <w:p>
            <w:pPr>
              <w:spacing w:after="0"/>
              <w:rPr>
                <w:sz w:val="9"/>
                <w:szCs w:val="9"/>
                <w:color w:val="auto"/>
              </w:rPr>
            </w:pPr>
          </w:p>
        </w:tc>
        <w:tc>
          <w:tcPr>
            <w:tcW w:w="3200" w:type="dxa"/>
            <w:vAlign w:val="bottom"/>
            <w:tcBorders>
              <w:bottom w:val="single" w:sz="8" w:color="CFF0FC"/>
            </w:tcBorders>
          </w:tcPr>
          <w:p>
            <w:pPr>
              <w:spacing w:after="0"/>
              <w:rPr>
                <w:sz w:val="9"/>
                <w:szCs w:val="9"/>
                <w:color w:val="auto"/>
              </w:rPr>
            </w:pPr>
          </w:p>
        </w:tc>
        <w:tc>
          <w:tcPr>
            <w:tcW w:w="1480" w:type="dxa"/>
            <w:vAlign w:val="bottom"/>
            <w:tcBorders>
              <w:bottom w:val="single" w:sz="8" w:color="CFF0FC"/>
            </w:tcBorders>
          </w:tcPr>
          <w:p>
            <w:pPr>
              <w:spacing w:after="0"/>
              <w:rPr>
                <w:sz w:val="9"/>
                <w:szCs w:val="9"/>
                <w:color w:val="auto"/>
              </w:rPr>
            </w:pPr>
          </w:p>
        </w:tc>
        <w:tc>
          <w:tcPr>
            <w:tcW w:w="60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rPr>
              <w:t>Lease</w:t>
            </w:r>
          </w:p>
        </w:tc>
        <w:tc>
          <w:tcPr>
            <w:tcW w:w="320" w:type="dxa"/>
            <w:vAlign w:val="bottom"/>
            <w:tcBorders>
              <w:bottom w:val="single" w:sz="8" w:color="auto"/>
            </w:tcBorders>
          </w:tcPr>
          <w:p>
            <w:pPr>
              <w:spacing w:after="0"/>
              <w:rPr>
                <w:sz w:val="9"/>
                <w:szCs w:val="9"/>
                <w:color w:val="auto"/>
              </w:rPr>
            </w:pPr>
          </w:p>
        </w:tc>
        <w:tc>
          <w:tcPr>
            <w:tcW w:w="18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123"/>
              <w:spacing w:after="0" w:line="114" w:lineRule="exact"/>
              <w:rPr>
                <w:sz w:val="20"/>
                <w:szCs w:val="20"/>
                <w:color w:val="auto"/>
              </w:rPr>
            </w:pPr>
            <w:r>
              <w:rPr>
                <w:rFonts w:ascii="Arial" w:cs="Arial" w:eastAsia="Arial" w:hAnsi="Arial"/>
                <w:sz w:val="10"/>
                <w:szCs w:val="10"/>
                <w:b w:val="1"/>
                <w:bCs w:val="1"/>
                <w:color w:val="auto"/>
                <w:w w:val="92"/>
              </w:rPr>
              <w:t>Commitments</w:t>
            </w:r>
          </w:p>
        </w:tc>
        <w:tc>
          <w:tcPr>
            <w:tcW w:w="18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322"/>
              <w:spacing w:after="0" w:line="114" w:lineRule="exact"/>
              <w:rPr>
                <w:sz w:val="20"/>
                <w:szCs w:val="20"/>
                <w:color w:val="auto"/>
              </w:rPr>
            </w:pPr>
            <w:r>
              <w:rPr>
                <w:rFonts w:ascii="Arial" w:cs="Arial" w:eastAsia="Arial" w:hAnsi="Arial"/>
                <w:sz w:val="10"/>
                <w:szCs w:val="10"/>
                <w:b w:val="1"/>
                <w:bCs w:val="1"/>
                <w:color w:val="auto"/>
              </w:rPr>
              <w:t>Total</w:t>
            </w:r>
          </w:p>
        </w:tc>
        <w:tc>
          <w:tcPr>
            <w:tcW w:w="60" w:type="dxa"/>
            <w:vAlign w:val="bottom"/>
            <w:tcBorders>
              <w:bottom w:val="single" w:sz="8" w:color="CFF0FC"/>
            </w:tcBorders>
          </w:tcPr>
          <w:p>
            <w:pPr>
              <w:spacing w:after="0"/>
              <w:rPr>
                <w:sz w:val="9"/>
                <w:szCs w:val="9"/>
                <w:color w:val="auto"/>
              </w:rPr>
            </w:pPr>
          </w:p>
        </w:tc>
      </w:tr>
      <w:tr>
        <w:trPr>
          <w:trHeight w:val="142"/>
        </w:trPr>
        <w:tc>
          <w:tcPr>
            <w:tcW w:w="20" w:type="dxa"/>
            <w:vAlign w:val="bottom"/>
          </w:tcPr>
          <w:p>
            <w:pPr>
              <w:spacing w:after="0"/>
              <w:rPr>
                <w:sz w:val="12"/>
                <w:szCs w:val="12"/>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April 1, 2020 to December 31, 2020</w:t>
            </w:r>
          </w:p>
        </w:tc>
        <w:tc>
          <w:tcPr>
            <w:tcW w:w="2080" w:type="dxa"/>
            <w:vAlign w:val="bottom"/>
            <w:gridSpan w:val="2"/>
            <w:shd w:val="clear" w:color="auto" w:fill="CFF0FC"/>
          </w:tcPr>
          <w:p>
            <w:pPr>
              <w:jc w:val="right"/>
              <w:ind w:right="512"/>
              <w:spacing w:after="0"/>
              <w:rPr>
                <w:sz w:val="20"/>
                <w:szCs w:val="20"/>
                <w:color w:val="auto"/>
              </w:rPr>
            </w:pPr>
            <w:r>
              <w:rPr>
                <w:rFonts w:ascii="Arial" w:cs="Arial" w:eastAsia="Arial" w:hAnsi="Arial"/>
                <w:sz w:val="12"/>
                <w:szCs w:val="12"/>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3"/>
              </w:rPr>
              <w:t>1,637</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7,607</w:t>
            </w: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9,244</w:t>
            </w:r>
          </w:p>
        </w:tc>
        <w:tc>
          <w:tcPr>
            <w:tcW w:w="60" w:type="dxa"/>
            <w:vAlign w:val="bottom"/>
            <w:shd w:val="clear" w:color="auto" w:fill="CFF0FC"/>
          </w:tcPr>
          <w:p>
            <w:pPr>
              <w:spacing w:after="0"/>
              <w:rPr>
                <w:sz w:val="12"/>
                <w:szCs w:val="12"/>
                <w:color w:val="auto"/>
              </w:rPr>
            </w:pPr>
          </w:p>
        </w:tc>
      </w:tr>
      <w:tr>
        <w:trPr>
          <w:trHeight w:val="153"/>
        </w:trPr>
        <w:tc>
          <w:tcPr>
            <w:tcW w:w="3220" w:type="dxa"/>
            <w:vAlign w:val="bottom"/>
            <w:gridSpan w:val="2"/>
          </w:tcPr>
          <w:p>
            <w:pPr>
              <w:jc w:val="right"/>
              <w:ind w:right="2920"/>
              <w:spacing w:after="0"/>
              <w:rPr>
                <w:sz w:val="20"/>
                <w:szCs w:val="20"/>
                <w:color w:val="auto"/>
              </w:rPr>
            </w:pPr>
            <w:r>
              <w:rPr>
                <w:rFonts w:ascii="Arial" w:cs="Arial" w:eastAsia="Arial" w:hAnsi="Arial"/>
                <w:sz w:val="12"/>
                <w:szCs w:val="12"/>
                <w:color w:val="auto"/>
                <w:w w:val="82"/>
              </w:rPr>
              <w:t>2021</w:t>
            </w:r>
          </w:p>
        </w:tc>
        <w:tc>
          <w:tcPr>
            <w:tcW w:w="1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w w:val="93"/>
              </w:rPr>
              <w:t>1,881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1,881</w:t>
            </w:r>
          </w:p>
        </w:tc>
        <w:tc>
          <w:tcPr>
            <w:tcW w:w="6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3200" w:type="dxa"/>
            <w:vAlign w:val="bottom"/>
            <w:shd w:val="clear" w:color="auto" w:fill="CFF0FC"/>
          </w:tcPr>
          <w:p>
            <w:pPr>
              <w:jc w:val="right"/>
              <w:ind w:right="2920"/>
              <w:spacing w:after="0"/>
              <w:rPr>
                <w:sz w:val="20"/>
                <w:szCs w:val="20"/>
                <w:color w:val="auto"/>
              </w:rPr>
            </w:pPr>
            <w:r>
              <w:rPr>
                <w:rFonts w:ascii="Arial" w:cs="Arial" w:eastAsia="Arial" w:hAnsi="Arial"/>
                <w:sz w:val="12"/>
                <w:szCs w:val="12"/>
                <w:color w:val="auto"/>
                <w:w w:val="74"/>
              </w:rPr>
              <w:t>2022</w:t>
            </w:r>
          </w:p>
        </w:tc>
        <w:tc>
          <w:tcPr>
            <w:tcW w:w="14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953</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953</w:t>
            </w:r>
          </w:p>
        </w:tc>
        <w:tc>
          <w:tcPr>
            <w:tcW w:w="60" w:type="dxa"/>
            <w:vAlign w:val="bottom"/>
            <w:shd w:val="clear" w:color="auto" w:fill="CFF0FC"/>
          </w:tcPr>
          <w:p>
            <w:pPr>
              <w:spacing w:after="0"/>
              <w:rPr>
                <w:sz w:val="13"/>
                <w:szCs w:val="13"/>
                <w:color w:val="auto"/>
              </w:rPr>
            </w:pPr>
          </w:p>
        </w:tc>
      </w:tr>
      <w:tr>
        <w:trPr>
          <w:trHeight w:val="153"/>
        </w:trPr>
        <w:tc>
          <w:tcPr>
            <w:tcW w:w="3220" w:type="dxa"/>
            <w:vAlign w:val="bottom"/>
            <w:gridSpan w:val="2"/>
          </w:tcPr>
          <w:p>
            <w:pPr>
              <w:jc w:val="right"/>
              <w:ind w:right="2920"/>
              <w:spacing w:after="0"/>
              <w:rPr>
                <w:sz w:val="20"/>
                <w:szCs w:val="20"/>
                <w:color w:val="auto"/>
              </w:rPr>
            </w:pPr>
            <w:r>
              <w:rPr>
                <w:rFonts w:ascii="Arial" w:cs="Arial" w:eastAsia="Arial" w:hAnsi="Arial"/>
                <w:sz w:val="12"/>
                <w:szCs w:val="12"/>
                <w:color w:val="auto"/>
                <w:w w:val="82"/>
              </w:rPr>
              <w:t>2023</w:t>
            </w:r>
          </w:p>
        </w:tc>
        <w:tc>
          <w:tcPr>
            <w:tcW w:w="1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515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515</w:t>
            </w:r>
          </w:p>
        </w:tc>
        <w:tc>
          <w:tcPr>
            <w:tcW w:w="6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Thereafter</w:t>
            </w:r>
          </w:p>
        </w:tc>
        <w:tc>
          <w:tcPr>
            <w:tcW w:w="1480" w:type="dxa"/>
            <w:vAlign w:val="bottom"/>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3"/>
              </w:rPr>
              <w:t>1,410</w:t>
            </w:r>
          </w:p>
        </w:tc>
        <w:tc>
          <w:tcPr>
            <w:tcW w:w="18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1,410</w:t>
            </w:r>
          </w:p>
        </w:tc>
        <w:tc>
          <w:tcPr>
            <w:tcW w:w="60" w:type="dxa"/>
            <w:vAlign w:val="bottom"/>
            <w:shd w:val="clear" w:color="auto" w:fill="CFF0FC"/>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200" w:type="dxa"/>
            <w:vAlign w:val="bottom"/>
          </w:tcPr>
          <w:p>
            <w:pPr>
              <w:jc w:val="right"/>
              <w:ind w:right="2820"/>
              <w:spacing w:after="0"/>
              <w:rPr>
                <w:sz w:val="20"/>
                <w:szCs w:val="20"/>
                <w:color w:val="auto"/>
              </w:rPr>
            </w:pPr>
            <w:r>
              <w:rPr>
                <w:rFonts w:ascii="Arial" w:cs="Arial" w:eastAsia="Arial" w:hAnsi="Arial"/>
                <w:sz w:val="12"/>
                <w:szCs w:val="12"/>
                <w:color w:val="auto"/>
              </w:rPr>
              <w:t>Total</w:t>
            </w:r>
          </w:p>
        </w:tc>
        <w:tc>
          <w:tcPr>
            <w:tcW w:w="2080" w:type="dxa"/>
            <w:vAlign w:val="bottom"/>
            <w:gridSpan w:val="2"/>
          </w:tcPr>
          <w:p>
            <w:pPr>
              <w:jc w:val="right"/>
              <w:ind w:right="512"/>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93"/>
              </w:rPr>
              <w:t>6,396</w:t>
            </w:r>
          </w:p>
        </w:tc>
        <w:tc>
          <w:tcPr>
            <w:tcW w:w="3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7,607</w:t>
            </w:r>
          </w:p>
        </w:tc>
        <w:tc>
          <w:tcPr>
            <w:tcW w:w="180" w:type="dxa"/>
            <w:vAlign w:val="bottom"/>
          </w:tcPr>
          <w:p>
            <w:pPr>
              <w:spacing w:after="0"/>
              <w:rPr>
                <w:sz w:val="12"/>
                <w:szCs w:val="12"/>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14,003</w:t>
            </w:r>
          </w:p>
        </w:tc>
        <w:tc>
          <w:tcPr>
            <w:tcW w:w="60" w:type="dxa"/>
            <w:vAlign w:val="bottom"/>
          </w:tcPr>
          <w:p>
            <w:pPr>
              <w:spacing w:after="0"/>
              <w:rPr>
                <w:sz w:val="12"/>
                <w:szCs w:val="12"/>
                <w:color w:val="auto"/>
              </w:rPr>
            </w:pPr>
          </w:p>
        </w:tc>
      </w:tr>
      <w:tr>
        <w:trPr>
          <w:trHeight w:val="27"/>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The total rent expense for all operating leases for the three months ended March 31, 2020 and 2019 was $570 and $390,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Commitments</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As of March 31, 2020, the Company has non-cancellable purchase orders placed with its contract manufacturers in the amount of $7,607. In addition, as of March 31, 2020, the Company had $3,476 of open purchase orders that can be cancelled with 90 days’ notice, except for a portion equal to 15% of the total amount representing the purchase of “long lead items”.</w:t>
      </w:r>
    </w:p>
    <w:p>
      <w:pPr>
        <w:spacing w:after="0" w:line="115" w:lineRule="exact"/>
        <w:rPr>
          <w:sz w:val="20"/>
          <w:szCs w:val="20"/>
          <w:color w:val="auto"/>
        </w:rPr>
      </w:pPr>
    </w:p>
    <w:p>
      <w:pPr>
        <w:jc w:val="center"/>
        <w:ind w:right="340"/>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55245</wp:posOffset>
            </wp:positionV>
            <wp:extent cx="718947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900"/>
          </w:cols>
          <w:pgMar w:left="660" w:top="466" w:right="339" w:bottom="1440" w:gutter="0" w:footer="0" w:header="0"/>
        </w:sectPr>
      </w:pPr>
    </w:p>
    <w:bookmarkStart w:id="17" w:name="page18"/>
    <w:bookmarkEnd w:id="17"/>
    <w:p>
      <w:pPr>
        <w:spacing w:after="0"/>
        <w:rPr>
          <w:sz w:val="20"/>
          <w:szCs w:val="20"/>
          <w:color w:val="auto"/>
        </w:rPr>
      </w:pPr>
      <w:r>
        <w:rPr>
          <w:rFonts w:ascii="Arial" w:cs="Arial" w:eastAsia="Arial" w:hAnsi="Arial"/>
          <w:sz w:val="12"/>
          <w:szCs w:val="12"/>
          <w:b w:val="1"/>
          <w:bCs w:val="1"/>
          <w:i w:val="1"/>
          <w:iCs w:val="1"/>
          <w:color w:val="auto"/>
        </w:rPr>
        <w:t>Legal Proceedings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Purported Shareholder Class Actions</w:t>
      </w:r>
    </w:p>
    <w:p>
      <w:pPr>
        <w:spacing w:after="0" w:line="168" w:lineRule="exact"/>
        <w:rPr>
          <w:sz w:val="20"/>
          <w:szCs w:val="20"/>
          <w:color w:val="auto"/>
        </w:rPr>
      </w:pPr>
    </w:p>
    <w:p>
      <w:pPr>
        <w:ind w:right="40"/>
        <w:spacing w:after="0" w:line="281" w:lineRule="auto"/>
        <w:rPr>
          <w:sz w:val="20"/>
          <w:szCs w:val="20"/>
          <w:color w:val="auto"/>
        </w:rPr>
      </w:pPr>
      <w:r>
        <w:rPr>
          <w:rFonts w:ascii="Arial" w:cs="Arial" w:eastAsia="Arial" w:hAnsi="Arial"/>
          <w:sz w:val="11"/>
          <w:szCs w:val="11"/>
          <w:color w:val="auto"/>
        </w:rPr>
        <w:t>Between May 23, 2018 and June 11, 2019, four putative shareholder class actions complaints were filed against Restoration Robotics, Inc., certain of its former officers and directors, certain of its venture capital investors, and the underwriters of the IPO. Two of these complaints, Wong v. Restoration Robotics, Inc., et al., No. 18CIV02609, and Li v. Restoration Robotics, Inc., et al., No. 19CIV08173 (together, the “State Actions”), were filed in the Superior Court of the State of California, County of San Mateo, and assert claims under Sections 11, 12(a)(2) and 15 of the Securities Act of 1933, or the Securities Act. The other two complaints, Guerrini v. Restoration Robotics, Inc., et al., No. 5:18-cv-03712-EJD and Yzeiraj v. Restoration Robotics, Inc., et al., No. 5:18-cv-03883-BLF (together, the “Federal Actions”), were filed in the United States District Court for the Northern District of California, and assert claims under Sections 11 and 15 of the Securities Act. The complaints all allege, among other things, that the Restoration Robotics’ Registration Statement filed with the SEC on September 1, 2017 and the Prospectus filed with the SEC on October 13, 2017 in connection with Restoration Robotics’ IPO were inaccurate and misleading, contained untrue statements of material facts, omitted to state other facts necessary to make the statements made not misleading and omitted to state material facts required to be stated therein. The complaints seek unspecified monetary damages, other equitable relief and attorneys’ fees and costs.</w:t>
      </w:r>
    </w:p>
    <w:p>
      <w:pPr>
        <w:spacing w:after="0" w:line="115" w:lineRule="exact"/>
        <w:rPr>
          <w:sz w:val="20"/>
          <w:szCs w:val="20"/>
          <w:color w:val="auto"/>
        </w:rPr>
      </w:pPr>
    </w:p>
    <w:p>
      <w:pPr>
        <w:ind w:right="80"/>
        <w:spacing w:after="0" w:line="279" w:lineRule="auto"/>
        <w:rPr>
          <w:sz w:val="20"/>
          <w:szCs w:val="20"/>
          <w:color w:val="auto"/>
        </w:rPr>
      </w:pPr>
      <w:r>
        <w:rPr>
          <w:rFonts w:ascii="Arial" w:cs="Arial" w:eastAsia="Arial" w:hAnsi="Arial"/>
          <w:sz w:val="11"/>
          <w:szCs w:val="11"/>
          <w:color w:val="auto"/>
        </w:rPr>
        <w:t>In the State Actions Restoration Robotics, Inc., along with the other defendants, successfully demurred to the initial Wong complaint for failure to state a claim, and secured a stay of both cases based on the forum selection clause contained in its Amended and Restated Certificate of Incorporation, which designates the federal district courts as the exclusive forums for claims arising under the Securities Act. However, on December 19, 2018, the Delaware Court of Chancery in Sciabacucchi v. Salzberg held that exclusive federal forum provisions are invalid under Delaware law. Based on this ruling, the San Mateo Superior Court lifted its stay of State Actions on December 10, 2019. On January 17, 2020, Plaintiffs in the State Actions filed a consolidated amended complaint for violations of federal securities laws, alleging again that, among other things, the Registration Statement filed with the SEC on September 1, 2017 and the Prospectus filed with the SEC on October 13, 2017 in connection with Restoration Robotics’ IPO were inaccurate and misleading, contained untrue statements of material fact, omitted to state other facts necessary to make the statements made not misleading and omitted to state material facts required to be stated therein. The complaint seeks unspecified monetary damages, other equitable relief and attorneys’ fees and costs. On February 24, 2020, the Company demurred to the consolidated amended complaint for failure to state a claim. On March 18, 2020, the Delaware Supreme Court reversed the Chancery Court’s decision in Sciabacucchi v. Salzberg and held that exclusive federal forum provisions are valid under Delaware law. On March 30, 2020, the Company filed a renewed motion to dismiss based on its federal forum selection clause. Hearings on the Company’s demurrer and renewed motion to dismiss, originally scheduled for May 8, 2020, have been postponed to a later date, yet to be determined, due to COVID-19.</w:t>
      </w:r>
    </w:p>
    <w:p>
      <w:pPr>
        <w:spacing w:after="0" w:line="117" w:lineRule="exact"/>
        <w:rPr>
          <w:sz w:val="20"/>
          <w:szCs w:val="20"/>
          <w:color w:val="auto"/>
        </w:rPr>
      </w:pPr>
    </w:p>
    <w:p>
      <w:pPr>
        <w:ind w:right="60"/>
        <w:spacing w:after="0" w:line="316" w:lineRule="auto"/>
        <w:rPr>
          <w:sz w:val="20"/>
          <w:szCs w:val="20"/>
          <w:color w:val="auto"/>
        </w:rPr>
      </w:pPr>
      <w:r>
        <w:rPr>
          <w:rFonts w:ascii="Arial" w:cs="Arial" w:eastAsia="Arial" w:hAnsi="Arial"/>
          <w:sz w:val="10"/>
          <w:szCs w:val="10"/>
          <w:color w:val="auto"/>
        </w:rPr>
        <w:t>In the Federal Actions, which have been consolidated under the caption in re Restoration Robotics, Inc. Securities Litigation, Case No. 5:18-cv-03712-EJD, Lead Plaintiff Eduardo Guerrini filed his consolidated amended complaint for violations of federal securities laws on November 30, 2018. The consolidated amended complaint alleges again that, among other things, Restoration Robotics’ Registration Statement filed with the SEC on September 1, 2017 and the Prospectus filed with the SEC on October 13, 2017 in connection with the IPO were inaccurate and misleading, contained untrue statements of material facts, omitted to state other facts necessary to make the statements made not misleading and omitted to state material facts required to be stated therein. On January 29, 2019, Restoration Robotics, Inc., along with certain of its former officers and directors, filed a motion to dismiss the consolidated amended complaint for failure to state a claim. On October 18, 2019, the District Court granted Restoration Robotics, Inc. motion to dismiss as to all but two allegedly false or misleading statements contained in the Company’s Prospectus. On December 9, 2019, the Company filed its answer to the consolidated amended complaint denying the falsity of these statements, and discovery is underway.</w:t>
      </w:r>
    </w:p>
    <w:p>
      <w:pPr>
        <w:spacing w:after="0" w:line="100" w:lineRule="exact"/>
        <w:rPr>
          <w:sz w:val="20"/>
          <w:szCs w:val="20"/>
          <w:color w:val="auto"/>
        </w:rPr>
      </w:pPr>
    </w:p>
    <w:p>
      <w:pPr>
        <w:spacing w:after="0"/>
        <w:rPr>
          <w:sz w:val="20"/>
          <w:szCs w:val="20"/>
          <w:color w:val="auto"/>
        </w:rPr>
      </w:pPr>
      <w:r>
        <w:rPr>
          <w:rFonts w:ascii="Arial" w:cs="Arial" w:eastAsia="Arial" w:hAnsi="Arial"/>
          <w:sz w:val="11"/>
          <w:szCs w:val="11"/>
          <w:color w:val="auto"/>
        </w:rPr>
        <w:t>In addition to the State and Federal Actions, on July 11, 2019, a verified shareholder derivative complaint was filed in the United States District Court for the Northern District of California, captioned Mason v. Rhodes, No.</w:t>
      </w:r>
    </w:p>
    <w:p>
      <w:pPr>
        <w:spacing w:after="0" w:line="26" w:lineRule="exact"/>
        <w:rPr>
          <w:sz w:val="20"/>
          <w:szCs w:val="20"/>
          <w:color w:val="auto"/>
        </w:rPr>
      </w:pPr>
    </w:p>
    <w:p>
      <w:pPr>
        <w:spacing w:after="0" w:line="289" w:lineRule="auto"/>
        <w:rPr>
          <w:sz w:val="20"/>
          <w:szCs w:val="20"/>
          <w:color w:val="auto"/>
        </w:rPr>
      </w:pPr>
      <w:r>
        <w:rPr>
          <w:rFonts w:ascii="Arial" w:cs="Arial" w:eastAsia="Arial" w:hAnsi="Arial"/>
          <w:sz w:val="11"/>
          <w:szCs w:val="11"/>
          <w:color w:val="auto"/>
        </w:rPr>
        <w:t>5:19-cv-03997-NC. The complaint alleges that certain of Restoration Robotics’ former officers and directors breached their fiduciary duties, have been unjustly enriched and violated Section 14(a) of the Securities Exchange Act of 1934, or the Exchange Act, in connection with the IPO and Restoration Robotics’ 2018 proxy statement. The complaint seeks unspecified damages, declaratory relief, other equitable relief and attorneys’ fees and costs. On August 21, 2019, the District Court granted the parties’ joint stipulation to stay the Mason action during the pendency of the Federal Actions, and the case remains stayed.</w:t>
      </w:r>
    </w:p>
    <w:p>
      <w:pPr>
        <w:spacing w:after="0" w:line="110" w:lineRule="exact"/>
        <w:rPr>
          <w:sz w:val="20"/>
          <w:szCs w:val="20"/>
          <w:color w:val="auto"/>
        </w:rPr>
      </w:pPr>
    </w:p>
    <w:p>
      <w:pPr>
        <w:ind w:right="40"/>
        <w:spacing w:after="0" w:line="289" w:lineRule="auto"/>
        <w:rPr>
          <w:sz w:val="20"/>
          <w:szCs w:val="20"/>
          <w:color w:val="auto"/>
        </w:rPr>
      </w:pPr>
      <w:r>
        <w:rPr>
          <w:rFonts w:ascii="Arial" w:cs="Arial" w:eastAsia="Arial" w:hAnsi="Arial"/>
          <w:sz w:val="11"/>
          <w:szCs w:val="11"/>
          <w:color w:val="auto"/>
        </w:rPr>
        <w:t>In addition to the actions described above relating to the IPO, two lawsuits purporting to challenge disclosures made in connection with our merger have also been filed. The first, captioned Bushansky v. Restoration Robotics, Inc., et al., No. 5:19-cv-06004-MMC, alleged, among other things, that defendants violated Sections 14(a) and 20(a) of the Exchange Act and SEC Rule 14a-9. The complaint alleged that the proxy statement, filed with the SEC by Restoration Robotics, Inc. on September 10, 2019 in connection with the Merger, omitted or misrepresented material information. The complaint sought, among other things, injunctive relief, unspecified damages, and attorneys’ fees and costs. On November 6, 2019, the plaintiff voluntarily dismissed the Bushansky action with prejudice as to his individual claims and without prejudice as to the claims of the putative class.</w:t>
      </w:r>
    </w:p>
    <w:p>
      <w:pPr>
        <w:spacing w:after="0" w:line="111" w:lineRule="exact"/>
        <w:rPr>
          <w:sz w:val="20"/>
          <w:szCs w:val="20"/>
          <w:color w:val="auto"/>
        </w:rPr>
      </w:pPr>
    </w:p>
    <w:p>
      <w:pPr>
        <w:jc w:val="center"/>
        <w:ind w:right="360"/>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55245</wp:posOffset>
            </wp:positionV>
            <wp:extent cx="718947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920"/>
          </w:cols>
          <w:pgMar w:left="660" w:top="275" w:right="319" w:bottom="1440" w:gutter="0" w:footer="0" w:header="0"/>
        </w:sectPr>
      </w:pPr>
    </w:p>
    <w:bookmarkStart w:id="18" w:name="page19"/>
    <w:bookmarkEnd w:id="18"/>
    <w:p>
      <w:pPr>
        <w:spacing w:after="0" w:line="256" w:lineRule="auto"/>
        <w:rPr>
          <w:sz w:val="20"/>
          <w:szCs w:val="20"/>
          <w:color w:val="auto"/>
        </w:rPr>
      </w:pPr>
      <w:r>
        <w:rPr>
          <w:rFonts w:ascii="Arial" w:cs="Arial" w:eastAsia="Arial" w:hAnsi="Arial"/>
          <w:sz w:val="12"/>
          <w:szCs w:val="12"/>
          <w:color w:val="auto"/>
        </w:rPr>
        <w:t>The second, a putative shareholder class action complaint captioned Pak v. Restoration Robotics, Inc., et al., No. 1:19-cv-02237, was filed in the United States District Court for the District of Delaware on December 6, 2019. The complaint alleges, among other things, that defendants violated Sections 14(a) and 20(a) of the Exchange Act and SEC Rule 14a-9. The complaint alleges that the proxy statement, filed with the SEC by Restoration Robotics, Inc. on September 10, 2019 in connection with the Merger, contained false or misleading information. The complaint seeks, among other things, compensatory and/or rescissory damages, and attorneys’ fees and costs. On February 26, 2020, the District Court appointed Joon Pak as Lead Plaintiff in the Pak action, and approved his selection of Lead Counsel. The Company believes that these lawsuits are without merit and management intends to vigorously defend against these claims. The Company’s motion to dismiss the Pak complaint is due on May 26, 2020.</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Venus Concept China Matter</w:t>
      </w:r>
    </w:p>
    <w:p>
      <w:pPr>
        <w:spacing w:after="0" w:line="168" w:lineRule="exact"/>
        <w:rPr>
          <w:sz w:val="20"/>
          <w:szCs w:val="20"/>
          <w:color w:val="auto"/>
        </w:rPr>
      </w:pPr>
    </w:p>
    <w:p>
      <w:pPr>
        <w:ind w:right="20"/>
        <w:spacing w:after="0" w:line="278" w:lineRule="auto"/>
        <w:rPr>
          <w:sz w:val="20"/>
          <w:szCs w:val="20"/>
          <w:color w:val="auto"/>
        </w:rPr>
      </w:pPr>
      <w:r>
        <w:rPr>
          <w:rFonts w:ascii="Arial" w:cs="Arial" w:eastAsia="Arial" w:hAnsi="Arial"/>
          <w:sz w:val="11"/>
          <w:szCs w:val="11"/>
          <w:color w:val="auto"/>
        </w:rPr>
        <w:t>The Company’s Chinese subsidiary, Venus Concept China, imports and sells registered medical devices and unregistered non-medical devices in the People’s Republic of China (“PRC”). One of its unregistered products has been the subject of inquiries from two district level branches of the SAMR, Xuhui MSA and Huangpu MSA, as to whether the product was properly sold as a non-medical device. In January 2019, Venus Concept China applied to register a version of this non-medical device as a medical device with the National Medical Products Administration of PRC, or NMPA. On June 12, 2019, Venus Concept China was informed that Xuhui MSA had opened an administrative investigation case related to whether the device is an unregistered medical device, as a result of a complaint that Xuhui MSA received from a former distributor of Venus Concept China. Huangpu MSA notified Venus Concept China that it would be suspending its separate investigation against Venus Concept China, pending the results of the Xuhui MSA investigation. The Company and Venus Concept China have voluntarily stopped sales in China of this product. On December 11, 2019, Xuhui MSA informed Venus Concept China that a determination had been made by the Shanghai Medical Products Administration that Versa’s IPL function should be administered as a Class II medical device. Xuhui MSA also suggested that Venus Concept China consider a voluntary recall of all Versa units sold in China. In late January 2020, Venus Concept China received a copy of the Shanghai Medical Products Administration’s determination that because of the intended uses for Versa’s IPL function comprise medical treatment functions such as “treatment of benign pigmented epidermis and skin lesions,” Versa’s IPL function should be administered as a Class II medical device. Although the revenue generated from the product that is the subject of the investigation did not represent a material amount of the Company’s total revenues for the years ended December 31, 2018 and 2019, monetary penalties nonetheless could be material.</w:t>
      </w:r>
    </w:p>
    <w:p>
      <w:pPr>
        <w:spacing w:after="0" w:line="137" w:lineRule="exact"/>
        <w:rPr>
          <w:sz w:val="20"/>
          <w:szCs w:val="20"/>
          <w:color w:val="auto"/>
        </w:rPr>
      </w:pPr>
    </w:p>
    <w:p>
      <w:pPr>
        <w:spacing w:after="0" w:line="253" w:lineRule="auto"/>
        <w:rPr>
          <w:sz w:val="20"/>
          <w:szCs w:val="20"/>
          <w:color w:val="auto"/>
        </w:rPr>
      </w:pPr>
      <w:r>
        <w:rPr>
          <w:rFonts w:ascii="Arial" w:cs="Arial" w:eastAsia="Arial" w:hAnsi="Arial"/>
          <w:sz w:val="12"/>
          <w:szCs w:val="12"/>
          <w:color w:val="auto"/>
        </w:rPr>
        <w:t>In April 2020, Venus Concept China received a determination from NMPA on its application for registering Versa’s IPL function as a medical device. NMPA has approved the registration of one applicator HR 650 for hair removal as a Class II medical device out of the four IPL applicators for which Venus Concept China had originally applied. The date of registration is April 15, 2020. Venus Concept China also submitted an explanation letter and a draft Corrective &amp; Preventive Action Report plan to Xuhui MSA during a meeting with the local authority on April 23, 2020. However, on April 29, 2020, Xuhui MSA informed Venus Concept China that its administrative investigation case has been transferred to Xuhui Branch of Shanghai Municipal Public Security Bureau (“Xuhui PSB”) for further handling. On May 6, 2020, the economic crime investigation department of Xuhui PSB confirmed to Venus Concept China’s local PRC counsel that they will review and decide whether or not to file formally a criminal investigation case against Venus Concept China and any relevant individuals allegedly responsible for any alleged criminal offense(s). Should such criminal investigation case be formally filed, then Xuhui PSA will conduct a formal investigation and at the end of which, determine whether or not the case should then be submitted to the relevant Procuratorate office (equivalent of the local prosecutors’ office) for criminal prosecution proceedings against Venus Concept China and any accused individuals. Based on facts and information currently available to the Company, it is currently uncertain as to whether or not the Xuhui PSB will actually file a formal criminal investigation case against Venus Concept China and if so, whether or not it will transfer the case for criminal prosecution at the end of such investigation, or whether or not any criminal offense(s) will be established against Venus Concept China and any relevant individuals in any subsequent criminal prosecution proceedings.</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The Company and Venus Concept China are cooperating with the relevant authorities in these matters; however, the Company cannot predict the outcome of these matters.</w:t>
      </w:r>
    </w:p>
    <w:p>
      <w:pPr>
        <w:spacing w:after="0" w:line="168"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Further, the Company may from time to time continue to be involved in various legal proceedings of a character normally incident to the ordinary course of its business, which does not deem to be material to the Company’s business and results of operations.</w:t>
      </w:r>
    </w:p>
    <w:p>
      <w:pPr>
        <w:spacing w:after="0" w:line="115" w:lineRule="exact"/>
        <w:rPr>
          <w:sz w:val="20"/>
          <w:szCs w:val="20"/>
          <w:color w:val="auto"/>
        </w:rPr>
      </w:pPr>
    </w:p>
    <w:p>
      <w:pPr>
        <w:jc w:val="center"/>
        <w:ind w:right="340"/>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55245</wp:posOffset>
            </wp:positionV>
            <wp:extent cx="718947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900"/>
          </w:cols>
          <w:pgMar w:left="660" w:top="275" w:right="339" w:bottom="1440" w:gutter="0" w:footer="0" w:header="0"/>
        </w:sectPr>
      </w:pPr>
    </w:p>
    <w:bookmarkStart w:id="19" w:name="page20"/>
    <w:bookmarkEnd w:id="19"/>
    <w:p>
      <w:pPr>
        <w:spacing w:after="0"/>
        <w:rPr>
          <w:sz w:val="20"/>
          <w:szCs w:val="20"/>
          <w:color w:val="auto"/>
        </w:rPr>
      </w:pPr>
      <w:r>
        <w:rPr>
          <w:rFonts w:ascii="Arial" w:cs="Arial" w:eastAsia="Arial" w:hAnsi="Arial"/>
          <w:sz w:val="12"/>
          <w:szCs w:val="12"/>
          <w:b w:val="1"/>
          <w:bCs w:val="1"/>
          <w:color w:val="auto"/>
        </w:rPr>
        <w:t>9. LONG-TERM DEBT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Madryn Credit Agreement</w:t>
      </w:r>
    </w:p>
    <w:p>
      <w:pPr>
        <w:spacing w:after="0" w:line="150"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color w:val="auto"/>
        </w:rPr>
        <w:t>On October 11, 2016, Venus Concept Ltd. entered into a credit agreement as a guarantor with Madryn Health Partners, LP, as administrative agent, and certain of its affiliates as lenders (collectively, “Madryn”), as amended (the “Madryn Credit Agreement”), pursuant to which Madryn agreed to make certain loans to certain of Venus Concept Ltd.’s subsidiaries (the “Subsidiary Obligors”). The Madryn Credit Agreement is comprised of four tranches of debt aggregating $70,000. As at March 31, 2020, and as at December 31, 2019, the Subsidiary Obligors had borrowed $60,000 under the term A-1 and A-2 and B tranches of the Madryn Credit Agreement. Term C borrowings of $10,000 were undrawn and are no longer available. Borrowings under the Madryn Credit Agreement are secured by substantially all of the Company’s assets and the assets of the Subsidiary Obligors. On the 24th payment date, which is September 30, 2022, the aggregate outstanding principal amount of the loans, together with any accrued and unpaid interest thereon and all other amounts due and owing under the loan agreement will become due and payable in full.</w:t>
      </w:r>
    </w:p>
    <w:p>
      <w:pPr>
        <w:spacing w:after="0" w:line="128" w:lineRule="exact"/>
        <w:rPr>
          <w:sz w:val="20"/>
          <w:szCs w:val="20"/>
          <w:color w:val="auto"/>
        </w:rPr>
      </w:pPr>
    </w:p>
    <w:p>
      <w:pPr>
        <w:ind w:right="260"/>
        <w:spacing w:after="0" w:line="379" w:lineRule="auto"/>
        <w:rPr>
          <w:sz w:val="20"/>
          <w:szCs w:val="20"/>
          <w:color w:val="auto"/>
        </w:rPr>
      </w:pPr>
      <w:r>
        <w:rPr>
          <w:rFonts w:ascii="Arial" w:cs="Arial" w:eastAsia="Arial" w:hAnsi="Arial"/>
          <w:sz w:val="10"/>
          <w:szCs w:val="10"/>
          <w:color w:val="auto"/>
        </w:rPr>
        <w:t>Effective August 14, 2018, interest on the Madryn loan is 9%, payable quarterly. Previously, interest was payable quarterly, at the Company’s option, as follows: cash interest 9% during the interest only period, which was 3 years or 12 principal payments after closing, plus an additional 4% rate, paid in kind (“PIK”). The Company has the option of settling the PIK interest in cash or adding the owed interest to the principal amount of the loan.</w:t>
      </w:r>
    </w:p>
    <w:p>
      <w:pPr>
        <w:spacing w:after="0" w:line="69" w:lineRule="exact"/>
        <w:rPr>
          <w:sz w:val="20"/>
          <w:szCs w:val="20"/>
          <w:color w:val="auto"/>
        </w:rPr>
      </w:pPr>
    </w:p>
    <w:p>
      <w:pPr>
        <w:ind w:right="100"/>
        <w:spacing w:after="0" w:line="256" w:lineRule="auto"/>
        <w:rPr>
          <w:sz w:val="20"/>
          <w:szCs w:val="20"/>
          <w:color w:val="auto"/>
        </w:rPr>
      </w:pPr>
      <w:r>
        <w:rPr>
          <w:rFonts w:ascii="Arial" w:cs="Arial" w:eastAsia="Arial" w:hAnsi="Arial"/>
          <w:sz w:val="12"/>
          <w:szCs w:val="12"/>
          <w:color w:val="auto"/>
        </w:rPr>
        <w:t>The loans are collateralized by substantially all the assets of Venus Concept Ltd. and certain of its subsidiaries. In addition, the Madryn Credit Agreement contains certain covenants that require the Company together with its subsidiaries to achieve certain minimum revenue and liquidity thresholds. The minimum revenue and liquidity covenants require that the Company and its subsidiaries, on a consolidated basis, achieve (i) minimum reported revenue targets for any four consecutive fiscal quarter period of an amount equal to the greater of (A) $100.0 million and (B) one hundred and fifty percent (150%) of the aggregate outstanding amount of the loans as of the last day of such four consecutive fiscal quarter period, (ii) minimum levels of cash held in deposit accounts controlled by Madryn to be no less than $2.0 million and (iii) minimum levels of cash held in all deposit accounts, plus availability under the CNB Credit Facility (as defined below), to be no less than $5.0 million.</w:t>
      </w:r>
    </w:p>
    <w:p>
      <w:pPr>
        <w:spacing w:after="0" w:line="128"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The Madryn Credit Agreement also contains various covenants that limit the Company’s ability and the ability of its subsidiaries to engage in specified types of transactions. Subject to limited exceptions, these covenants limit the Company’s ability, without Madryn’s consent, to, among other things:</w:t>
      </w:r>
    </w:p>
    <w:p>
      <w:pPr>
        <w:spacing w:after="0" w:line="115" w:lineRule="exact"/>
        <w:rPr>
          <w:sz w:val="20"/>
          <w:szCs w:val="20"/>
          <w:color w:val="auto"/>
        </w:rPr>
      </w:pPr>
    </w:p>
    <w:p>
      <w:pPr>
        <w:ind w:left="1120" w:hanging="552"/>
        <w:spacing w:after="0"/>
        <w:tabs>
          <w:tab w:leader="none" w:pos="1120" w:val="left"/>
        </w:tabs>
        <w:numPr>
          <w:ilvl w:val="0"/>
          <w:numId w:val="4"/>
        </w:numPr>
        <w:rPr>
          <w:rFonts w:ascii="Arial" w:cs="Arial" w:eastAsia="Arial" w:hAnsi="Arial"/>
          <w:sz w:val="12"/>
          <w:szCs w:val="12"/>
          <w:color w:val="auto"/>
        </w:rPr>
      </w:pPr>
      <w:r>
        <w:rPr>
          <w:rFonts w:ascii="Arial" w:cs="Arial" w:eastAsia="Arial" w:hAnsi="Arial"/>
          <w:sz w:val="12"/>
          <w:szCs w:val="12"/>
          <w:color w:val="auto"/>
        </w:rPr>
        <w:t>sell, lease, transfer, exclusively license or dispose of the Company’s assets;</w:t>
      </w:r>
    </w:p>
    <w:p>
      <w:pPr>
        <w:spacing w:after="0" w:line="14" w:lineRule="exact"/>
        <w:rPr>
          <w:rFonts w:ascii="Arial" w:cs="Arial" w:eastAsia="Arial" w:hAnsi="Arial"/>
          <w:sz w:val="12"/>
          <w:szCs w:val="12"/>
          <w:color w:val="auto"/>
        </w:rPr>
      </w:pPr>
    </w:p>
    <w:p>
      <w:pPr>
        <w:ind w:left="1120" w:hanging="552"/>
        <w:spacing w:after="0"/>
        <w:tabs>
          <w:tab w:leader="none" w:pos="1120" w:val="left"/>
        </w:tabs>
        <w:numPr>
          <w:ilvl w:val="0"/>
          <w:numId w:val="4"/>
        </w:numPr>
        <w:rPr>
          <w:rFonts w:ascii="Arial" w:cs="Arial" w:eastAsia="Arial" w:hAnsi="Arial"/>
          <w:sz w:val="12"/>
          <w:szCs w:val="12"/>
          <w:color w:val="auto"/>
        </w:rPr>
      </w:pPr>
      <w:r>
        <w:rPr>
          <w:rFonts w:ascii="Arial" w:cs="Arial" w:eastAsia="Arial" w:hAnsi="Arial"/>
          <w:sz w:val="12"/>
          <w:szCs w:val="12"/>
          <w:color w:val="auto"/>
        </w:rPr>
        <w:t>create, incur, assume or permit to exist additional indebtedness or liens, which may limit the Company’s ability to raise additional capital;</w:t>
      </w:r>
    </w:p>
    <w:p>
      <w:pPr>
        <w:spacing w:after="0" w:line="6" w:lineRule="exact"/>
        <w:rPr>
          <w:rFonts w:ascii="Arial" w:cs="Arial" w:eastAsia="Arial" w:hAnsi="Arial"/>
          <w:sz w:val="12"/>
          <w:szCs w:val="12"/>
          <w:color w:val="auto"/>
        </w:rPr>
      </w:pPr>
    </w:p>
    <w:p>
      <w:pPr>
        <w:ind w:left="1120" w:hanging="552"/>
        <w:spacing w:after="0"/>
        <w:tabs>
          <w:tab w:leader="none" w:pos="1120" w:val="left"/>
        </w:tabs>
        <w:numPr>
          <w:ilvl w:val="0"/>
          <w:numId w:val="4"/>
        </w:numPr>
        <w:rPr>
          <w:rFonts w:ascii="Arial" w:cs="Arial" w:eastAsia="Arial" w:hAnsi="Arial"/>
          <w:sz w:val="12"/>
          <w:szCs w:val="12"/>
          <w:color w:val="auto"/>
        </w:rPr>
      </w:pPr>
      <w:r>
        <w:rPr>
          <w:rFonts w:ascii="Arial" w:cs="Arial" w:eastAsia="Arial" w:hAnsi="Arial"/>
          <w:sz w:val="12"/>
          <w:szCs w:val="12"/>
          <w:color w:val="auto"/>
        </w:rPr>
        <w:t>make restricted payments, including paying dividends on, repurchasing or making distributions with respect to the Company’s capital stock;</w:t>
      </w:r>
    </w:p>
    <w:p>
      <w:pPr>
        <w:spacing w:after="0" w:line="6" w:lineRule="exact"/>
        <w:rPr>
          <w:rFonts w:ascii="Arial" w:cs="Arial" w:eastAsia="Arial" w:hAnsi="Arial"/>
          <w:sz w:val="12"/>
          <w:szCs w:val="12"/>
          <w:color w:val="auto"/>
        </w:rPr>
      </w:pPr>
    </w:p>
    <w:p>
      <w:pPr>
        <w:ind w:left="1120" w:hanging="552"/>
        <w:spacing w:after="0"/>
        <w:tabs>
          <w:tab w:leader="none" w:pos="1120" w:val="left"/>
        </w:tabs>
        <w:numPr>
          <w:ilvl w:val="0"/>
          <w:numId w:val="4"/>
        </w:numPr>
        <w:rPr>
          <w:rFonts w:ascii="Arial" w:cs="Arial" w:eastAsia="Arial" w:hAnsi="Arial"/>
          <w:sz w:val="12"/>
          <w:szCs w:val="12"/>
          <w:color w:val="auto"/>
        </w:rPr>
      </w:pPr>
      <w:r>
        <w:rPr>
          <w:rFonts w:ascii="Arial" w:cs="Arial" w:eastAsia="Arial" w:hAnsi="Arial"/>
          <w:sz w:val="12"/>
          <w:szCs w:val="12"/>
          <w:color w:val="auto"/>
        </w:rPr>
        <w:t>pay any cash dividend or make any other cash distribution or payment in respect of the Company’s capital stock;</w:t>
      </w:r>
    </w:p>
    <w:p>
      <w:pPr>
        <w:spacing w:after="0" w:line="6" w:lineRule="exact"/>
        <w:rPr>
          <w:rFonts w:ascii="Arial" w:cs="Arial" w:eastAsia="Arial" w:hAnsi="Arial"/>
          <w:sz w:val="12"/>
          <w:szCs w:val="12"/>
          <w:color w:val="auto"/>
        </w:rPr>
      </w:pPr>
    </w:p>
    <w:p>
      <w:pPr>
        <w:ind w:left="1120" w:hanging="552"/>
        <w:spacing w:after="0"/>
        <w:tabs>
          <w:tab w:leader="none" w:pos="1120" w:val="left"/>
        </w:tabs>
        <w:numPr>
          <w:ilvl w:val="0"/>
          <w:numId w:val="4"/>
        </w:numPr>
        <w:rPr>
          <w:rFonts w:ascii="Arial" w:cs="Arial" w:eastAsia="Arial" w:hAnsi="Arial"/>
          <w:sz w:val="12"/>
          <w:szCs w:val="12"/>
          <w:color w:val="auto"/>
        </w:rPr>
      </w:pPr>
      <w:r>
        <w:rPr>
          <w:rFonts w:ascii="Arial" w:cs="Arial" w:eastAsia="Arial" w:hAnsi="Arial"/>
          <w:sz w:val="12"/>
          <w:szCs w:val="12"/>
          <w:color w:val="auto"/>
        </w:rPr>
        <w:t>make specified investments (including loans and advances);</w:t>
      </w:r>
    </w:p>
    <w:p>
      <w:pPr>
        <w:spacing w:after="0" w:line="6" w:lineRule="exact"/>
        <w:rPr>
          <w:rFonts w:ascii="Arial" w:cs="Arial" w:eastAsia="Arial" w:hAnsi="Arial"/>
          <w:sz w:val="12"/>
          <w:szCs w:val="12"/>
          <w:color w:val="auto"/>
        </w:rPr>
      </w:pPr>
    </w:p>
    <w:p>
      <w:pPr>
        <w:ind w:left="1120" w:hanging="552"/>
        <w:spacing w:after="0"/>
        <w:tabs>
          <w:tab w:leader="none" w:pos="1120" w:val="left"/>
        </w:tabs>
        <w:numPr>
          <w:ilvl w:val="0"/>
          <w:numId w:val="4"/>
        </w:numPr>
        <w:rPr>
          <w:rFonts w:ascii="Arial" w:cs="Arial" w:eastAsia="Arial" w:hAnsi="Arial"/>
          <w:sz w:val="12"/>
          <w:szCs w:val="12"/>
          <w:color w:val="auto"/>
        </w:rPr>
      </w:pPr>
      <w:r>
        <w:rPr>
          <w:rFonts w:ascii="Arial" w:cs="Arial" w:eastAsia="Arial" w:hAnsi="Arial"/>
          <w:sz w:val="12"/>
          <w:szCs w:val="12"/>
          <w:color w:val="auto"/>
        </w:rPr>
        <w:t>make changes to certain key personnel including the Company’s President and Chief Executive Officer;</w:t>
      </w:r>
    </w:p>
    <w:p>
      <w:pPr>
        <w:spacing w:after="0" w:line="6" w:lineRule="exact"/>
        <w:rPr>
          <w:rFonts w:ascii="Arial" w:cs="Arial" w:eastAsia="Arial" w:hAnsi="Arial"/>
          <w:sz w:val="12"/>
          <w:szCs w:val="12"/>
          <w:color w:val="auto"/>
        </w:rPr>
      </w:pPr>
    </w:p>
    <w:p>
      <w:pPr>
        <w:ind w:left="1120" w:hanging="552"/>
        <w:spacing w:after="0"/>
        <w:tabs>
          <w:tab w:leader="none" w:pos="1120" w:val="left"/>
        </w:tabs>
        <w:numPr>
          <w:ilvl w:val="0"/>
          <w:numId w:val="4"/>
        </w:numPr>
        <w:rPr>
          <w:rFonts w:ascii="Arial" w:cs="Arial" w:eastAsia="Arial" w:hAnsi="Arial"/>
          <w:sz w:val="12"/>
          <w:szCs w:val="12"/>
          <w:color w:val="auto"/>
        </w:rPr>
      </w:pPr>
      <w:r>
        <w:rPr>
          <w:rFonts w:ascii="Arial" w:cs="Arial" w:eastAsia="Arial" w:hAnsi="Arial"/>
          <w:sz w:val="12"/>
          <w:szCs w:val="12"/>
          <w:color w:val="auto"/>
        </w:rPr>
        <w:t>merge, consolidate or liquidate; and</w:t>
      </w:r>
    </w:p>
    <w:p>
      <w:pPr>
        <w:spacing w:after="0" w:line="6" w:lineRule="exact"/>
        <w:rPr>
          <w:rFonts w:ascii="Arial" w:cs="Arial" w:eastAsia="Arial" w:hAnsi="Arial"/>
          <w:sz w:val="12"/>
          <w:szCs w:val="12"/>
          <w:color w:val="auto"/>
        </w:rPr>
      </w:pPr>
    </w:p>
    <w:p>
      <w:pPr>
        <w:ind w:left="1120" w:hanging="552"/>
        <w:spacing w:after="0"/>
        <w:tabs>
          <w:tab w:leader="none" w:pos="1120" w:val="left"/>
        </w:tabs>
        <w:numPr>
          <w:ilvl w:val="0"/>
          <w:numId w:val="4"/>
        </w:numPr>
        <w:rPr>
          <w:rFonts w:ascii="Arial" w:cs="Arial" w:eastAsia="Arial" w:hAnsi="Arial"/>
          <w:sz w:val="12"/>
          <w:szCs w:val="12"/>
          <w:color w:val="auto"/>
        </w:rPr>
      </w:pPr>
      <w:r>
        <w:rPr>
          <w:rFonts w:ascii="Arial" w:cs="Arial" w:eastAsia="Arial" w:hAnsi="Arial"/>
          <w:sz w:val="12"/>
          <w:szCs w:val="12"/>
          <w:color w:val="auto"/>
        </w:rPr>
        <w:t>enter into certain transactions with affiliates.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As of March 31, 2020 and as of December 31, 2019 the Company was in compliance with all required covenants.</w:t>
      </w:r>
    </w:p>
    <w:p>
      <w:pPr>
        <w:spacing w:after="0" w:line="150"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Pursuant to the Madryn Credit Agreement, if all or any portion of the loans are prepaid, then a prepayment premium must be paid equal to: (i) 8.00% of the loans prepaid if prepaid on or prior to August 31, 2019, (ii) 6.50% if prepaid after August 31, 2019 but on or prior to August 31, 2020, (iii) 5.00% if prepaid after August 31, 2020 but on or prior to February 28, 2021, (iv) 4.00% if prepaid after February 28, 2021 but on or prior to August 31, 2021, (v) 3.00% if prepaid after August 31, 2021 but on or prior to February 28, 2022, and (vi) 2.00% if prepaid after February 28, 2022.</w:t>
      </w:r>
    </w:p>
    <w:p>
      <w:pPr>
        <w:spacing w:after="0" w:line="122"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In connection with the Merger, the Company entered into an amendment to the Madryn Credit Agreement, dated as of November 7, 2019, (the “Amendment”), pursuant to which the Company joined as (i) a guarantor to the Madryn Credit Agreement and (ii) a grantor to the certain security agreement, dated October 11, 2016, (as amended, restated, supplemented or otherwise modified from time to time), by and among the grantors from time to time party thereto and the administrative agent (the “U.S. Security Agreement”).</w:t>
      </w:r>
    </w:p>
    <w:p>
      <w:pPr>
        <w:spacing w:after="0" w:line="122" w:lineRule="exact"/>
        <w:rPr>
          <w:sz w:val="20"/>
          <w:szCs w:val="20"/>
          <w:color w:val="auto"/>
        </w:rPr>
      </w:pPr>
    </w:p>
    <w:p>
      <w:pPr>
        <w:jc w:val="center"/>
        <w:ind w:right="380"/>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55245</wp:posOffset>
            </wp:positionV>
            <wp:extent cx="718947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940"/>
          </w:cols>
          <w:pgMar w:left="660" w:top="433" w:right="299" w:bottom="1440" w:gutter="0" w:footer="0" w:header="0"/>
        </w:sectPr>
      </w:pPr>
    </w:p>
    <w:bookmarkStart w:id="20" w:name="page21"/>
    <w:bookmarkEnd w:id="20"/>
    <w:p>
      <w:pPr>
        <w:ind w:left="360" w:right="40"/>
        <w:spacing w:after="0" w:line="263" w:lineRule="auto"/>
        <w:rPr>
          <w:sz w:val="20"/>
          <w:szCs w:val="20"/>
          <w:color w:val="auto"/>
        </w:rPr>
      </w:pPr>
      <w:r>
        <w:rPr>
          <w:rFonts w:ascii="Arial" w:cs="Arial" w:eastAsia="Arial" w:hAnsi="Arial"/>
          <w:sz w:val="12"/>
          <w:szCs w:val="12"/>
          <w:color w:val="auto"/>
        </w:rPr>
        <w:t>As a guarantor under the Madryn Credit Agreement, the Company is jointly and severally liable for the obligations (as defined in the Madryn Credit Agreement) thereunder and to secure its obligations, the Company has granted the administrative agent a lien on all of its assets pursuant to the terms of the U.S. Security Agreement. In the event of default under the Madryn Credit Agreement, Madryn may accelerate the obligations and foreclose on the collateral granted by the Company and Venus Concept Ltd. under the U.S. Security Agreement to satisfy the obligations.</w:t>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scheduled principal payments on the outstanding borrowings as of March 31, 2020 are as follows:</w:t>
      </w:r>
    </w:p>
    <w:p>
      <w:pPr>
        <w:spacing w:after="0" w:line="137"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7"/>
              </w:rPr>
              <w:t>As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90"/>
              </w:rPr>
              <w:t>March 31,</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180" w:type="dxa"/>
            <w:vAlign w:val="bottom"/>
            <w:tcBorders>
              <w:bottom w:val="single" w:sz="8" w:color="CFF0FC"/>
            </w:tcBorders>
          </w:tcPr>
          <w:p>
            <w:pPr>
              <w:spacing w:after="0"/>
              <w:rPr>
                <w:sz w:val="9"/>
                <w:szCs w:val="9"/>
                <w:color w:val="auto"/>
              </w:rPr>
            </w:pPr>
          </w:p>
        </w:tc>
        <w:tc>
          <w:tcPr>
            <w:tcW w:w="2320" w:type="dxa"/>
            <w:vAlign w:val="bottom"/>
            <w:tcBorders>
              <w:bottom w:val="single" w:sz="8" w:color="CFF0FC"/>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center"/>
              <w:ind w:right="204"/>
              <w:spacing w:after="0" w:line="114" w:lineRule="exact"/>
              <w:rPr>
                <w:sz w:val="20"/>
                <w:szCs w:val="20"/>
                <w:color w:val="auto"/>
              </w:rPr>
            </w:pPr>
            <w:r>
              <w:rPr>
                <w:rFonts w:ascii="Arial" w:cs="Arial" w:eastAsia="Arial" w:hAnsi="Arial"/>
                <w:sz w:val="10"/>
                <w:szCs w:val="10"/>
                <w:b w:val="1"/>
                <w:bCs w:val="1"/>
                <w:color w:val="auto"/>
                <w:w w:val="80"/>
              </w:rPr>
              <w:t>2020</w:t>
            </w:r>
          </w:p>
        </w:tc>
        <w:tc>
          <w:tcPr>
            <w:tcW w:w="8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shd w:val="clear" w:color="auto" w:fill="CFF0FC"/>
          </w:tcPr>
          <w:p>
            <w:pPr>
              <w:jc w:val="right"/>
              <w:ind w:right="3900"/>
              <w:spacing w:after="0"/>
              <w:rPr>
                <w:sz w:val="20"/>
                <w:szCs w:val="20"/>
                <w:color w:val="auto"/>
              </w:rPr>
            </w:pPr>
            <w:r>
              <w:rPr>
                <w:rFonts w:ascii="Arial" w:cs="Arial" w:eastAsia="Arial" w:hAnsi="Arial"/>
                <w:sz w:val="12"/>
                <w:szCs w:val="12"/>
                <w:color w:val="auto"/>
                <w:w w:val="74"/>
              </w:rPr>
              <w:t>2020</w:t>
            </w:r>
          </w:p>
        </w:tc>
        <w:tc>
          <w:tcPr>
            <w:tcW w:w="25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200" w:type="dxa"/>
            <w:vAlign w:val="bottom"/>
            <w:gridSpan w:val="2"/>
          </w:tcPr>
          <w:p>
            <w:pPr>
              <w:jc w:val="right"/>
              <w:ind w:right="3900"/>
              <w:spacing w:after="0"/>
              <w:rPr>
                <w:sz w:val="20"/>
                <w:szCs w:val="20"/>
                <w:color w:val="auto"/>
              </w:rPr>
            </w:pPr>
            <w:r>
              <w:rPr>
                <w:rFonts w:ascii="Arial" w:cs="Arial" w:eastAsia="Arial" w:hAnsi="Arial"/>
                <w:sz w:val="12"/>
                <w:szCs w:val="12"/>
                <w:color w:val="auto"/>
                <w:w w:val="82"/>
              </w:rPr>
              <w:t>2021</w:t>
            </w:r>
          </w:p>
        </w:tc>
        <w:tc>
          <w:tcPr>
            <w:tcW w:w="2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80" w:type="dxa"/>
            <w:vAlign w:val="bottom"/>
            <w:shd w:val="clear" w:color="auto" w:fill="CFF0FC"/>
          </w:tcPr>
          <w:p>
            <w:pPr>
              <w:jc w:val="right"/>
              <w:ind w:right="3900"/>
              <w:spacing w:after="0"/>
              <w:rPr>
                <w:sz w:val="20"/>
                <w:szCs w:val="20"/>
                <w:color w:val="auto"/>
              </w:rPr>
            </w:pPr>
            <w:r>
              <w:rPr>
                <w:rFonts w:ascii="Arial" w:cs="Arial" w:eastAsia="Arial" w:hAnsi="Arial"/>
                <w:sz w:val="12"/>
                <w:szCs w:val="12"/>
                <w:color w:val="auto"/>
                <w:w w:val="74"/>
              </w:rPr>
              <w:t>2022</w:t>
            </w:r>
          </w:p>
        </w:tc>
        <w:tc>
          <w:tcPr>
            <w:tcW w:w="23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64,602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80" w:type="dxa"/>
            <w:vAlign w:val="bottom"/>
          </w:tcPr>
          <w:p>
            <w:pPr>
              <w:ind w:left="80"/>
              <w:spacing w:after="0"/>
              <w:rPr>
                <w:sz w:val="20"/>
                <w:szCs w:val="20"/>
                <w:color w:val="auto"/>
              </w:rPr>
            </w:pPr>
            <w:r>
              <w:rPr>
                <w:rFonts w:ascii="Arial" w:cs="Arial" w:eastAsia="Arial" w:hAnsi="Arial"/>
                <w:sz w:val="12"/>
                <w:szCs w:val="12"/>
                <w:color w:val="auto"/>
              </w:rPr>
              <w:t>Total</w:t>
            </w:r>
          </w:p>
        </w:tc>
        <w:tc>
          <w:tcPr>
            <w:tcW w:w="2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64,602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80" w:type="dxa"/>
            <w:vAlign w:val="bottom"/>
            <w:shd w:val="clear" w:color="auto" w:fill="CFF0FC"/>
          </w:tcPr>
          <w:p>
            <w:pPr>
              <w:jc w:val="right"/>
              <w:ind w:right="2240"/>
              <w:spacing w:after="0"/>
              <w:rPr>
                <w:sz w:val="20"/>
                <w:szCs w:val="20"/>
                <w:color w:val="auto"/>
              </w:rPr>
            </w:pPr>
            <w:r>
              <w:rPr>
                <w:rFonts w:ascii="Arial" w:cs="Arial" w:eastAsia="Arial" w:hAnsi="Arial"/>
                <w:sz w:val="12"/>
                <w:szCs w:val="12"/>
                <w:color w:val="auto"/>
                <w:w w:val="86"/>
              </w:rPr>
              <w:t>Less: debt discounts and issuance costs</w:t>
            </w:r>
          </w:p>
        </w:tc>
        <w:tc>
          <w:tcPr>
            <w:tcW w:w="23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(1,341)</w:t>
            </w:r>
          </w:p>
        </w:tc>
        <w:tc>
          <w:tcPr>
            <w:tcW w:w="0" w:type="dxa"/>
            <w:vAlign w:val="bottom"/>
          </w:tcPr>
          <w:p>
            <w:pPr>
              <w:spacing w:after="0"/>
              <w:rPr>
                <w:sz w:val="1"/>
                <w:szCs w:val="1"/>
                <w:color w:val="auto"/>
              </w:rPr>
            </w:pPr>
          </w:p>
        </w:tc>
      </w:tr>
      <w:tr>
        <w:trPr>
          <w:trHeight w:val="153"/>
        </w:trPr>
        <w:tc>
          <w:tcPr>
            <w:tcW w:w="4200" w:type="dxa"/>
            <w:vAlign w:val="bottom"/>
            <w:gridSpan w:val="2"/>
          </w:tcPr>
          <w:p>
            <w:pPr>
              <w:jc w:val="right"/>
              <w:ind w:right="3140"/>
              <w:spacing w:after="0"/>
              <w:rPr>
                <w:sz w:val="20"/>
                <w:szCs w:val="20"/>
                <w:color w:val="auto"/>
              </w:rPr>
            </w:pPr>
            <w:r>
              <w:rPr>
                <w:rFonts w:ascii="Arial" w:cs="Arial" w:eastAsia="Arial" w:hAnsi="Arial"/>
                <w:sz w:val="12"/>
                <w:szCs w:val="12"/>
                <w:color w:val="auto"/>
                <w:w w:val="89"/>
              </w:rPr>
              <w:t>Less: current portion</w:t>
            </w:r>
          </w:p>
        </w:tc>
        <w:tc>
          <w:tcPr>
            <w:tcW w:w="2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vMerge w:val="restart"/>
            <w:shd w:val="clear" w:color="auto" w:fill="CFF0FC"/>
          </w:tcPr>
          <w:p>
            <w:pPr>
              <w:ind w:left="80"/>
              <w:spacing w:after="0"/>
              <w:rPr>
                <w:sz w:val="20"/>
                <w:szCs w:val="20"/>
                <w:color w:val="auto"/>
              </w:rPr>
            </w:pPr>
            <w:r>
              <w:rPr>
                <w:rFonts w:ascii="Arial" w:cs="Arial" w:eastAsia="Arial" w:hAnsi="Arial"/>
                <w:sz w:val="12"/>
                <w:szCs w:val="12"/>
                <w:color w:val="auto"/>
              </w:rPr>
              <w:t>Non-current portion</w:t>
            </w:r>
          </w:p>
        </w:tc>
        <w:tc>
          <w:tcPr>
            <w:tcW w:w="23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vMerge w:val="continue"/>
            <w:shd w:val="clear" w:color="auto" w:fill="CFF0FC"/>
          </w:tcPr>
          <w:p>
            <w:pPr>
              <w:spacing w:after="0"/>
              <w:rPr>
                <w:sz w:val="12"/>
                <w:szCs w:val="12"/>
                <w:color w:val="auto"/>
              </w:rPr>
            </w:pPr>
          </w:p>
        </w:tc>
        <w:tc>
          <w:tcPr>
            <w:tcW w:w="25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63,261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shd w:val="clear" w:color="auto" w:fill="CFF0FC"/>
          </w:tcPr>
          <w:p>
            <w:pPr>
              <w:spacing w:after="0"/>
              <w:rPr>
                <w:sz w:val="2"/>
                <w:szCs w:val="2"/>
                <w:color w:val="auto"/>
              </w:rPr>
            </w:pPr>
          </w:p>
        </w:tc>
        <w:tc>
          <w:tcPr>
            <w:tcW w:w="232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auto"/>
        </w:rPr>
        <w:t>10. CREDIT FACILITY</w:t>
      </w:r>
    </w:p>
    <w:p>
      <w:pPr>
        <w:spacing w:after="0" w:line="172" w:lineRule="exact"/>
        <w:rPr>
          <w:sz w:val="20"/>
          <w:szCs w:val="20"/>
          <w:color w:val="auto"/>
        </w:rPr>
      </w:pPr>
    </w:p>
    <w:p>
      <w:pPr>
        <w:jc w:val="both"/>
        <w:ind w:left="360" w:right="200"/>
        <w:spacing w:after="0" w:line="298" w:lineRule="auto"/>
        <w:rPr>
          <w:sz w:val="20"/>
          <w:szCs w:val="20"/>
          <w:color w:val="auto"/>
        </w:rPr>
      </w:pPr>
      <w:r>
        <w:rPr>
          <w:rFonts w:ascii="Arial" w:cs="Arial" w:eastAsia="Arial" w:hAnsi="Arial"/>
          <w:sz w:val="11"/>
          <w:szCs w:val="11"/>
          <w:color w:val="auto"/>
        </w:rPr>
        <w:t>The Company has an agreement with City National Bank of Florida (“CNB”) pursuant to which CNB agreed to provide a revolving credit facility to certain of the Company’s subsidiaries in the maximum principal amount of $10,000 ($10,000 in 2019, starting from April 2019), to be used to finance working capital requirements (the “Credit Facility”). As of March 31, 2020, the Company had $8,212 outstanding ($7,789 as of December 31, 2019) under the Credit Facility, which bears interest at LIBOR rate plus 3.25%, which amounted to a weighted average of 4.64% (5.90% for the three months ended March 31, 2019).</w:t>
      </w:r>
    </w:p>
    <w:p>
      <w:pPr>
        <w:spacing w:after="0" w:line="123" w:lineRule="exact"/>
        <w:rPr>
          <w:sz w:val="20"/>
          <w:szCs w:val="20"/>
          <w:color w:val="auto"/>
        </w:rPr>
      </w:pPr>
    </w:p>
    <w:p>
      <w:pPr>
        <w:ind w:left="360" w:right="60"/>
        <w:spacing w:after="0" w:line="256" w:lineRule="auto"/>
        <w:rPr>
          <w:sz w:val="20"/>
          <w:szCs w:val="20"/>
          <w:color w:val="auto"/>
        </w:rPr>
      </w:pPr>
      <w:r>
        <w:rPr>
          <w:rFonts w:ascii="Arial" w:cs="Arial" w:eastAsia="Arial" w:hAnsi="Arial"/>
          <w:sz w:val="12"/>
          <w:szCs w:val="12"/>
          <w:color w:val="auto"/>
        </w:rPr>
        <w:t>On March 20, 2020, the Company entered into a Second Amended and Restated Loan Agreement as a borrower with CNB, as amended, pursuant to which CNB agreed to make certain loans and other financial accommodations to the Company, and certain of its subsidiaries. In connection with the CNB Credit Facility, the Company also entered into (i) a Second Amended and Restated Guaranty of Payment and Performance with CNB dated as of March 20, 2020, (the “CNB Guaranty”), pursuant to which the Company agreed to guaranty the obligations under the CNB Credit Facility and (ii) a Security Agreement with CNB dated as of March 20, 2020, (the “CNB Security Agreement”), pursuant to which the Company agreed to grant CNB a security interest, in substantially all of its assets, to secure the obligations under the CNB Credit Facility. Borrowings under the CNB Credit Facility are secured by substantially all of the assets of the Company and its subsidiaries and the CNB Guaranty.</w:t>
      </w:r>
    </w:p>
    <w:p>
      <w:pPr>
        <w:spacing w:after="0" w:line="146" w:lineRule="exact"/>
        <w:rPr>
          <w:sz w:val="20"/>
          <w:szCs w:val="20"/>
          <w:color w:val="auto"/>
        </w:rPr>
      </w:pPr>
    </w:p>
    <w:p>
      <w:pPr>
        <w:ind w:left="360" w:right="20"/>
        <w:spacing w:after="0" w:line="323" w:lineRule="auto"/>
        <w:rPr>
          <w:sz w:val="20"/>
          <w:szCs w:val="20"/>
          <w:color w:val="auto"/>
        </w:rPr>
      </w:pPr>
      <w:r>
        <w:rPr>
          <w:rFonts w:ascii="Arial" w:cs="Arial" w:eastAsia="Arial" w:hAnsi="Arial"/>
          <w:sz w:val="11"/>
          <w:szCs w:val="11"/>
          <w:color w:val="auto"/>
        </w:rPr>
        <w:t>The CNB Credit Facility requires the Company to maintain either a minimum cash balance in deposit accounts or a maximum total liability to tangible net worth ratio and a minimum debt service coverage ratio. As of March 31, 2020 and December 31, 2019, the Company was in compliance with all required covenants. An event of default under this agreement would cause a default under the Madryn Credit Agreement (see Note 9).</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auto"/>
        </w:rPr>
        <w:t>11. COMMON STOCK RESERVED FOR ISSUANCE</w:t>
      </w:r>
    </w:p>
    <w:p>
      <w:pPr>
        <w:spacing w:after="0" w:line="172" w:lineRule="exact"/>
        <w:rPr>
          <w:sz w:val="20"/>
          <w:szCs w:val="20"/>
          <w:color w:val="auto"/>
        </w:rPr>
      </w:pPr>
    </w:p>
    <w:p>
      <w:pPr>
        <w:ind w:left="360" w:right="240"/>
        <w:spacing w:after="0" w:line="276" w:lineRule="auto"/>
        <w:rPr>
          <w:sz w:val="20"/>
          <w:szCs w:val="20"/>
          <w:color w:val="auto"/>
        </w:rPr>
      </w:pPr>
      <w:r>
        <w:rPr>
          <w:rFonts w:ascii="Arial" w:cs="Arial" w:eastAsia="Arial" w:hAnsi="Arial"/>
          <w:sz w:val="12"/>
          <w:szCs w:val="12"/>
          <w:color w:val="auto"/>
        </w:rPr>
        <w:t>The Company is required to reserve and keep available out of its authorized but unissued shares of common stock a number of shares sufficient to affect the conversion of all outstanding shares of convertible preferred stock, plus options granted and available for grant under the incentive plans.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700" w:type="dxa"/>
            <w:vAlign w:val="bottom"/>
          </w:tcPr>
          <w:p>
            <w:pPr>
              <w:spacing w:after="0"/>
              <w:rPr>
                <w:sz w:val="10"/>
                <w:szCs w:val="10"/>
                <w:color w:val="auto"/>
              </w:rPr>
            </w:pPr>
          </w:p>
        </w:tc>
        <w:tc>
          <w:tcPr>
            <w:tcW w:w="3780" w:type="dxa"/>
            <w:vAlign w:val="bottom"/>
            <w:tcBorders>
              <w:bottom w:val="single" w:sz="8" w:color="CFF0FC"/>
            </w:tcBorders>
          </w:tcPr>
          <w:p>
            <w:pPr>
              <w:spacing w:after="0"/>
              <w:rPr>
                <w:sz w:val="10"/>
                <w:szCs w:val="10"/>
                <w:color w:val="auto"/>
              </w:rPr>
            </w:pPr>
          </w:p>
        </w:tc>
        <w:tc>
          <w:tcPr>
            <w:tcW w:w="560" w:type="dxa"/>
            <w:vAlign w:val="bottom"/>
            <w:tcBorders>
              <w:bottom w:val="single" w:sz="8" w:color="CFF0FC"/>
            </w:tcBorders>
          </w:tcPr>
          <w:p>
            <w:pPr>
              <w:spacing w:after="0"/>
              <w:rPr>
                <w:sz w:val="10"/>
                <w:szCs w:val="10"/>
                <w:color w:val="auto"/>
              </w:rPr>
            </w:pPr>
          </w:p>
        </w:tc>
        <w:tc>
          <w:tcPr>
            <w:tcW w:w="1620" w:type="dxa"/>
            <w:vAlign w:val="bottom"/>
            <w:tcBorders>
              <w:bottom w:val="single" w:sz="8" w:color="auto"/>
            </w:tcBorders>
          </w:tcPr>
          <w:p>
            <w:pPr>
              <w:jc w:val="right"/>
              <w:ind w:right="446"/>
              <w:spacing w:after="0"/>
              <w:rPr>
                <w:sz w:val="20"/>
                <w:szCs w:val="20"/>
                <w:color w:val="auto"/>
              </w:rPr>
            </w:pPr>
            <w:r>
              <w:rPr>
                <w:rFonts w:ascii="Arial" w:cs="Arial" w:eastAsia="Arial" w:hAnsi="Arial"/>
                <w:sz w:val="10"/>
                <w:szCs w:val="10"/>
                <w:b w:val="1"/>
                <w:bCs w:val="1"/>
                <w:color w:val="auto"/>
              </w:rPr>
              <w:t>March 31, 2020</w:t>
            </w:r>
          </w:p>
        </w:tc>
        <w:tc>
          <w:tcPr>
            <w:tcW w:w="240" w:type="dxa"/>
            <w:vAlign w:val="bottom"/>
            <w:tcBorders>
              <w:bottom w:val="single" w:sz="8" w:color="CFF0FC"/>
            </w:tcBorders>
          </w:tcPr>
          <w:p>
            <w:pPr>
              <w:spacing w:after="0"/>
              <w:rPr>
                <w:sz w:val="10"/>
                <w:szCs w:val="10"/>
                <w:color w:val="auto"/>
              </w:rPr>
            </w:pPr>
          </w:p>
        </w:tc>
        <w:tc>
          <w:tcPr>
            <w:tcW w:w="1620" w:type="dxa"/>
            <w:vAlign w:val="bottom"/>
            <w:tcBorders>
              <w:bottom w:val="single" w:sz="8" w:color="auto"/>
            </w:tcBorders>
          </w:tcPr>
          <w:p>
            <w:pPr>
              <w:jc w:val="right"/>
              <w:ind w:right="382"/>
              <w:spacing w:after="0"/>
              <w:rPr>
                <w:sz w:val="20"/>
                <w:szCs w:val="20"/>
                <w:color w:val="auto"/>
              </w:rPr>
            </w:pPr>
            <w:r>
              <w:rPr>
                <w:rFonts w:ascii="Arial" w:cs="Arial" w:eastAsia="Arial" w:hAnsi="Arial"/>
                <w:sz w:val="10"/>
                <w:szCs w:val="10"/>
                <w:b w:val="1"/>
                <w:bCs w:val="1"/>
                <w:color w:val="auto"/>
              </w:rPr>
              <w:t>December 31, 2019</w:t>
            </w:r>
          </w:p>
        </w:tc>
        <w:tc>
          <w:tcPr>
            <w:tcW w:w="80" w:type="dxa"/>
            <w:vAlign w:val="bottom"/>
            <w:tcBorders>
              <w:bottom w:val="single" w:sz="8" w:color="CFF0FC"/>
            </w:tcBorders>
          </w:tcPr>
          <w:p>
            <w:pPr>
              <w:spacing w:after="0"/>
              <w:rPr>
                <w:sz w:val="10"/>
                <w:szCs w:val="10"/>
                <w:color w:val="auto"/>
              </w:rPr>
            </w:pPr>
          </w:p>
        </w:tc>
        <w:tc>
          <w:tcPr>
            <w:tcW w:w="1720" w:type="dxa"/>
            <w:vAlign w:val="bottom"/>
          </w:tcPr>
          <w:p>
            <w:pPr>
              <w:spacing w:after="0"/>
              <w:rPr>
                <w:sz w:val="10"/>
                <w:szCs w:val="10"/>
                <w:color w:val="auto"/>
              </w:rPr>
            </w:pPr>
          </w:p>
        </w:tc>
      </w:tr>
      <w:tr>
        <w:trPr>
          <w:trHeight w:val="142"/>
        </w:trPr>
        <w:tc>
          <w:tcPr>
            <w:tcW w:w="1700" w:type="dxa"/>
            <w:vAlign w:val="bottom"/>
          </w:tcPr>
          <w:p>
            <w:pPr>
              <w:spacing w:after="0"/>
              <w:rPr>
                <w:sz w:val="12"/>
                <w:szCs w:val="12"/>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2"/>
                <w:szCs w:val="12"/>
                <w:color w:val="auto"/>
              </w:rPr>
              <w:t>Outstanding common stock warrants</w:t>
            </w:r>
          </w:p>
        </w:tc>
        <w:tc>
          <w:tcPr>
            <w:tcW w:w="21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10,665,067</w:t>
            </w:r>
          </w:p>
        </w:tc>
        <w:tc>
          <w:tcPr>
            <w:tcW w:w="240" w:type="dxa"/>
            <w:vAlign w:val="bottom"/>
            <w:shd w:val="clear" w:color="auto" w:fill="CFF0FC"/>
          </w:tcPr>
          <w:p>
            <w:pPr>
              <w:spacing w:after="0"/>
              <w:rPr>
                <w:sz w:val="12"/>
                <w:szCs w:val="12"/>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3,990,067</w:t>
            </w:r>
          </w:p>
        </w:tc>
        <w:tc>
          <w:tcPr>
            <w:tcW w:w="80" w:type="dxa"/>
            <w:vAlign w:val="bottom"/>
            <w:shd w:val="clear" w:color="auto" w:fill="CFF0FC"/>
          </w:tcPr>
          <w:p>
            <w:pPr>
              <w:spacing w:after="0"/>
              <w:rPr>
                <w:sz w:val="12"/>
                <w:szCs w:val="12"/>
                <w:color w:val="auto"/>
              </w:rPr>
            </w:pPr>
          </w:p>
        </w:tc>
        <w:tc>
          <w:tcPr>
            <w:tcW w:w="1720" w:type="dxa"/>
            <w:vAlign w:val="bottom"/>
          </w:tcPr>
          <w:p>
            <w:pPr>
              <w:spacing w:after="0"/>
              <w:rPr>
                <w:sz w:val="12"/>
                <w:szCs w:val="12"/>
                <w:color w:val="auto"/>
              </w:rPr>
            </w:pPr>
          </w:p>
        </w:tc>
      </w:tr>
      <w:tr>
        <w:trPr>
          <w:trHeight w:val="153"/>
        </w:trPr>
        <w:tc>
          <w:tcPr>
            <w:tcW w:w="5480" w:type="dxa"/>
            <w:vAlign w:val="bottom"/>
            <w:gridSpan w:val="2"/>
          </w:tcPr>
          <w:p>
            <w:pPr>
              <w:ind w:left="1680"/>
              <w:spacing w:after="0"/>
              <w:rPr>
                <w:sz w:val="20"/>
                <w:szCs w:val="20"/>
                <w:color w:val="auto"/>
              </w:rPr>
            </w:pPr>
            <w:r>
              <w:rPr>
                <w:rFonts w:ascii="Arial" w:cs="Arial" w:eastAsia="Arial" w:hAnsi="Arial"/>
                <w:sz w:val="12"/>
                <w:szCs w:val="12"/>
                <w:color w:val="auto"/>
              </w:rPr>
              <w:t>Outstanding stock options</w:t>
            </w:r>
          </w:p>
        </w:tc>
        <w:tc>
          <w:tcPr>
            <w:tcW w:w="2180" w:type="dxa"/>
            <w:vAlign w:val="bottom"/>
            <w:gridSpan w:val="2"/>
          </w:tcPr>
          <w:p>
            <w:pPr>
              <w:jc w:val="right"/>
              <w:spacing w:after="0"/>
              <w:rPr>
                <w:sz w:val="20"/>
                <w:szCs w:val="20"/>
                <w:color w:val="auto"/>
              </w:rPr>
            </w:pPr>
            <w:r>
              <w:rPr>
                <w:rFonts w:ascii="Arial" w:cs="Arial" w:eastAsia="Arial" w:hAnsi="Arial"/>
                <w:sz w:val="12"/>
                <w:szCs w:val="12"/>
                <w:color w:val="auto"/>
              </w:rPr>
              <w:t>4,783,483</w:t>
            </w:r>
          </w:p>
        </w:tc>
        <w:tc>
          <w:tcPr>
            <w:tcW w:w="2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3,278,439</w:t>
            </w: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53"/>
        </w:trPr>
        <w:tc>
          <w:tcPr>
            <w:tcW w:w="1700" w:type="dxa"/>
            <w:vAlign w:val="bottom"/>
          </w:tcPr>
          <w:p>
            <w:pPr>
              <w:spacing w:after="0"/>
              <w:rPr>
                <w:sz w:val="13"/>
                <w:szCs w:val="13"/>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2"/>
                <w:szCs w:val="12"/>
                <w:color w:val="auto"/>
                <w:w w:val="92"/>
              </w:rPr>
              <w:t>Common stock to be issued upon conversion of the Series A Preferred Stock</w:t>
            </w:r>
          </w:p>
        </w:tc>
        <w:tc>
          <w:tcPr>
            <w:tcW w:w="21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6,600,000</w:t>
            </w:r>
          </w:p>
        </w:tc>
        <w:tc>
          <w:tcPr>
            <w:tcW w:w="24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720" w:type="dxa"/>
            <w:vAlign w:val="bottom"/>
          </w:tcPr>
          <w:p>
            <w:pPr>
              <w:spacing w:after="0"/>
              <w:rPr>
                <w:sz w:val="13"/>
                <w:szCs w:val="13"/>
                <w:color w:val="auto"/>
              </w:rPr>
            </w:pPr>
          </w:p>
        </w:tc>
      </w:tr>
      <w:tr>
        <w:trPr>
          <w:trHeight w:val="153"/>
        </w:trPr>
        <w:tc>
          <w:tcPr>
            <w:tcW w:w="5480" w:type="dxa"/>
            <w:vAlign w:val="bottom"/>
            <w:gridSpan w:val="2"/>
          </w:tcPr>
          <w:p>
            <w:pPr>
              <w:ind w:left="1680"/>
              <w:spacing w:after="0"/>
              <w:rPr>
                <w:sz w:val="20"/>
                <w:szCs w:val="20"/>
                <w:color w:val="auto"/>
              </w:rPr>
            </w:pPr>
            <w:r>
              <w:rPr>
                <w:rFonts w:ascii="Arial" w:cs="Arial" w:eastAsia="Arial" w:hAnsi="Arial"/>
                <w:sz w:val="12"/>
                <w:szCs w:val="12"/>
                <w:color w:val="auto"/>
              </w:rPr>
              <w:t>Shares reserved for future option grants</w:t>
            </w:r>
          </w:p>
        </w:tc>
        <w:tc>
          <w:tcPr>
            <w:tcW w:w="2180" w:type="dxa"/>
            <w:vAlign w:val="bottom"/>
            <w:gridSpan w:val="2"/>
          </w:tcPr>
          <w:p>
            <w:pPr>
              <w:jc w:val="right"/>
              <w:spacing w:after="0"/>
              <w:rPr>
                <w:sz w:val="20"/>
                <w:szCs w:val="20"/>
                <w:color w:val="auto"/>
              </w:rPr>
            </w:pPr>
            <w:r>
              <w:rPr>
                <w:rFonts w:ascii="Arial" w:cs="Arial" w:eastAsia="Arial" w:hAnsi="Arial"/>
                <w:sz w:val="12"/>
                <w:szCs w:val="12"/>
                <w:color w:val="auto"/>
              </w:rPr>
              <w:t>358,488</w:t>
            </w:r>
          </w:p>
        </w:tc>
        <w:tc>
          <w:tcPr>
            <w:tcW w:w="2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742,828</w:t>
            </w: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62"/>
        </w:trPr>
        <w:tc>
          <w:tcPr>
            <w:tcW w:w="1700" w:type="dxa"/>
            <w:vAlign w:val="bottom"/>
          </w:tcPr>
          <w:p>
            <w:pPr>
              <w:spacing w:after="0"/>
              <w:rPr>
                <w:sz w:val="14"/>
                <w:szCs w:val="14"/>
                <w:color w:val="auto"/>
              </w:rPr>
            </w:pPr>
          </w:p>
        </w:tc>
        <w:tc>
          <w:tcPr>
            <w:tcW w:w="3780" w:type="dxa"/>
            <w:vAlign w:val="bottom"/>
            <w:tcBorders>
              <w:top w:val="single" w:sz="8" w:color="CFF0FC"/>
              <w:bottom w:val="single" w:sz="8" w:color="CFF0FC"/>
            </w:tcBorders>
            <w:shd w:val="clear" w:color="auto" w:fill="CFF0FC"/>
          </w:tcPr>
          <w:p>
            <w:pPr>
              <w:ind w:left="80"/>
              <w:spacing w:after="0"/>
              <w:rPr>
                <w:sz w:val="20"/>
                <w:szCs w:val="20"/>
                <w:color w:val="auto"/>
              </w:rPr>
            </w:pPr>
            <w:r>
              <w:rPr>
                <w:rFonts w:ascii="Arial" w:cs="Arial" w:eastAsia="Arial" w:hAnsi="Arial"/>
                <w:sz w:val="12"/>
                <w:szCs w:val="12"/>
                <w:color w:val="auto"/>
              </w:rPr>
              <w:t>Total common stock reserved for issuance</w:t>
            </w:r>
          </w:p>
        </w:tc>
        <w:tc>
          <w:tcPr>
            <w:tcW w:w="560" w:type="dxa"/>
            <w:vAlign w:val="bottom"/>
            <w:tcBorders>
              <w:top w:val="single" w:sz="8" w:color="CFF0FC"/>
              <w:bottom w:val="single" w:sz="8" w:color="CFF0FC"/>
            </w:tcBorders>
            <w:shd w:val="clear" w:color="auto" w:fill="CFF0FC"/>
          </w:tcPr>
          <w:p>
            <w:pPr>
              <w:spacing w:after="0"/>
              <w:rPr>
                <w:sz w:val="14"/>
                <w:szCs w:val="14"/>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22,407,038</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8,011,334</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720" w:type="dxa"/>
            <w:vAlign w:val="bottom"/>
          </w:tcPr>
          <w:p>
            <w:pPr>
              <w:spacing w:after="0"/>
              <w:rPr>
                <w:sz w:val="14"/>
                <w:szCs w:val="14"/>
                <w:color w:val="auto"/>
              </w:rPr>
            </w:pPr>
          </w:p>
        </w:tc>
      </w:tr>
      <w:tr>
        <w:trPr>
          <w:trHeight w:val="437"/>
        </w:trPr>
        <w:tc>
          <w:tcPr>
            <w:tcW w:w="17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60" w:type="dxa"/>
            <w:vAlign w:val="bottom"/>
          </w:tcPr>
          <w:p>
            <w:pPr>
              <w:jc w:val="right"/>
              <w:ind w:right="280"/>
              <w:spacing w:after="0"/>
              <w:rPr>
                <w:sz w:val="20"/>
                <w:szCs w:val="20"/>
                <w:color w:val="auto"/>
              </w:rPr>
            </w:pPr>
            <w:r>
              <w:rPr>
                <w:rFonts w:ascii="Arial" w:cs="Arial" w:eastAsia="Arial" w:hAnsi="Arial"/>
                <w:sz w:val="12"/>
                <w:szCs w:val="12"/>
                <w:color w:val="auto"/>
              </w:rPr>
              <w:t>20</w:t>
            </w: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72"/>
        </w:trPr>
        <w:tc>
          <w:tcPr>
            <w:tcW w:w="1700" w:type="dxa"/>
            <w:vAlign w:val="bottom"/>
            <w:tcBorders>
              <w:bottom w:val="single" w:sz="8" w:color="9A9A9A"/>
            </w:tcBorders>
          </w:tcPr>
          <w:p>
            <w:pPr>
              <w:spacing w:after="0"/>
              <w:rPr>
                <w:sz w:val="6"/>
                <w:szCs w:val="6"/>
                <w:color w:val="auto"/>
              </w:rPr>
            </w:pPr>
          </w:p>
        </w:tc>
        <w:tc>
          <w:tcPr>
            <w:tcW w:w="37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6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6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75" w:right="279" w:bottom="1440" w:gutter="0" w:footer="0" w:header="0"/>
        </w:sectPr>
      </w:pPr>
    </w:p>
    <w:bookmarkStart w:id="21" w:name="page22"/>
    <w:bookmarkEnd w:id="21"/>
    <w:p>
      <w:pPr>
        <w:ind w:left="160"/>
        <w:spacing w:after="0"/>
        <w:rPr>
          <w:sz w:val="20"/>
          <w:szCs w:val="20"/>
          <w:color w:val="auto"/>
        </w:rPr>
      </w:pPr>
      <w:r>
        <w:rPr>
          <w:rFonts w:ascii="Arial" w:cs="Arial" w:eastAsia="Arial" w:hAnsi="Arial"/>
          <w:sz w:val="12"/>
          <w:szCs w:val="12"/>
          <w:b w:val="1"/>
          <w:bCs w:val="1"/>
          <w:color w:val="auto"/>
        </w:rPr>
        <w:t>12. STOCKHOLDERS EQUITY</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The Company’s common stock confer upon their holders the following rights:</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•The right to participate and vote in the Company’s stockholder meetings, whether annual or special. Each share will entitle its holder, when attending and participating in the voting in person or via agent or letter, to one vote;</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1"/>
          <w:szCs w:val="11"/>
          <w:color w:val="auto"/>
        </w:rPr>
        <w:t>•The right to a share in the distribution of dividends, whether in cash or in the form of bonus shares, the distribution of assets or any other distribution pro rata to the par value of the shares held by them; and</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right to a share in the distribution of the Company’s excess assets upon liquidation pro rata to the par value of the shares held by them.</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Series A preferred stock</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1"/>
          <w:szCs w:val="11"/>
          <w:color w:val="auto"/>
        </w:rPr>
        <w:t>As noted in Note 1 above, in March 2020, the Company issued and sold to certain of the Investors an aggregate 660,000 shares of Series A Preferred Stock. The terms of the Series A Preferred Stock are governed by a</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Certificate of Designation filed by the Company with the Secretary of State of the State of Delaware on March 18, 2020. The following is a summary of the material terms of the Series A Preferred Stock:</w:t>
      </w:r>
    </w:p>
    <w:p>
      <w:pPr>
        <w:spacing w:after="0" w:line="141" w:lineRule="exact"/>
        <w:rPr>
          <w:sz w:val="20"/>
          <w:szCs w:val="20"/>
          <w:color w:val="auto"/>
        </w:rPr>
      </w:pPr>
    </w:p>
    <w:p>
      <w:pPr>
        <w:ind w:left="900" w:right="420" w:hanging="361"/>
        <w:spacing w:after="0" w:line="276" w:lineRule="auto"/>
        <w:tabs>
          <w:tab w:leader="none" w:pos="90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 xml:space="preserve">Voting Rights. </w:t>
      </w:r>
      <w:r>
        <w:rPr>
          <w:rFonts w:ascii="Arial" w:cs="Arial" w:eastAsia="Arial" w:hAnsi="Arial"/>
          <w:sz w:val="12"/>
          <w:szCs w:val="12"/>
          <w:color w:val="auto"/>
        </w:rPr>
        <w:t>The Series A Preferred Stock has no voting rights except as required by law and except that the consent of the holders of a majority of outstanding shares of Series A Preferred Stock will be</w:t>
      </w:r>
      <w:r>
        <w:rPr>
          <w:rFonts w:ascii="Arial" w:cs="Arial" w:eastAsia="Arial" w:hAnsi="Arial"/>
          <w:sz w:val="12"/>
          <w:szCs w:val="12"/>
          <w:i w:val="1"/>
          <w:iCs w:val="1"/>
          <w:color w:val="auto"/>
        </w:rPr>
        <w:t xml:space="preserve"> </w:t>
      </w:r>
      <w:r>
        <w:rPr>
          <w:rFonts w:ascii="Arial" w:cs="Arial" w:eastAsia="Arial" w:hAnsi="Arial"/>
          <w:sz w:val="12"/>
          <w:szCs w:val="12"/>
          <w:color w:val="auto"/>
        </w:rPr>
        <w:t>required to amend the terms of the Series A Preferred Stock or take certain other actions with respect to the Series A Preferred Stock.</w:t>
      </w:r>
    </w:p>
    <w:p>
      <w:pPr>
        <w:spacing w:after="0" w:line="114" w:lineRule="exact"/>
        <w:rPr>
          <w:rFonts w:ascii="Arial" w:cs="Arial" w:eastAsia="Arial" w:hAnsi="Arial"/>
          <w:sz w:val="12"/>
          <w:szCs w:val="12"/>
          <w:color w:val="auto"/>
        </w:rPr>
      </w:pPr>
    </w:p>
    <w:p>
      <w:pPr>
        <w:ind w:left="900" w:hanging="361"/>
        <w:spacing w:after="0"/>
        <w:tabs>
          <w:tab w:leader="none" w:pos="90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 xml:space="preserve">Liquidation. </w:t>
      </w:r>
      <w:r>
        <w:rPr>
          <w:rFonts w:ascii="Arial" w:cs="Arial" w:eastAsia="Arial" w:hAnsi="Arial"/>
          <w:sz w:val="12"/>
          <w:szCs w:val="12"/>
          <w:color w:val="auto"/>
        </w:rPr>
        <w:t>The Series A Preferred Stock does not have a preference upon any liquidation, dissolution or winding-up of the Company.</w:t>
      </w:r>
    </w:p>
    <w:p>
      <w:pPr>
        <w:spacing w:after="0" w:line="150" w:lineRule="exact"/>
        <w:rPr>
          <w:rFonts w:ascii="Arial" w:cs="Arial" w:eastAsia="Arial" w:hAnsi="Arial"/>
          <w:sz w:val="12"/>
          <w:szCs w:val="12"/>
          <w:color w:val="auto"/>
        </w:rPr>
      </w:pPr>
    </w:p>
    <w:p>
      <w:pPr>
        <w:ind w:left="900" w:hanging="361"/>
        <w:spacing w:after="0" w:line="256" w:lineRule="auto"/>
        <w:tabs>
          <w:tab w:leader="none" w:pos="90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Conversion</w:t>
      </w:r>
      <w:r>
        <w:rPr>
          <w:rFonts w:ascii="Arial" w:cs="Arial" w:eastAsia="Arial" w:hAnsi="Arial"/>
          <w:sz w:val="12"/>
          <w:szCs w:val="12"/>
          <w:color w:val="auto"/>
        </w:rPr>
        <w:t>. The Series A Preferred Stock is automatically convertible into shares of common stock, based on an initial conversion ratio of 1:10, as adjusted in accordance with the Certificate of Designation, upon</w:t>
      </w:r>
      <w:r>
        <w:rPr>
          <w:rFonts w:ascii="Arial" w:cs="Arial" w:eastAsia="Arial" w:hAnsi="Arial"/>
          <w:sz w:val="12"/>
          <w:szCs w:val="12"/>
          <w:i w:val="1"/>
          <w:iCs w:val="1"/>
          <w:color w:val="auto"/>
        </w:rPr>
        <w:t xml:space="preserve"> </w:t>
      </w:r>
      <w:r>
        <w:rPr>
          <w:rFonts w:ascii="Arial" w:cs="Arial" w:eastAsia="Arial" w:hAnsi="Arial"/>
          <w:sz w:val="12"/>
          <w:szCs w:val="12"/>
          <w:color w:val="auto"/>
        </w:rPr>
        <w:t>receipt of the approval of the Company’s stockholders. The Company is not permitted to issue any shares of common stock upon conversion of the Series A Preferred Stock to the extent that the issuance of such shares of common stock would exceed 19.99% of the Company’s outstanding shares of common stock as of the date of the initial issuance of the Series A Preferred Stock, unless the Company obtains shareholder approval to issue more than such 19.99% (the “Conversion Cap”). The Conversion Cap will be appropriately adjusted for any reorganization, recapitalization, non-cash dividend, stock split, reverse stock split or other similar transaction.</w:t>
      </w:r>
    </w:p>
    <w:p>
      <w:pPr>
        <w:spacing w:after="0" w:line="128" w:lineRule="exact"/>
        <w:rPr>
          <w:rFonts w:ascii="Arial" w:cs="Arial" w:eastAsia="Arial" w:hAnsi="Arial"/>
          <w:sz w:val="12"/>
          <w:szCs w:val="12"/>
          <w:color w:val="auto"/>
        </w:rPr>
      </w:pPr>
    </w:p>
    <w:p>
      <w:pPr>
        <w:ind w:left="900" w:hanging="361"/>
        <w:spacing w:after="0"/>
        <w:tabs>
          <w:tab w:leader="none" w:pos="90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 xml:space="preserve">Dividends. </w:t>
      </w:r>
      <w:r>
        <w:rPr>
          <w:rFonts w:ascii="Arial" w:cs="Arial" w:eastAsia="Arial" w:hAnsi="Arial"/>
          <w:sz w:val="12"/>
          <w:szCs w:val="12"/>
          <w:color w:val="auto"/>
        </w:rPr>
        <w:t>No dividends will be paid on the outstanding shares of Series A Preferred Stock.</w:t>
      </w:r>
    </w:p>
    <w:p>
      <w:pPr>
        <w:spacing w:after="0" w:line="150" w:lineRule="exact"/>
        <w:rPr>
          <w:rFonts w:ascii="Arial" w:cs="Arial" w:eastAsia="Arial" w:hAnsi="Arial"/>
          <w:sz w:val="12"/>
          <w:szCs w:val="12"/>
          <w:color w:val="auto"/>
        </w:rPr>
      </w:pPr>
    </w:p>
    <w:p>
      <w:pPr>
        <w:ind w:left="900" w:hanging="361"/>
        <w:spacing w:after="0"/>
        <w:tabs>
          <w:tab w:leader="none" w:pos="90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Redemption</w:t>
      </w:r>
      <w:r>
        <w:rPr>
          <w:rFonts w:ascii="Arial" w:cs="Arial" w:eastAsia="Arial" w:hAnsi="Arial"/>
          <w:sz w:val="12"/>
          <w:szCs w:val="12"/>
          <w:color w:val="auto"/>
        </w:rPr>
        <w:t>. The Series A Preferred Stock is not redeemable at the election of the Company or at the election of the holder.</w:t>
      </w:r>
    </w:p>
    <w:p>
      <w:pPr>
        <w:spacing w:after="0" w:line="150" w:lineRule="exact"/>
        <w:rPr>
          <w:rFonts w:ascii="Arial" w:cs="Arial" w:eastAsia="Arial" w:hAnsi="Arial"/>
          <w:sz w:val="12"/>
          <w:szCs w:val="12"/>
          <w:color w:val="auto"/>
        </w:rPr>
      </w:pPr>
    </w:p>
    <w:p>
      <w:pPr>
        <w:ind w:left="900" w:hanging="361"/>
        <w:spacing w:after="0"/>
        <w:tabs>
          <w:tab w:leader="none" w:pos="90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 xml:space="preserve">Maturity. </w:t>
      </w:r>
      <w:r>
        <w:rPr>
          <w:rFonts w:ascii="Arial" w:cs="Arial" w:eastAsia="Arial" w:hAnsi="Arial"/>
          <w:sz w:val="12"/>
          <w:szCs w:val="12"/>
          <w:color w:val="auto"/>
        </w:rPr>
        <w:t>The Series A Preferred Stock shall be perpetual unless converted.</w:t>
      </w:r>
    </w:p>
    <w:p>
      <w:pPr>
        <w:spacing w:after="0" w:line="168" w:lineRule="exact"/>
        <w:rPr>
          <w:sz w:val="20"/>
          <w:szCs w:val="20"/>
          <w:color w:val="auto"/>
        </w:rPr>
      </w:pPr>
    </w:p>
    <w:p>
      <w:pPr>
        <w:jc w:val="both"/>
        <w:ind w:left="160"/>
        <w:spacing w:after="0" w:line="263" w:lineRule="auto"/>
        <w:rPr>
          <w:sz w:val="20"/>
          <w:szCs w:val="20"/>
          <w:color w:val="auto"/>
        </w:rPr>
      </w:pPr>
      <w:r>
        <w:rPr>
          <w:rFonts w:ascii="Arial" w:cs="Arial" w:eastAsia="Arial" w:hAnsi="Arial"/>
          <w:sz w:val="12"/>
          <w:szCs w:val="12"/>
          <w:color w:val="auto"/>
        </w:rPr>
        <w:t>Upon issuance, each share of Series A Preferred Stock included an embedded beneficial conversion feature because the market price of the Company’s common stock on the date of issuance of the Series A Preferred Stock of $2.47 per share as compared to an effective conversion price of the Series A Preferred Stock of $1.93 per share. As a result, the Company recorded the intrinsic value of the beneficial conversion feature of $3,564. Because the Series A Preferred Stock is perpetual, it will be carried at the amount recorded at inception.</w:t>
      </w:r>
    </w:p>
    <w:p>
      <w:pPr>
        <w:spacing w:after="0" w:line="122" w:lineRule="exact"/>
        <w:rPr>
          <w:sz w:val="20"/>
          <w:szCs w:val="20"/>
          <w:color w:val="auto"/>
        </w:rPr>
      </w:pPr>
    </w:p>
    <w:p>
      <w:pPr>
        <w:jc w:val="both"/>
        <w:ind w:left="160"/>
        <w:spacing w:after="0" w:line="285" w:lineRule="auto"/>
        <w:rPr>
          <w:sz w:val="20"/>
          <w:szCs w:val="20"/>
          <w:color w:val="auto"/>
        </w:rPr>
      </w:pPr>
      <w:r>
        <w:rPr>
          <w:rFonts w:ascii="Arial" w:cs="Arial" w:eastAsia="Arial" w:hAnsi="Arial"/>
          <w:sz w:val="11"/>
          <w:szCs w:val="11"/>
          <w:color w:val="auto"/>
        </w:rPr>
        <w:t>The Company evaluated the Series A Preferred Stock for liability or equity classification in accordance with the provisions of ASC 480, Distinguishing Liabilities from Equity, and determined that equity treatment was appropriate because the Series A Preferred Stock did not meet the definition of the liability instruments defined thereunder for convertible instruments. Specifically, the Series A Preferred Stock is not mandatorily redeemable and does not embody an obligation to buy back the shares outside of the Company’s control in a manner that could require the transfer of assets. Additionally, the Company determined that the Series A Preferred Stock would be recorded as permanent equity, not temporary equity, based on the guidance of ASC 480 given that the holders of equally and more subordinated equity would be entitled to also receive the same form of consideration upon the occurrence of the event that gives rise to the redemption or events of redemption that are within the control of the Company.</w:t>
      </w:r>
    </w:p>
    <w:p>
      <w:pPr>
        <w:spacing w:after="0" w:line="257"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55245</wp:posOffset>
            </wp:positionV>
            <wp:extent cx="718947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100"/>
          </w:cols>
          <w:pgMar w:left="500" w:top="271" w:right="299" w:bottom="1440" w:gutter="0" w:footer="0" w:header="0"/>
        </w:sectPr>
      </w:pPr>
    </w:p>
    <w:bookmarkStart w:id="22" w:name="page23"/>
    <w:bookmarkEnd w:id="22"/>
    <w:p>
      <w:pPr>
        <w:ind w:left="360"/>
        <w:spacing w:after="0"/>
        <w:rPr>
          <w:sz w:val="20"/>
          <w:szCs w:val="20"/>
          <w:color w:val="auto"/>
        </w:rPr>
      </w:pPr>
      <w:r>
        <w:rPr>
          <w:rFonts w:ascii="Arial" w:cs="Arial" w:eastAsia="Arial" w:hAnsi="Arial"/>
          <w:sz w:val="12"/>
          <w:szCs w:val="12"/>
          <w:color w:val="auto"/>
        </w:rPr>
        <w:t>Since Series A Preferred Stock was sold as a unit with warrants, the proceeds received were allocated to each instrument on a relative fair value basis as it is described below</w:t>
      </w:r>
      <w:r>
        <w:rPr>
          <w:rFonts w:ascii="Arial" w:cs="Arial" w:eastAsia="Arial" w:hAnsi="Arial"/>
          <w:sz w:val="12"/>
          <w:szCs w:val="12"/>
          <w:i w:val="1"/>
          <w:iCs w:val="1"/>
          <w:color w:val="auto"/>
        </w:rPr>
        <w:t>.</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2020 Private Placement Warrants</w:t>
      </w:r>
    </w:p>
    <w:p>
      <w:pPr>
        <w:spacing w:after="0" w:line="168" w:lineRule="exact"/>
        <w:rPr>
          <w:sz w:val="20"/>
          <w:szCs w:val="20"/>
          <w:color w:val="auto"/>
        </w:rPr>
      </w:pPr>
    </w:p>
    <w:p>
      <w:pPr>
        <w:ind w:left="360" w:right="40"/>
        <w:spacing w:after="0" w:line="283" w:lineRule="auto"/>
        <w:rPr>
          <w:sz w:val="20"/>
          <w:szCs w:val="20"/>
          <w:color w:val="auto"/>
        </w:rPr>
      </w:pPr>
      <w:r>
        <w:rPr>
          <w:rFonts w:ascii="Arial" w:cs="Arial" w:eastAsia="Arial" w:hAnsi="Arial"/>
          <w:sz w:val="11"/>
          <w:szCs w:val="11"/>
          <w:color w:val="auto"/>
        </w:rPr>
        <w:t>As noted in Note 1 above, in March 2020, the Company issued and sold to the Investors warrants to purchase up to 6,675,000 shares of common stock with an exercise price of $3.50 per share, along with the shares of common stock and preferred stock the Investors purchased. The 2020 Private Placement Warrants have a five-year term and are exercisable beginning 181 days after their issue date. The Company evaluated the 2020 Private Placement Warrants for liability or equity classification in accordance with the provisions of ASC 480, Distinguishing Liabilities from Equity, and determined that equity treatment was appropriate because the warrants only require settlement through the issuance of the Company’s common stock which is not redeemable, and do not represent an obligation to issue a variable number of shares. Based on this guidance, the Company determined, for each issuance, that the 2020 Private Placement Warrants did not need to be accounted for as a liability. Accordingly, the 2020 Private Placement Warrants were classified as equity and are not subject to remeasurement at each balance sheet date. The proceeds received in the 2020 Private Placement were allocated to each instrument on a relative fair value basis.</w:t>
      </w:r>
    </w:p>
    <w:p>
      <w:pPr>
        <w:spacing w:after="0" w:line="131" w:lineRule="exact"/>
        <w:rPr>
          <w:sz w:val="20"/>
          <w:szCs w:val="20"/>
          <w:color w:val="auto"/>
        </w:rPr>
      </w:pPr>
    </w:p>
    <w:p>
      <w:pPr>
        <w:ind w:left="360" w:right="160"/>
        <w:spacing w:after="0" w:line="323" w:lineRule="auto"/>
        <w:rPr>
          <w:sz w:val="20"/>
          <w:szCs w:val="20"/>
          <w:color w:val="auto"/>
        </w:rPr>
      </w:pPr>
      <w:r>
        <w:rPr>
          <w:rFonts w:ascii="Arial" w:cs="Arial" w:eastAsia="Arial" w:hAnsi="Arial"/>
          <w:sz w:val="11"/>
          <w:szCs w:val="11"/>
          <w:color w:val="auto"/>
        </w:rPr>
        <w:t>Total net proceeds of $20,300 reduced by $3,564 of the beneficial conversion feature were allocated as follows: $8,063 to Series A Preferred Stock, $4,052 to shares of common stock and $4,621 to the 2020 Private Placement Warrants issued. Series A Preferred Stock and common stock issued in the 2020 Private Placement were recorded at par value of $0.0001 with the excess of par value recorded in APIC.</w:t>
      </w:r>
    </w:p>
    <w:p>
      <w:pPr>
        <w:spacing w:after="0" w:line="110"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2010 Plan</w:t>
      </w:r>
    </w:p>
    <w:p>
      <w:pPr>
        <w:spacing w:after="0" w:line="168" w:lineRule="exact"/>
        <w:rPr>
          <w:sz w:val="20"/>
          <w:szCs w:val="20"/>
          <w:color w:val="auto"/>
        </w:rPr>
      </w:pPr>
    </w:p>
    <w:p>
      <w:pPr>
        <w:ind w:left="360" w:right="60"/>
        <w:spacing w:after="0" w:line="255" w:lineRule="auto"/>
        <w:rPr>
          <w:sz w:val="20"/>
          <w:szCs w:val="20"/>
          <w:color w:val="auto"/>
        </w:rPr>
      </w:pPr>
      <w:r>
        <w:rPr>
          <w:rFonts w:ascii="Arial" w:cs="Arial" w:eastAsia="Arial" w:hAnsi="Arial"/>
          <w:sz w:val="12"/>
          <w:szCs w:val="12"/>
          <w:color w:val="auto"/>
        </w:rPr>
        <w:t>In November 2010, the Company’s Board of Directors (the “Board”) adopted a share option plan (the “2010 Share Option Plan”) pursuant to which some of the Company’s common stock are reserved for issuance upon the exercise of options to be granted to directors, officers, employees and consultants of the Company. The 2010 Share Option Plan is administered by the Company’s Board, which designates the options and dates of grant. Options granted vest over a period determined by the Board, originally had a contractual life of seven years, which was extended by ten years in November 2017 and are non-assignable except by the laws of descent. The Board has the authority to prescribe, amend and rescind rules and regulations relating to the 2010 Share Option Plan, provided that any such amendment or rescindment that would adversely affect the rights of an Optionee that has received or been granted an Option shall not be made without the Optionee’s written consent. As of March 31, 2020, the number of shares of the Company’s common stock reserved for issuance and available for grant under the 2010 Share Option Plan was 44,450 (44,450 as at December 31, 2019).</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2019 Plan</w:t>
      </w:r>
    </w:p>
    <w:p>
      <w:pPr>
        <w:spacing w:after="0" w:line="168" w:lineRule="exact"/>
        <w:rPr>
          <w:sz w:val="20"/>
          <w:szCs w:val="20"/>
          <w:color w:val="auto"/>
        </w:rPr>
      </w:pPr>
    </w:p>
    <w:p>
      <w:pPr>
        <w:ind w:left="360" w:right="120"/>
        <w:spacing w:after="0" w:line="379" w:lineRule="auto"/>
        <w:rPr>
          <w:sz w:val="20"/>
          <w:szCs w:val="20"/>
          <w:color w:val="auto"/>
        </w:rPr>
      </w:pPr>
      <w:r>
        <w:rPr>
          <w:rFonts w:ascii="Arial" w:cs="Arial" w:eastAsia="Arial" w:hAnsi="Arial"/>
          <w:sz w:val="10"/>
          <w:szCs w:val="10"/>
          <w:color w:val="auto"/>
        </w:rPr>
        <w:t>The 2019 Incentive Award Plan was originally established under the name Restoration Robotics, Inc., as the 2017 Incentive Award Plan. It was adopted by the Company’s Board of Directors on September 12, 2017 and approved by the Company’s stockholders on September 14, 2017. The 2017 Incentive Award Plan was amended, restated, and renamed as set forth above, and was approved by the Company’s stockholders on October 4, 2019.</w:t>
      </w:r>
    </w:p>
    <w:p>
      <w:pPr>
        <w:spacing w:after="0" w:line="69" w:lineRule="exact"/>
        <w:rPr>
          <w:sz w:val="20"/>
          <w:szCs w:val="20"/>
          <w:color w:val="auto"/>
        </w:rPr>
      </w:pPr>
    </w:p>
    <w:p>
      <w:pPr>
        <w:ind w:left="360" w:right="20"/>
        <w:spacing w:after="0" w:line="263" w:lineRule="auto"/>
        <w:rPr>
          <w:sz w:val="20"/>
          <w:szCs w:val="20"/>
          <w:color w:val="auto"/>
        </w:rPr>
      </w:pPr>
      <w:r>
        <w:rPr>
          <w:rFonts w:ascii="Arial" w:cs="Arial" w:eastAsia="Arial" w:hAnsi="Arial"/>
          <w:sz w:val="12"/>
          <w:szCs w:val="12"/>
          <w:color w:val="auto"/>
        </w:rPr>
        <w:t>Under the 2019 Plan, 450,000 shares of common stock were initially reserved for issuance pursuant to a variety of stock-based compensation awards, including stock options, stock appreciation rights, or SARs, performance stock awards, performance stock unit awards, restricted stock awards, restricted stock unit awards and other stock-based awards, plus the number of shares remaining available for future awards under the 2019 Plan as of the date of the Merger. As of March 31, 2020, there were 314,038 of shares of common stock available under the 2019 Plan (698,378 as at December 31, 2019).</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Company recognized stock-based compensation for its employees and non-employees in the accompanying condensed consolidated statements of operations as follows:</w:t>
      </w:r>
    </w:p>
    <w:p>
      <w:pPr>
        <w:spacing w:after="0" w:line="165" w:lineRule="exact"/>
        <w:rPr>
          <w:sz w:val="20"/>
          <w:szCs w:val="20"/>
          <w:color w:val="auto"/>
        </w:rPr>
      </w:pPr>
    </w:p>
    <w:p>
      <w:pPr>
        <w:jc w:val="center"/>
        <w:ind w:left="4080"/>
        <w:spacing w:after="0"/>
        <w:rPr>
          <w:sz w:val="20"/>
          <w:szCs w:val="20"/>
          <w:color w:val="auto"/>
        </w:rPr>
      </w:pPr>
      <w:r>
        <w:rPr>
          <w:rFonts w:ascii="Arial" w:cs="Arial" w:eastAsia="Arial" w:hAnsi="Arial"/>
          <w:sz w:val="10"/>
          <w:szCs w:val="10"/>
          <w:b w:val="1"/>
          <w:bCs w:val="1"/>
          <w:color w:val="auto"/>
        </w:rPr>
        <w:t>Three Months</w:t>
      </w:r>
    </w:p>
    <w:p>
      <w:pPr>
        <w:jc w:val="center"/>
        <w:ind w:left="4080"/>
        <w:spacing w:after="0" w:line="215" w:lineRule="auto"/>
        <w:rPr>
          <w:sz w:val="20"/>
          <w:szCs w:val="20"/>
          <w:color w:val="auto"/>
        </w:rPr>
      </w:pPr>
      <w:r>
        <w:rPr>
          <w:rFonts w:ascii="Arial" w:cs="Arial" w:eastAsia="Arial" w:hAnsi="Arial"/>
          <w:sz w:val="10"/>
          <w:szCs w:val="10"/>
          <w:b w:val="1"/>
          <w:bCs w:val="1"/>
          <w:color w:val="auto"/>
        </w:rPr>
        <w:t>Ended March 31</w:t>
      </w:r>
    </w:p>
    <w:tbl>
      <w:tblPr>
        <w:tblLayout w:type="fixed"/>
        <w:tblInd w:w="0" w:type="dxa"/>
        <w:tblCellMar>
          <w:top w:w="0" w:type="dxa"/>
          <w:left w:w="0" w:type="dxa"/>
          <w:bottom w:w="0" w:type="dxa"/>
          <w:right w:w="0" w:type="dxa"/>
        </w:tblCellMar>
      </w:tblPr>
      <w:tr>
        <w:trPr>
          <w:trHeight w:val="97"/>
        </w:trPr>
        <w:tc>
          <w:tcPr>
            <w:tcW w:w="1700" w:type="dxa"/>
            <w:vAlign w:val="bottom"/>
          </w:tcPr>
          <w:p>
            <w:pPr>
              <w:spacing w:after="0"/>
              <w:rPr>
                <w:sz w:val="8"/>
                <w:szCs w:val="8"/>
                <w:color w:val="auto"/>
              </w:rPr>
            </w:pPr>
          </w:p>
        </w:tc>
        <w:tc>
          <w:tcPr>
            <w:tcW w:w="2740" w:type="dxa"/>
            <w:vAlign w:val="bottom"/>
            <w:tcBorders>
              <w:bottom w:val="single" w:sz="8" w:color="CFF0FC"/>
            </w:tcBorders>
          </w:tcPr>
          <w:p>
            <w:pPr>
              <w:spacing w:after="0"/>
              <w:rPr>
                <w:sz w:val="8"/>
                <w:szCs w:val="8"/>
                <w:color w:val="auto"/>
              </w:rPr>
            </w:pPr>
          </w:p>
        </w:tc>
        <w:tc>
          <w:tcPr>
            <w:tcW w:w="1420" w:type="dxa"/>
            <w:vAlign w:val="bottom"/>
            <w:tcBorders>
              <w:bottom w:val="single" w:sz="8" w:color="CFF0FC"/>
            </w:tcBorders>
          </w:tcPr>
          <w:p>
            <w:pPr>
              <w:spacing w:after="0"/>
              <w:rPr>
                <w:sz w:val="8"/>
                <w:szCs w:val="8"/>
                <w:color w:val="auto"/>
              </w:rPr>
            </w:pPr>
          </w:p>
        </w:tc>
        <w:tc>
          <w:tcPr>
            <w:tcW w:w="1240" w:type="dxa"/>
            <w:vAlign w:val="bottom"/>
            <w:tcBorders>
              <w:top w:val="single" w:sz="8" w:color="auto"/>
              <w:bottom w:val="single" w:sz="8" w:color="auto"/>
            </w:tcBorders>
          </w:tcPr>
          <w:p>
            <w:pPr>
              <w:jc w:val="right"/>
              <w:ind w:right="232"/>
              <w:spacing w:after="0" w:line="97" w:lineRule="exact"/>
              <w:rPr>
                <w:sz w:val="20"/>
                <w:szCs w:val="20"/>
                <w:color w:val="auto"/>
              </w:rPr>
            </w:pPr>
            <w:r>
              <w:rPr>
                <w:rFonts w:ascii="Arial" w:cs="Arial" w:eastAsia="Arial" w:hAnsi="Arial"/>
                <w:sz w:val="10"/>
                <w:szCs w:val="10"/>
                <w:b w:val="1"/>
                <w:bCs w:val="1"/>
                <w:color w:val="auto"/>
              </w:rPr>
              <w:t>2020</w:t>
            </w:r>
          </w:p>
        </w:tc>
        <w:tc>
          <w:tcPr>
            <w:tcW w:w="480" w:type="dxa"/>
            <w:vAlign w:val="bottom"/>
            <w:tcBorders>
              <w:top w:val="single" w:sz="8" w:color="auto"/>
              <w:bottom w:val="single" w:sz="8" w:color="auto"/>
            </w:tcBorders>
          </w:tcPr>
          <w:p>
            <w:pPr>
              <w:spacing w:after="0"/>
              <w:rPr>
                <w:sz w:val="8"/>
                <w:szCs w:val="8"/>
                <w:color w:val="auto"/>
              </w:rPr>
            </w:pPr>
          </w:p>
        </w:tc>
        <w:tc>
          <w:tcPr>
            <w:tcW w:w="220" w:type="dxa"/>
            <w:vAlign w:val="bottom"/>
            <w:tcBorders>
              <w:top w:val="single" w:sz="8" w:color="auto"/>
              <w:bottom w:val="single" w:sz="8" w:color="CFF0FC"/>
            </w:tcBorders>
          </w:tcPr>
          <w:p>
            <w:pPr>
              <w:spacing w:after="0"/>
              <w:rPr>
                <w:sz w:val="8"/>
                <w:szCs w:val="8"/>
                <w:color w:val="auto"/>
              </w:rPr>
            </w:pPr>
          </w:p>
        </w:tc>
        <w:tc>
          <w:tcPr>
            <w:tcW w:w="400" w:type="dxa"/>
            <w:vAlign w:val="bottom"/>
            <w:tcBorders>
              <w:top w:val="single" w:sz="8" w:color="auto"/>
              <w:bottom w:val="single" w:sz="8" w:color="auto"/>
            </w:tcBorders>
          </w:tcPr>
          <w:p>
            <w:pPr>
              <w:spacing w:after="0"/>
              <w:rPr>
                <w:sz w:val="8"/>
                <w:szCs w:val="8"/>
                <w:color w:val="auto"/>
              </w:rPr>
            </w:pPr>
          </w:p>
        </w:tc>
        <w:tc>
          <w:tcPr>
            <w:tcW w:w="1320" w:type="dxa"/>
            <w:vAlign w:val="bottom"/>
            <w:tcBorders>
              <w:top w:val="single" w:sz="8" w:color="auto"/>
              <w:bottom w:val="single" w:sz="8" w:color="auto"/>
            </w:tcBorders>
          </w:tcPr>
          <w:p>
            <w:pPr>
              <w:jc w:val="right"/>
              <w:ind w:right="722"/>
              <w:spacing w:after="0" w:line="97" w:lineRule="exact"/>
              <w:rPr>
                <w:sz w:val="20"/>
                <w:szCs w:val="20"/>
                <w:color w:val="auto"/>
              </w:rPr>
            </w:pPr>
            <w:r>
              <w:rPr>
                <w:rFonts w:ascii="Arial" w:cs="Arial" w:eastAsia="Arial" w:hAnsi="Arial"/>
                <w:sz w:val="10"/>
                <w:szCs w:val="10"/>
                <w:b w:val="1"/>
                <w:bCs w:val="1"/>
                <w:color w:val="auto"/>
              </w:rPr>
              <w:t>2019</w:t>
            </w:r>
          </w:p>
        </w:tc>
        <w:tc>
          <w:tcPr>
            <w:tcW w:w="80" w:type="dxa"/>
            <w:vAlign w:val="bottom"/>
            <w:tcBorders>
              <w:bottom w:val="single" w:sz="8" w:color="CFF0FC"/>
            </w:tcBorders>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2"/>
                <w:szCs w:val="12"/>
                <w:color w:val="auto"/>
              </w:rPr>
              <w:t>Cost of sales</w:t>
            </w:r>
          </w:p>
        </w:tc>
        <w:tc>
          <w:tcPr>
            <w:tcW w:w="2660" w:type="dxa"/>
            <w:vAlign w:val="bottom"/>
            <w:gridSpan w:val="2"/>
            <w:shd w:val="clear" w:color="auto" w:fill="CFF0FC"/>
          </w:tcPr>
          <w:p>
            <w:pPr>
              <w:jc w:val="right"/>
              <w:ind w:right="1132"/>
              <w:spacing w:after="0"/>
              <w:rPr>
                <w:sz w:val="20"/>
                <w:szCs w:val="20"/>
                <w:color w:val="auto"/>
              </w:rPr>
            </w:pPr>
            <w:r>
              <w:rPr>
                <w:rFonts w:ascii="Arial" w:cs="Arial" w:eastAsia="Arial" w:hAnsi="Arial"/>
                <w:sz w:val="12"/>
                <w:szCs w:val="12"/>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w:t>
            </w:r>
          </w:p>
        </w:tc>
        <w:tc>
          <w:tcPr>
            <w:tcW w:w="620" w:type="dxa"/>
            <w:vAlign w:val="bottom"/>
            <w:gridSpan w:val="2"/>
            <w:shd w:val="clear" w:color="auto" w:fill="CFF0FC"/>
          </w:tcPr>
          <w:p>
            <w:pPr>
              <w:jc w:val="right"/>
              <w:ind w:right="34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40" w:type="dxa"/>
            <w:vAlign w:val="bottom"/>
            <w:gridSpan w:val="2"/>
          </w:tcPr>
          <w:p>
            <w:pPr>
              <w:ind w:left="1680"/>
              <w:spacing w:after="0"/>
              <w:rPr>
                <w:sz w:val="20"/>
                <w:szCs w:val="20"/>
                <w:color w:val="auto"/>
              </w:rPr>
            </w:pPr>
            <w:r>
              <w:rPr>
                <w:rFonts w:ascii="Arial" w:cs="Arial" w:eastAsia="Arial" w:hAnsi="Arial"/>
                <w:sz w:val="12"/>
                <w:szCs w:val="12"/>
                <w:color w:val="auto"/>
              </w:rPr>
              <w:t>Selling and marketing</w:t>
            </w: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192</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123</w:t>
            </w: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2"/>
                <w:szCs w:val="12"/>
                <w:color w:val="auto"/>
              </w:rPr>
              <w:t>General and administrative</w:t>
            </w:r>
          </w:p>
        </w:tc>
        <w:tc>
          <w:tcPr>
            <w:tcW w:w="14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299</w:t>
            </w: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237</w:t>
            </w:r>
          </w:p>
        </w:tc>
        <w:tc>
          <w:tcPr>
            <w:tcW w:w="80" w:type="dxa"/>
            <w:vAlign w:val="bottom"/>
            <w:shd w:val="clear" w:color="auto" w:fill="CFF0FC"/>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40" w:type="dxa"/>
            <w:vAlign w:val="bottom"/>
            <w:gridSpan w:val="2"/>
          </w:tcPr>
          <w:p>
            <w:pPr>
              <w:ind w:left="1680"/>
              <w:spacing w:after="0"/>
              <w:rPr>
                <w:sz w:val="20"/>
                <w:szCs w:val="20"/>
                <w:color w:val="auto"/>
              </w:rPr>
            </w:pPr>
            <w:r>
              <w:rPr>
                <w:rFonts w:ascii="Arial" w:cs="Arial" w:eastAsia="Arial" w:hAnsi="Arial"/>
                <w:sz w:val="12"/>
                <w:szCs w:val="12"/>
                <w:color w:val="auto"/>
              </w:rPr>
              <w:t>Research and development</w:t>
            </w: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20</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15</w:t>
            </w: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740" w:type="dxa"/>
            <w:vAlign w:val="bottom"/>
            <w:vMerge w:val="restart"/>
            <w:shd w:val="clear" w:color="auto" w:fill="CFF0FC"/>
          </w:tcPr>
          <w:p>
            <w:pPr>
              <w:ind w:left="80"/>
              <w:spacing w:after="0"/>
              <w:rPr>
                <w:sz w:val="20"/>
                <w:szCs w:val="20"/>
                <w:color w:val="auto"/>
              </w:rPr>
            </w:pPr>
            <w:r>
              <w:rPr>
                <w:rFonts w:ascii="Arial" w:cs="Arial" w:eastAsia="Arial" w:hAnsi="Arial"/>
                <w:sz w:val="12"/>
                <w:szCs w:val="12"/>
                <w:color w:val="auto"/>
              </w:rPr>
              <w:t>Total stock-based compensation</w:t>
            </w:r>
          </w:p>
        </w:tc>
        <w:tc>
          <w:tcPr>
            <w:tcW w:w="14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700" w:type="dxa"/>
            <w:vAlign w:val="bottom"/>
          </w:tcPr>
          <w:p>
            <w:pPr>
              <w:spacing w:after="0"/>
              <w:rPr>
                <w:sz w:val="14"/>
                <w:szCs w:val="14"/>
                <w:color w:val="auto"/>
              </w:rPr>
            </w:pPr>
          </w:p>
        </w:tc>
        <w:tc>
          <w:tcPr>
            <w:tcW w:w="2740" w:type="dxa"/>
            <w:vAlign w:val="bottom"/>
            <w:vMerge w:val="continue"/>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1132"/>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517</w:t>
            </w:r>
          </w:p>
        </w:tc>
        <w:tc>
          <w:tcPr>
            <w:tcW w:w="620" w:type="dxa"/>
            <w:vAlign w:val="bottom"/>
            <w:gridSpan w:val="2"/>
            <w:shd w:val="clear" w:color="auto" w:fill="CFF0FC"/>
          </w:tcPr>
          <w:p>
            <w:pPr>
              <w:jc w:val="right"/>
              <w:ind w:right="34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375</w:t>
            </w:r>
          </w:p>
        </w:tc>
        <w:tc>
          <w:tcPr>
            <w:tcW w:w="80" w:type="dxa"/>
            <w:vAlign w:val="bottom"/>
            <w:shd w:val="clear" w:color="auto" w:fill="CFF0FC"/>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700" w:type="dxa"/>
            <w:vAlign w:val="bottom"/>
          </w:tcPr>
          <w:p>
            <w:pPr>
              <w:spacing w:after="0"/>
              <w:rPr>
                <w:sz w:val="24"/>
                <w:szCs w:val="24"/>
                <w:color w:val="auto"/>
              </w:rPr>
            </w:pPr>
          </w:p>
        </w:tc>
        <w:tc>
          <w:tcPr>
            <w:tcW w:w="2740" w:type="dxa"/>
            <w:vAlign w:val="bottom"/>
            <w:tcBorders>
              <w:top w:val="single" w:sz="8" w:color="CFF0FC"/>
            </w:tcBorders>
          </w:tcPr>
          <w:p>
            <w:pPr>
              <w:spacing w:after="0"/>
              <w:rPr>
                <w:sz w:val="24"/>
                <w:szCs w:val="24"/>
                <w:color w:val="auto"/>
              </w:rPr>
            </w:pPr>
          </w:p>
        </w:tc>
        <w:tc>
          <w:tcPr>
            <w:tcW w:w="1420" w:type="dxa"/>
            <w:vAlign w:val="bottom"/>
            <w:tcBorders>
              <w:top w:val="single" w:sz="8" w:color="CFF0FC"/>
            </w:tcBorders>
          </w:tcPr>
          <w:p>
            <w:pPr>
              <w:jc w:val="right"/>
              <w:ind w:right="100"/>
              <w:spacing w:after="0"/>
              <w:rPr>
                <w:sz w:val="20"/>
                <w:szCs w:val="20"/>
                <w:color w:val="auto"/>
              </w:rPr>
            </w:pPr>
            <w:r>
              <w:rPr>
                <w:rFonts w:ascii="Arial" w:cs="Arial" w:eastAsia="Arial" w:hAnsi="Arial"/>
                <w:sz w:val="12"/>
                <w:szCs w:val="12"/>
                <w:color w:val="auto"/>
              </w:rPr>
              <w:t>22</w:t>
            </w:r>
          </w:p>
        </w:tc>
        <w:tc>
          <w:tcPr>
            <w:tcW w:w="12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700" w:type="dxa"/>
            <w:vAlign w:val="bottom"/>
            <w:tcBorders>
              <w:bottom w:val="single" w:sz="8" w:color="9A9A9A"/>
            </w:tcBorders>
          </w:tcPr>
          <w:p>
            <w:pPr>
              <w:spacing w:after="0"/>
              <w:rPr>
                <w:sz w:val="6"/>
                <w:szCs w:val="6"/>
                <w:color w:val="auto"/>
              </w:rPr>
            </w:pPr>
          </w:p>
        </w:tc>
        <w:tc>
          <w:tcPr>
            <w:tcW w:w="274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75" w:right="279" w:bottom="1440" w:gutter="0" w:footer="0" w:header="0"/>
        </w:sectPr>
      </w:pPr>
    </w:p>
    <w:bookmarkStart w:id="23" w:name="page24"/>
    <w:bookmarkEnd w:id="23"/>
    <w:p>
      <w:pPr>
        <w:ind w:left="360"/>
        <w:spacing w:after="0"/>
        <w:rPr>
          <w:sz w:val="20"/>
          <w:szCs w:val="20"/>
          <w:color w:val="auto"/>
        </w:rPr>
      </w:pPr>
      <w:r>
        <w:rPr>
          <w:rFonts w:ascii="Arial" w:cs="Arial" w:eastAsia="Arial" w:hAnsi="Arial"/>
          <w:sz w:val="12"/>
          <w:szCs w:val="12"/>
          <w:b w:val="1"/>
          <w:bCs w:val="1"/>
          <w:i w:val="1"/>
          <w:iCs w:val="1"/>
          <w:color w:val="auto"/>
        </w:rPr>
        <w:t>Stock Options</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fair value of each option is estimated at the date of grant using the Black-Scholes option pricing formula with the following assumptions:</w:t>
      </w:r>
    </w:p>
    <w:p>
      <w:pPr>
        <w:spacing w:after="0" w:line="137"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20" w:type="dxa"/>
            <w:vAlign w:val="bottom"/>
            <w:gridSpan w:val="3"/>
          </w:tcPr>
          <w:p>
            <w:pPr>
              <w:jc w:val="center"/>
              <w:spacing w:after="0"/>
              <w:rPr>
                <w:sz w:val="20"/>
                <w:szCs w:val="20"/>
                <w:color w:val="auto"/>
              </w:rPr>
            </w:pPr>
            <w:r>
              <w:rPr>
                <w:rFonts w:ascii="Arial" w:cs="Arial" w:eastAsia="Arial" w:hAnsi="Arial"/>
                <w:sz w:val="10"/>
                <w:szCs w:val="10"/>
                <w:b w:val="1"/>
                <w:bCs w:val="1"/>
                <w:color w:val="auto"/>
                <w:w w:val="88"/>
              </w:rPr>
              <w:t>Three Months</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3"/>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gridSpan w:val="3"/>
          </w:tcPr>
          <w:p>
            <w:pPr>
              <w:jc w:val="center"/>
              <w:spacing w:after="0" w:line="114" w:lineRule="exact"/>
              <w:rPr>
                <w:sz w:val="20"/>
                <w:szCs w:val="20"/>
                <w:color w:val="auto"/>
              </w:rPr>
            </w:pPr>
            <w:r>
              <w:rPr>
                <w:rFonts w:ascii="Arial" w:cs="Arial" w:eastAsia="Arial" w:hAnsi="Arial"/>
                <w:sz w:val="10"/>
                <w:szCs w:val="10"/>
                <w:b w:val="1"/>
                <w:bCs w:val="1"/>
                <w:color w:val="auto"/>
                <w:w w:val="91"/>
              </w:rPr>
              <w:t>Ended March 31</w:t>
            </w: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97"/>
        </w:trPr>
        <w:tc>
          <w:tcPr>
            <w:tcW w:w="20" w:type="dxa"/>
            <w:vAlign w:val="bottom"/>
          </w:tcPr>
          <w:p>
            <w:pPr>
              <w:spacing w:after="0"/>
              <w:rPr>
                <w:sz w:val="8"/>
                <w:szCs w:val="8"/>
                <w:color w:val="auto"/>
              </w:rPr>
            </w:pPr>
          </w:p>
        </w:tc>
        <w:tc>
          <w:tcPr>
            <w:tcW w:w="4980" w:type="dxa"/>
            <w:vAlign w:val="bottom"/>
            <w:tcBorders>
              <w:bottom w:val="single" w:sz="8" w:color="CFF0FC"/>
            </w:tcBorders>
          </w:tcPr>
          <w:p>
            <w:pPr>
              <w:spacing w:after="0"/>
              <w:rPr>
                <w:sz w:val="8"/>
                <w:szCs w:val="8"/>
                <w:color w:val="auto"/>
              </w:rPr>
            </w:pPr>
          </w:p>
        </w:tc>
        <w:tc>
          <w:tcPr>
            <w:tcW w:w="8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2020</w:t>
            </w:r>
          </w:p>
        </w:tc>
        <w:tc>
          <w:tcPr>
            <w:tcW w:w="620" w:type="dxa"/>
            <w:vAlign w:val="bottom"/>
            <w:tcBorders>
              <w:bottom w:val="single" w:sz="8" w:color="auto"/>
            </w:tcBorders>
          </w:tcPr>
          <w:p>
            <w:pPr>
              <w:spacing w:after="0"/>
              <w:rPr>
                <w:sz w:val="8"/>
                <w:szCs w:val="8"/>
                <w:color w:val="auto"/>
              </w:rPr>
            </w:pPr>
          </w:p>
        </w:tc>
        <w:tc>
          <w:tcPr>
            <w:tcW w:w="240" w:type="dxa"/>
            <w:vAlign w:val="bottom"/>
            <w:tcBorders>
              <w:bottom w:val="single" w:sz="8" w:color="CFF0FC"/>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ind w:right="422"/>
              <w:spacing w:after="0" w:line="97" w:lineRule="exact"/>
              <w:rPr>
                <w:sz w:val="20"/>
                <w:szCs w:val="20"/>
                <w:color w:val="auto"/>
              </w:rPr>
            </w:pPr>
            <w:r>
              <w:rPr>
                <w:rFonts w:ascii="Arial" w:cs="Arial" w:eastAsia="Arial" w:hAnsi="Arial"/>
                <w:sz w:val="10"/>
                <w:szCs w:val="10"/>
                <w:b w:val="1"/>
                <w:bCs w:val="1"/>
                <w:color w:val="auto"/>
              </w:rPr>
              <w:t>2019</w:t>
            </w:r>
          </w:p>
        </w:tc>
        <w:tc>
          <w:tcPr>
            <w:tcW w:w="80" w:type="dxa"/>
            <w:vAlign w:val="bottom"/>
            <w:tcBorders>
              <w:bottom w:val="single" w:sz="8" w:color="CFF0FC"/>
            </w:tcBorders>
          </w:tcPr>
          <w:p>
            <w:pPr>
              <w:spacing w:after="0"/>
              <w:rPr>
                <w:sz w:val="8"/>
                <w:szCs w:val="8"/>
                <w:color w:val="auto"/>
              </w:rPr>
            </w:pPr>
          </w:p>
        </w:tc>
      </w:tr>
      <w:tr>
        <w:trPr>
          <w:trHeight w:val="142"/>
        </w:trPr>
        <w:tc>
          <w:tcPr>
            <w:tcW w:w="20" w:type="dxa"/>
            <w:vAlign w:val="bottom"/>
          </w:tcPr>
          <w:p>
            <w:pPr>
              <w:spacing w:after="0"/>
              <w:rPr>
                <w:sz w:val="12"/>
                <w:szCs w:val="12"/>
                <w:color w:val="auto"/>
              </w:rPr>
            </w:pPr>
          </w:p>
        </w:tc>
        <w:tc>
          <w:tcPr>
            <w:tcW w:w="58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Expected term (in years)</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5.00-6.54</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4.00-5.00</w:t>
            </w:r>
          </w:p>
        </w:tc>
        <w:tc>
          <w:tcPr>
            <w:tcW w:w="80" w:type="dxa"/>
            <w:vAlign w:val="bottom"/>
            <w:shd w:val="clear" w:color="auto" w:fill="CFF0FC"/>
          </w:tcPr>
          <w:p>
            <w:pPr>
              <w:spacing w:after="0"/>
              <w:rPr>
                <w:sz w:val="12"/>
                <w:szCs w:val="12"/>
                <w:color w:val="auto"/>
              </w:rPr>
            </w:pPr>
          </w:p>
        </w:tc>
      </w:tr>
      <w:tr>
        <w:trPr>
          <w:trHeight w:val="153"/>
        </w:trPr>
        <w:tc>
          <w:tcPr>
            <w:tcW w:w="5840" w:type="dxa"/>
            <w:vAlign w:val="bottom"/>
            <w:gridSpan w:val="3"/>
          </w:tcPr>
          <w:p>
            <w:pPr>
              <w:spacing w:after="0"/>
              <w:rPr>
                <w:sz w:val="20"/>
                <w:szCs w:val="20"/>
                <w:color w:val="auto"/>
              </w:rPr>
            </w:pPr>
            <w:r>
              <w:rPr>
                <w:rFonts w:ascii="Arial" w:cs="Arial" w:eastAsia="Arial" w:hAnsi="Arial"/>
                <w:sz w:val="12"/>
                <w:szCs w:val="12"/>
                <w:color w:val="auto"/>
              </w:rPr>
              <w:t>Risk-free interest rate</w:t>
            </w:r>
          </w:p>
        </w:tc>
        <w:tc>
          <w:tcPr>
            <w:tcW w:w="620" w:type="dxa"/>
            <w:vAlign w:val="bottom"/>
          </w:tcPr>
          <w:p>
            <w:pPr>
              <w:jc w:val="right"/>
              <w:spacing w:after="0"/>
              <w:rPr>
                <w:sz w:val="20"/>
                <w:szCs w:val="20"/>
                <w:color w:val="auto"/>
              </w:rPr>
            </w:pPr>
            <w:r>
              <w:rPr>
                <w:rFonts w:ascii="Arial" w:cs="Arial" w:eastAsia="Arial" w:hAnsi="Arial"/>
                <w:sz w:val="12"/>
                <w:szCs w:val="12"/>
                <w:color w:val="auto"/>
                <w:w w:val="94"/>
              </w:rPr>
              <w:t>0.57-1.50%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1.4-2.53%</w:t>
            </w:r>
          </w:p>
        </w:tc>
        <w:tc>
          <w:tcPr>
            <w:tcW w:w="8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58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Expected volatility</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43.00%</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49.00%</w:t>
            </w:r>
          </w:p>
        </w:tc>
        <w:tc>
          <w:tcPr>
            <w:tcW w:w="80" w:type="dxa"/>
            <w:vAlign w:val="bottom"/>
            <w:shd w:val="clear" w:color="auto" w:fill="CFF0FC"/>
          </w:tcPr>
          <w:p>
            <w:pPr>
              <w:spacing w:after="0"/>
              <w:rPr>
                <w:sz w:val="13"/>
                <w:szCs w:val="13"/>
                <w:color w:val="auto"/>
              </w:rPr>
            </w:pPr>
          </w:p>
        </w:tc>
      </w:tr>
      <w:tr>
        <w:trPr>
          <w:trHeight w:val="153"/>
        </w:trPr>
        <w:tc>
          <w:tcPr>
            <w:tcW w:w="5840" w:type="dxa"/>
            <w:vAlign w:val="bottom"/>
            <w:gridSpan w:val="3"/>
          </w:tcPr>
          <w:p>
            <w:pPr>
              <w:spacing w:after="0"/>
              <w:rPr>
                <w:sz w:val="20"/>
                <w:szCs w:val="20"/>
                <w:color w:val="auto"/>
              </w:rPr>
            </w:pPr>
            <w:r>
              <w:rPr>
                <w:rFonts w:ascii="Arial" w:cs="Arial" w:eastAsia="Arial" w:hAnsi="Arial"/>
                <w:sz w:val="12"/>
                <w:szCs w:val="12"/>
                <w:color w:val="auto"/>
              </w:rPr>
              <w:t>Expected dividend rate</w:t>
            </w:r>
          </w:p>
        </w:tc>
        <w:tc>
          <w:tcPr>
            <w:tcW w:w="620" w:type="dxa"/>
            <w:vAlign w:val="bottom"/>
          </w:tcPr>
          <w:p>
            <w:pPr>
              <w:jc w:val="right"/>
              <w:spacing w:after="0"/>
              <w:rPr>
                <w:sz w:val="20"/>
                <w:szCs w:val="20"/>
                <w:color w:val="auto"/>
              </w:rPr>
            </w:pPr>
            <w:r>
              <w:rPr>
                <w:rFonts w:ascii="Arial" w:cs="Arial" w:eastAsia="Arial" w:hAnsi="Arial"/>
                <w:sz w:val="12"/>
                <w:szCs w:val="12"/>
                <w:color w:val="auto"/>
              </w:rPr>
              <w:t>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0%</w:t>
            </w:r>
          </w:p>
        </w:tc>
        <w:tc>
          <w:tcPr>
            <w:tcW w:w="80" w:type="dxa"/>
            <w:vAlign w:val="bottom"/>
          </w:tcPr>
          <w:p>
            <w:pPr>
              <w:spacing w:after="0"/>
              <w:rPr>
                <w:sz w:val="13"/>
                <w:szCs w:val="13"/>
                <w:color w:val="auto"/>
              </w:rPr>
            </w:pPr>
          </w:p>
        </w:tc>
      </w:tr>
    </w:tbl>
    <w:p>
      <w:pPr>
        <w:spacing w:after="0" w:line="135"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Expected Term</w:t>
      </w:r>
      <w:r>
        <w:rPr>
          <w:rFonts w:ascii="Arial" w:cs="Arial" w:eastAsia="Arial" w:hAnsi="Arial"/>
          <w:sz w:val="12"/>
          <w:szCs w:val="12"/>
          <w:color w:val="auto"/>
        </w:rPr>
        <w:t>—The expected term represents management’s best estimate for the options to be exercised by option holders.</w:t>
      </w:r>
    </w:p>
    <w:p>
      <w:pPr>
        <w:spacing w:after="0" w:line="168" w:lineRule="exact"/>
        <w:rPr>
          <w:sz w:val="20"/>
          <w:szCs w:val="20"/>
          <w:color w:val="auto"/>
        </w:rPr>
      </w:pPr>
    </w:p>
    <w:p>
      <w:pPr>
        <w:ind w:left="360" w:right="320"/>
        <w:spacing w:after="0" w:line="276" w:lineRule="auto"/>
        <w:rPr>
          <w:sz w:val="20"/>
          <w:szCs w:val="20"/>
          <w:color w:val="auto"/>
        </w:rPr>
      </w:pPr>
      <w:r>
        <w:rPr>
          <w:rFonts w:ascii="Arial" w:cs="Arial" w:eastAsia="Arial" w:hAnsi="Arial"/>
          <w:sz w:val="12"/>
          <w:szCs w:val="12"/>
          <w:i w:val="1"/>
          <w:iCs w:val="1"/>
          <w:color w:val="auto"/>
        </w:rPr>
        <w:t>Volatility</w:t>
      </w:r>
      <w:r>
        <w:rPr>
          <w:rFonts w:ascii="Arial" w:cs="Arial" w:eastAsia="Arial" w:hAnsi="Arial"/>
          <w:sz w:val="12"/>
          <w:szCs w:val="12"/>
          <w:color w:val="auto"/>
        </w:rPr>
        <w:t>—Since the Company does not have a trading history for its common stock, the expected volatility was derived from the historical stock volatilities of comparable peer public companies within its industry that are</w:t>
      </w:r>
      <w:r>
        <w:rPr>
          <w:rFonts w:ascii="Arial" w:cs="Arial" w:eastAsia="Arial" w:hAnsi="Arial"/>
          <w:sz w:val="12"/>
          <w:szCs w:val="12"/>
          <w:i w:val="1"/>
          <w:iCs w:val="1"/>
          <w:color w:val="auto"/>
        </w:rPr>
        <w:t xml:space="preserve"> </w:t>
      </w:r>
      <w:r>
        <w:rPr>
          <w:rFonts w:ascii="Arial" w:cs="Arial" w:eastAsia="Arial" w:hAnsi="Arial"/>
          <w:sz w:val="12"/>
          <w:szCs w:val="12"/>
          <w:color w:val="auto"/>
        </w:rPr>
        <w:t>considered to be comparable to the Company’s business over a period equivalent to the expected term of the stock-based awards.</w:t>
      </w:r>
    </w:p>
    <w:p>
      <w:pPr>
        <w:spacing w:after="0" w:line="133" w:lineRule="exact"/>
        <w:rPr>
          <w:sz w:val="20"/>
          <w:szCs w:val="20"/>
          <w:color w:val="auto"/>
        </w:rPr>
      </w:pPr>
    </w:p>
    <w:p>
      <w:pPr>
        <w:ind w:left="360" w:right="300"/>
        <w:spacing w:after="0" w:line="276" w:lineRule="auto"/>
        <w:rPr>
          <w:sz w:val="20"/>
          <w:szCs w:val="20"/>
          <w:color w:val="auto"/>
        </w:rPr>
      </w:pPr>
      <w:r>
        <w:rPr>
          <w:rFonts w:ascii="Arial" w:cs="Arial" w:eastAsia="Arial" w:hAnsi="Arial"/>
          <w:sz w:val="12"/>
          <w:szCs w:val="12"/>
          <w:i w:val="1"/>
          <w:iCs w:val="1"/>
          <w:color w:val="auto"/>
        </w:rPr>
        <w:t>Risk-Free Interest Rate</w:t>
      </w:r>
      <w:r>
        <w:rPr>
          <w:rFonts w:ascii="Arial" w:cs="Arial" w:eastAsia="Arial" w:hAnsi="Arial"/>
          <w:sz w:val="12"/>
          <w:szCs w:val="12"/>
          <w:color w:val="auto"/>
        </w:rPr>
        <w:t>—The risk-free interest rate is based on the U.S. Treasury yield curve in effect at the date of grant for zero-coupon U.S. Treasury notes with maturities approximately equal to the stock-based awards’</w:t>
      </w:r>
      <w:r>
        <w:rPr>
          <w:rFonts w:ascii="Arial" w:cs="Arial" w:eastAsia="Arial" w:hAnsi="Arial"/>
          <w:sz w:val="12"/>
          <w:szCs w:val="12"/>
          <w:i w:val="1"/>
          <w:iCs w:val="1"/>
          <w:color w:val="auto"/>
        </w:rPr>
        <w:t xml:space="preserve"> </w:t>
      </w:r>
      <w:r>
        <w:rPr>
          <w:rFonts w:ascii="Arial" w:cs="Arial" w:eastAsia="Arial" w:hAnsi="Arial"/>
          <w:sz w:val="12"/>
          <w:szCs w:val="12"/>
          <w:color w:val="auto"/>
        </w:rPr>
        <w:t>expected term.</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Dividend Rate</w:t>
      </w:r>
      <w:r>
        <w:rPr>
          <w:rFonts w:ascii="Arial" w:cs="Arial" w:eastAsia="Arial" w:hAnsi="Arial"/>
          <w:sz w:val="12"/>
          <w:szCs w:val="12"/>
          <w:color w:val="auto"/>
        </w:rPr>
        <w:t>—The expected dividend is zero as the Company has not paid nor does it anticipate paying any dividends on its common stock in the foreseeable future.</w:t>
      </w:r>
    </w:p>
    <w:p>
      <w:pPr>
        <w:spacing w:after="0" w:line="168" w:lineRule="exact"/>
        <w:rPr>
          <w:sz w:val="20"/>
          <w:szCs w:val="20"/>
          <w:color w:val="auto"/>
        </w:rPr>
      </w:pPr>
    </w:p>
    <w:p>
      <w:pPr>
        <w:ind w:left="360" w:right="40"/>
        <w:spacing w:after="0" w:line="276" w:lineRule="auto"/>
        <w:rPr>
          <w:sz w:val="20"/>
          <w:szCs w:val="20"/>
          <w:color w:val="auto"/>
        </w:rPr>
      </w:pPr>
      <w:r>
        <w:rPr>
          <w:rFonts w:ascii="Arial" w:cs="Arial" w:eastAsia="Arial" w:hAnsi="Arial"/>
          <w:sz w:val="12"/>
          <w:szCs w:val="12"/>
          <w:i w:val="1"/>
          <w:iCs w:val="1"/>
          <w:color w:val="auto"/>
        </w:rPr>
        <w:t>Fair Value of Common Stock</w:t>
      </w:r>
      <w:r>
        <w:rPr>
          <w:rFonts w:ascii="Arial" w:cs="Arial" w:eastAsia="Arial" w:hAnsi="Arial"/>
          <w:sz w:val="12"/>
          <w:szCs w:val="12"/>
          <w:color w:val="auto"/>
        </w:rPr>
        <w:t>— Prior to the Merger, Venus Concept Ltd. used the price per share in its latest sale of securities as an estimate of the fair value of its ordinary shares. After the closing of the Merger, the fair value of</w:t>
      </w:r>
      <w:r>
        <w:rPr>
          <w:rFonts w:ascii="Arial" w:cs="Arial" w:eastAsia="Arial" w:hAnsi="Arial"/>
          <w:sz w:val="12"/>
          <w:szCs w:val="12"/>
          <w:i w:val="1"/>
          <w:iCs w:val="1"/>
          <w:color w:val="auto"/>
        </w:rPr>
        <w:t xml:space="preserve"> </w:t>
      </w:r>
      <w:r>
        <w:rPr>
          <w:rFonts w:ascii="Arial" w:cs="Arial" w:eastAsia="Arial" w:hAnsi="Arial"/>
          <w:sz w:val="12"/>
          <w:szCs w:val="12"/>
          <w:color w:val="auto"/>
        </w:rPr>
        <w:t>the Company’s common stock is used to estimate the fair value of the stock-based awards at grant date.</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following table summarizes stock option activity under the Company’s stock option plans:</w:t>
      </w:r>
    </w:p>
    <w:p>
      <w:pPr>
        <w:spacing w:after="0" w:line="137"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center"/>
              <w:ind w:left="212"/>
              <w:spacing w:after="0"/>
              <w:rPr>
                <w:sz w:val="20"/>
                <w:szCs w:val="20"/>
                <w:color w:val="auto"/>
              </w:rPr>
            </w:pPr>
            <w:r>
              <w:rPr>
                <w:rFonts w:ascii="Arial" w:cs="Arial" w:eastAsia="Arial" w:hAnsi="Arial"/>
                <w:sz w:val="10"/>
                <w:szCs w:val="10"/>
                <w:b w:val="1"/>
                <w:bCs w:val="1"/>
                <w:color w:val="auto"/>
                <w:w w:val="86"/>
              </w:rPr>
              <w:t>Weighted-</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jc w:val="center"/>
              <w:ind w:left="212"/>
              <w:spacing w:after="0" w:line="99" w:lineRule="exact"/>
              <w:rPr>
                <w:sz w:val="20"/>
                <w:szCs w:val="20"/>
                <w:color w:val="auto"/>
              </w:rPr>
            </w:pPr>
            <w:r>
              <w:rPr>
                <w:rFonts w:ascii="Arial" w:cs="Arial" w:eastAsia="Arial" w:hAnsi="Arial"/>
                <w:sz w:val="10"/>
                <w:szCs w:val="10"/>
                <w:b w:val="1"/>
                <w:bCs w:val="1"/>
                <w:color w:val="auto"/>
                <w:w w:val="86"/>
              </w:rPr>
              <w:t>Average</w:t>
            </w: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jc w:val="center"/>
              <w:ind w:left="172"/>
              <w:spacing w:after="0" w:line="99" w:lineRule="exact"/>
              <w:rPr>
                <w:sz w:val="20"/>
                <w:szCs w:val="20"/>
                <w:color w:val="auto"/>
              </w:rPr>
            </w:pPr>
            <w:r>
              <w:rPr>
                <w:rFonts w:ascii="Arial" w:cs="Arial" w:eastAsia="Arial" w:hAnsi="Arial"/>
                <w:sz w:val="10"/>
                <w:szCs w:val="10"/>
                <w:b w:val="1"/>
                <w:bCs w:val="1"/>
                <w:color w:val="auto"/>
                <w:w w:val="86"/>
              </w:rPr>
              <w:t>Weighted-</w:t>
            </w: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jc w:val="center"/>
              <w:ind w:left="212"/>
              <w:spacing w:after="0" w:line="99" w:lineRule="exact"/>
              <w:rPr>
                <w:sz w:val="20"/>
                <w:szCs w:val="20"/>
                <w:color w:val="auto"/>
              </w:rPr>
            </w:pPr>
            <w:r>
              <w:rPr>
                <w:rFonts w:ascii="Arial" w:cs="Arial" w:eastAsia="Arial" w:hAnsi="Arial"/>
                <w:sz w:val="10"/>
                <w:szCs w:val="10"/>
                <w:b w:val="1"/>
                <w:bCs w:val="1"/>
                <w:color w:val="auto"/>
                <w:w w:val="82"/>
              </w:rPr>
              <w:t>Exercise</w:t>
            </w: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jc w:val="center"/>
              <w:ind w:left="172"/>
              <w:spacing w:after="0" w:line="99" w:lineRule="exact"/>
              <w:rPr>
                <w:sz w:val="20"/>
                <w:szCs w:val="20"/>
                <w:color w:val="auto"/>
              </w:rPr>
            </w:pPr>
            <w:r>
              <w:rPr>
                <w:rFonts w:ascii="Arial" w:cs="Arial" w:eastAsia="Arial" w:hAnsi="Arial"/>
                <w:sz w:val="10"/>
                <w:szCs w:val="10"/>
                <w:b w:val="1"/>
                <w:bCs w:val="1"/>
                <w:color w:val="auto"/>
                <w:w w:val="86"/>
              </w:rPr>
              <w:t>Average</w:t>
            </w: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jc w:val="center"/>
              <w:ind w:left="212"/>
              <w:spacing w:after="0" w:line="99" w:lineRule="exact"/>
              <w:rPr>
                <w:sz w:val="20"/>
                <w:szCs w:val="20"/>
                <w:color w:val="auto"/>
              </w:rPr>
            </w:pPr>
            <w:r>
              <w:rPr>
                <w:rFonts w:ascii="Arial" w:cs="Arial" w:eastAsia="Arial" w:hAnsi="Arial"/>
                <w:sz w:val="10"/>
                <w:szCs w:val="10"/>
                <w:b w:val="1"/>
                <w:bCs w:val="1"/>
                <w:color w:val="auto"/>
                <w:w w:val="88"/>
              </w:rPr>
              <w:t>Price per</w:t>
            </w: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jc w:val="center"/>
              <w:ind w:left="172"/>
              <w:spacing w:after="0" w:line="99" w:lineRule="exact"/>
              <w:rPr>
                <w:sz w:val="20"/>
                <w:szCs w:val="20"/>
                <w:color w:val="auto"/>
              </w:rPr>
            </w:pPr>
            <w:r>
              <w:rPr>
                <w:rFonts w:ascii="Arial" w:cs="Arial" w:eastAsia="Arial" w:hAnsi="Arial"/>
                <w:sz w:val="10"/>
                <w:szCs w:val="10"/>
                <w:b w:val="1"/>
                <w:bCs w:val="1"/>
                <w:color w:val="auto"/>
                <w:w w:val="89"/>
              </w:rPr>
              <w:t>Remaining</w:t>
            </w: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jc w:val="center"/>
              <w:ind w:right="185"/>
              <w:spacing w:after="0" w:line="99" w:lineRule="exact"/>
              <w:rPr>
                <w:sz w:val="20"/>
                <w:szCs w:val="20"/>
                <w:color w:val="auto"/>
              </w:rPr>
            </w:pPr>
            <w:r>
              <w:rPr>
                <w:rFonts w:ascii="Arial" w:cs="Arial" w:eastAsia="Arial" w:hAnsi="Arial"/>
                <w:sz w:val="10"/>
                <w:szCs w:val="10"/>
                <w:b w:val="1"/>
                <w:bCs w:val="1"/>
                <w:color w:val="auto"/>
                <w:w w:val="84"/>
              </w:rPr>
              <w:t>Aggregate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180" w:type="dxa"/>
            <w:vAlign w:val="bottom"/>
            <w:gridSpan w:val="2"/>
          </w:tcPr>
          <w:p>
            <w:pPr>
              <w:jc w:val="right"/>
              <w:ind w:right="480"/>
              <w:spacing w:after="0" w:line="99" w:lineRule="exact"/>
              <w:rPr>
                <w:sz w:val="20"/>
                <w:szCs w:val="20"/>
                <w:color w:val="auto"/>
              </w:rPr>
            </w:pPr>
            <w:r>
              <w:rPr>
                <w:rFonts w:ascii="Arial" w:cs="Arial" w:eastAsia="Arial" w:hAnsi="Arial"/>
                <w:sz w:val="10"/>
                <w:szCs w:val="10"/>
                <w:b w:val="1"/>
                <w:bCs w:val="1"/>
                <w:color w:val="auto"/>
              </w:rPr>
              <w:t>Number of</w:t>
            </w:r>
          </w:p>
        </w:tc>
        <w:tc>
          <w:tcPr>
            <w:tcW w:w="680" w:type="dxa"/>
            <w:vAlign w:val="bottom"/>
          </w:tcPr>
          <w:p>
            <w:pPr>
              <w:jc w:val="center"/>
              <w:ind w:left="212"/>
              <w:spacing w:after="0" w:line="99" w:lineRule="exact"/>
              <w:rPr>
                <w:sz w:val="20"/>
                <w:szCs w:val="20"/>
                <w:color w:val="auto"/>
              </w:rPr>
            </w:pPr>
            <w:r>
              <w:rPr>
                <w:rFonts w:ascii="Arial" w:cs="Arial" w:eastAsia="Arial" w:hAnsi="Arial"/>
                <w:sz w:val="10"/>
                <w:szCs w:val="10"/>
                <w:b w:val="1"/>
                <w:bCs w:val="1"/>
                <w:color w:val="auto"/>
                <w:w w:val="84"/>
              </w:rPr>
              <w:t>Share,</w:t>
            </w: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jc w:val="center"/>
              <w:ind w:left="172"/>
              <w:spacing w:after="0" w:line="99" w:lineRule="exact"/>
              <w:rPr>
                <w:sz w:val="20"/>
                <w:szCs w:val="20"/>
                <w:color w:val="auto"/>
              </w:rPr>
            </w:pPr>
            <w:r>
              <w:rPr>
                <w:rFonts w:ascii="Arial" w:cs="Arial" w:eastAsia="Arial" w:hAnsi="Arial"/>
                <w:sz w:val="10"/>
                <w:szCs w:val="10"/>
                <w:b w:val="1"/>
                <w:bCs w:val="1"/>
                <w:color w:val="auto"/>
                <w:w w:val="89"/>
              </w:rPr>
              <w:t>Contractual</w:t>
            </w: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jc w:val="center"/>
              <w:ind w:right="185"/>
              <w:spacing w:after="0" w:line="99" w:lineRule="exact"/>
              <w:rPr>
                <w:sz w:val="20"/>
                <w:szCs w:val="20"/>
                <w:color w:val="auto"/>
              </w:rPr>
            </w:pPr>
            <w:r>
              <w:rPr>
                <w:rFonts w:ascii="Arial" w:cs="Arial" w:eastAsia="Arial" w:hAnsi="Arial"/>
                <w:sz w:val="10"/>
                <w:szCs w:val="10"/>
                <w:b w:val="1"/>
                <w:bCs w:val="1"/>
                <w:color w:val="auto"/>
                <w:w w:val="87"/>
              </w:rPr>
              <w:t>Intrinsic</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320" w:type="dxa"/>
            <w:vAlign w:val="bottom"/>
            <w:tcBorders>
              <w:bottom w:val="single" w:sz="8" w:color="CFF0FC"/>
            </w:tcBorders>
          </w:tcPr>
          <w:p>
            <w:pPr>
              <w:spacing w:after="0"/>
              <w:rPr>
                <w:sz w:val="9"/>
                <w:szCs w:val="9"/>
                <w:color w:val="auto"/>
              </w:rPr>
            </w:pPr>
          </w:p>
        </w:tc>
        <w:tc>
          <w:tcPr>
            <w:tcW w:w="980" w:type="dxa"/>
            <w:vAlign w:val="bottom"/>
            <w:tcBorders>
              <w:bottom w:val="single" w:sz="8" w:color="auto"/>
            </w:tcBorders>
          </w:tcPr>
          <w:p>
            <w:pPr>
              <w:jc w:val="right"/>
              <w:ind w:right="303"/>
              <w:spacing w:after="0" w:line="114" w:lineRule="exact"/>
              <w:rPr>
                <w:sz w:val="20"/>
                <w:szCs w:val="20"/>
                <w:color w:val="auto"/>
              </w:rPr>
            </w:pPr>
            <w:r>
              <w:rPr>
                <w:rFonts w:ascii="Arial" w:cs="Arial" w:eastAsia="Arial" w:hAnsi="Arial"/>
                <w:sz w:val="10"/>
                <w:szCs w:val="10"/>
                <w:b w:val="1"/>
                <w:bCs w:val="1"/>
                <w:color w:val="auto"/>
              </w:rPr>
              <w:t>Shares</w:t>
            </w:r>
          </w:p>
        </w:tc>
        <w:tc>
          <w:tcPr>
            <w:tcW w:w="200" w:type="dxa"/>
            <w:vAlign w:val="bottom"/>
            <w:tcBorders>
              <w:bottom w:val="single" w:sz="8" w:color="CFF0FC"/>
            </w:tcBorders>
          </w:tcPr>
          <w:p>
            <w:pPr>
              <w:spacing w:after="0"/>
              <w:rPr>
                <w:sz w:val="9"/>
                <w:szCs w:val="9"/>
                <w:color w:val="auto"/>
              </w:rPr>
            </w:pPr>
          </w:p>
        </w:tc>
        <w:tc>
          <w:tcPr>
            <w:tcW w:w="680" w:type="dxa"/>
            <w:vAlign w:val="bottom"/>
            <w:tcBorders>
              <w:bottom w:val="single" w:sz="8" w:color="auto"/>
            </w:tcBorders>
          </w:tcPr>
          <w:p>
            <w:pPr>
              <w:jc w:val="center"/>
              <w:ind w:left="232"/>
              <w:spacing w:after="0" w:line="114" w:lineRule="exact"/>
              <w:rPr>
                <w:sz w:val="20"/>
                <w:szCs w:val="20"/>
                <w:color w:val="auto"/>
              </w:rPr>
            </w:pPr>
            <w:r>
              <w:rPr>
                <w:rFonts w:ascii="Arial" w:cs="Arial" w:eastAsia="Arial" w:hAnsi="Arial"/>
                <w:sz w:val="10"/>
                <w:szCs w:val="10"/>
                <w:b w:val="1"/>
                <w:bCs w:val="1"/>
                <w:color w:val="auto"/>
                <w:w w:val="71"/>
              </w:rPr>
              <w:t>$</w:t>
            </w:r>
          </w:p>
        </w:tc>
        <w:tc>
          <w:tcPr>
            <w:tcW w:w="300" w:type="dxa"/>
            <w:vAlign w:val="bottom"/>
            <w:tcBorders>
              <w:bottom w:val="single" w:sz="8" w:color="auto"/>
            </w:tcBorders>
          </w:tcPr>
          <w:p>
            <w:pPr>
              <w:spacing w:after="0"/>
              <w:rPr>
                <w:sz w:val="9"/>
                <w:szCs w:val="9"/>
                <w:color w:val="auto"/>
              </w:rPr>
            </w:pPr>
          </w:p>
        </w:tc>
        <w:tc>
          <w:tcPr>
            <w:tcW w:w="180" w:type="dxa"/>
            <w:vAlign w:val="bottom"/>
            <w:tcBorders>
              <w:bottom w:val="single" w:sz="8" w:color="CFF0FC"/>
            </w:tcBorders>
          </w:tcPr>
          <w:p>
            <w:pPr>
              <w:spacing w:after="0"/>
              <w:rPr>
                <w:sz w:val="9"/>
                <w:szCs w:val="9"/>
                <w:color w:val="auto"/>
              </w:rPr>
            </w:pPr>
          </w:p>
        </w:tc>
        <w:tc>
          <w:tcPr>
            <w:tcW w:w="760" w:type="dxa"/>
            <w:vAlign w:val="bottom"/>
            <w:tcBorders>
              <w:bottom w:val="single" w:sz="8" w:color="auto"/>
            </w:tcBorders>
          </w:tcPr>
          <w:p>
            <w:pPr>
              <w:jc w:val="center"/>
              <w:ind w:left="172"/>
              <w:spacing w:after="0" w:line="114" w:lineRule="exact"/>
              <w:rPr>
                <w:sz w:val="20"/>
                <w:szCs w:val="20"/>
                <w:color w:val="auto"/>
              </w:rPr>
            </w:pPr>
            <w:r>
              <w:rPr>
                <w:rFonts w:ascii="Arial" w:cs="Arial" w:eastAsia="Arial" w:hAnsi="Arial"/>
                <w:sz w:val="10"/>
                <w:szCs w:val="10"/>
                <w:b w:val="1"/>
                <w:bCs w:val="1"/>
                <w:color w:val="auto"/>
                <w:w w:val="89"/>
              </w:rPr>
              <w:t>Term</w:t>
            </w:r>
          </w:p>
        </w:tc>
        <w:tc>
          <w:tcPr>
            <w:tcW w:w="240" w:type="dxa"/>
            <w:vAlign w:val="bottom"/>
            <w:tcBorders>
              <w:bottom w:val="single" w:sz="8" w:color="auto"/>
            </w:tcBorders>
          </w:tcPr>
          <w:p>
            <w:pPr>
              <w:spacing w:after="0"/>
              <w:rPr>
                <w:sz w:val="9"/>
                <w:szCs w:val="9"/>
                <w:color w:val="auto"/>
              </w:rPr>
            </w:pPr>
          </w:p>
        </w:tc>
        <w:tc>
          <w:tcPr>
            <w:tcW w:w="18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center"/>
              <w:ind w:right="185"/>
              <w:spacing w:after="0" w:line="114" w:lineRule="exact"/>
              <w:rPr>
                <w:sz w:val="20"/>
                <w:szCs w:val="20"/>
                <w:color w:val="auto"/>
              </w:rPr>
            </w:pPr>
            <w:r>
              <w:rPr>
                <w:rFonts w:ascii="Arial" w:cs="Arial" w:eastAsia="Arial" w:hAnsi="Arial"/>
                <w:sz w:val="10"/>
                <w:szCs w:val="10"/>
                <w:b w:val="1"/>
                <w:bCs w:val="1"/>
                <w:color w:val="auto"/>
                <w:w w:val="82"/>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2"/>
                <w:szCs w:val="12"/>
                <w:color w:val="auto"/>
              </w:rPr>
              <w:t>Outstanding – January 1, 2020</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3,278,439</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5.29</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5"/>
              </w:rPr>
              <w:t>5.08</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tcBorders>
              <w:right w:val="single" w:sz="8" w:color="CFF0FC"/>
            </w:tcBorders>
            <w:shd w:val="clear" w:color="auto" w:fill="CFF0FC"/>
          </w:tcPr>
          <w:p>
            <w:pPr>
              <w:jc w:val="right"/>
              <w:ind w:right="25"/>
              <w:spacing w:after="0"/>
              <w:rPr>
                <w:sz w:val="20"/>
                <w:szCs w:val="20"/>
                <w:color w:val="auto"/>
              </w:rPr>
            </w:pPr>
            <w:r>
              <w:rPr>
                <w:rFonts w:ascii="Arial" w:cs="Arial" w:eastAsia="Arial" w:hAnsi="Arial"/>
                <w:sz w:val="12"/>
                <w:szCs w:val="12"/>
                <w:color w:val="auto"/>
              </w:rPr>
              <w:t>4,885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tcPr>
          <w:p>
            <w:pPr>
              <w:ind w:left="80"/>
              <w:spacing w:after="0"/>
              <w:rPr>
                <w:sz w:val="20"/>
                <w:szCs w:val="20"/>
                <w:color w:val="auto"/>
              </w:rPr>
            </w:pPr>
            <w:r>
              <w:rPr>
                <w:rFonts w:ascii="Arial" w:cs="Arial" w:eastAsia="Arial" w:hAnsi="Arial"/>
                <w:sz w:val="12"/>
                <w:szCs w:val="12"/>
                <w:color w:val="auto"/>
              </w:rPr>
              <w:t>Options granted</w:t>
            </w:r>
          </w:p>
        </w:tc>
        <w:tc>
          <w:tcPr>
            <w:tcW w:w="980" w:type="dxa"/>
            <w:vAlign w:val="bottom"/>
          </w:tcPr>
          <w:p>
            <w:pPr>
              <w:jc w:val="right"/>
              <w:spacing w:after="0"/>
              <w:rPr>
                <w:sz w:val="20"/>
                <w:szCs w:val="20"/>
                <w:color w:val="auto"/>
              </w:rPr>
            </w:pPr>
            <w:r>
              <w:rPr>
                <w:rFonts w:ascii="Arial" w:cs="Arial" w:eastAsia="Arial" w:hAnsi="Arial"/>
                <w:sz w:val="12"/>
                <w:szCs w:val="12"/>
                <w:color w:val="auto"/>
              </w:rPr>
              <w:t>1,615,000</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4.36</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shd w:val="clear" w:color="auto" w:fill="CFF0FC"/>
          </w:tcPr>
          <w:p>
            <w:pPr>
              <w:ind w:left="80"/>
              <w:spacing w:after="0"/>
              <w:rPr>
                <w:sz w:val="20"/>
                <w:szCs w:val="20"/>
                <w:color w:val="auto"/>
              </w:rPr>
            </w:pPr>
            <w:r>
              <w:rPr>
                <w:rFonts w:ascii="Arial" w:cs="Arial" w:eastAsia="Arial" w:hAnsi="Arial"/>
                <w:sz w:val="12"/>
                <w:szCs w:val="12"/>
                <w:color w:val="auto"/>
              </w:rPr>
              <w:t>Options exercised</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spacing w:after="0"/>
              <w:rPr>
                <w:sz w:val="13"/>
                <w:szCs w:val="13"/>
                <w:color w:val="auto"/>
              </w:rPr>
            </w:pPr>
          </w:p>
        </w:tc>
        <w:tc>
          <w:tcPr>
            <w:tcW w:w="1240" w:type="dxa"/>
            <w:vAlign w:val="bottom"/>
            <w:gridSpan w:val="3"/>
            <w:shd w:val="clear" w:color="auto" w:fill="CFF0FC"/>
          </w:tcPr>
          <w:p>
            <w:pPr>
              <w:jc w:val="right"/>
              <w:ind w:right="912"/>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tcBorders>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tcPr>
          <w:p>
            <w:pPr>
              <w:ind w:left="80"/>
              <w:spacing w:after="0"/>
              <w:rPr>
                <w:sz w:val="20"/>
                <w:szCs w:val="20"/>
                <w:color w:val="auto"/>
              </w:rPr>
            </w:pPr>
            <w:r>
              <w:rPr>
                <w:rFonts w:ascii="Arial" w:cs="Arial" w:eastAsia="Arial" w:hAnsi="Arial"/>
                <w:sz w:val="12"/>
                <w:szCs w:val="12"/>
                <w:color w:val="auto"/>
              </w:rPr>
              <w:t>Options forfeited/cancelled</w:t>
            </w: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(109,956)</w:t>
            </w:r>
          </w:p>
        </w:tc>
        <w:tc>
          <w:tcPr>
            <w:tcW w:w="6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w w:val="86"/>
              </w:rPr>
              <w:t>25.77</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Outstanding – March 31, 2020</w:t>
            </w: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vMerge w:val="continue"/>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4,783,483</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4.50</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5"/>
              </w:rPr>
              <w:t>6.54</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tcBorders>
              <w:right w:val="single" w:sz="8" w:color="CFF0FC"/>
            </w:tcBorders>
            <w:shd w:val="clear" w:color="auto" w:fill="CFF0FC"/>
          </w:tcPr>
          <w:p>
            <w:pPr>
              <w:jc w:val="right"/>
              <w:ind w:right="25"/>
              <w:spacing w:after="0"/>
              <w:rPr>
                <w:sz w:val="20"/>
                <w:szCs w:val="20"/>
                <w:color w:val="auto"/>
              </w:rPr>
            </w:pPr>
            <w:r>
              <w:rPr>
                <w:rFonts w:ascii="Arial" w:cs="Arial" w:eastAsia="Arial" w:hAnsi="Arial"/>
                <w:sz w:val="12"/>
                <w:szCs w:val="12"/>
                <w:color w:val="auto"/>
              </w:rPr>
              <w:t>2,750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FF0FC"/>
          </w:tcPr>
          <w:p>
            <w:pPr>
              <w:spacing w:after="0" w:line="20" w:lineRule="exact"/>
              <w:rPr>
                <w:sz w:val="1"/>
                <w:szCs w:val="1"/>
                <w:color w:val="auto"/>
              </w:rPr>
            </w:pPr>
          </w:p>
        </w:tc>
        <w:tc>
          <w:tcPr>
            <w:tcW w:w="98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80" w:type="dxa"/>
            <w:vAlign w:val="bottom"/>
            <w:tcBorders>
              <w:bottom w:val="single" w:sz="8" w:color="auto"/>
            </w:tcBorders>
            <w:shd w:val="clear" w:color="auto" w:fill="000000"/>
          </w:tcPr>
          <w:p>
            <w:pPr>
              <w:spacing w:after="0" w:line="20" w:lineRule="exact"/>
              <w:rPr>
                <w:sz w:val="1"/>
                <w:szCs w:val="1"/>
                <w:color w:val="auto"/>
              </w:rPr>
            </w:pPr>
          </w:p>
        </w:tc>
        <w:tc>
          <w:tcPr>
            <w:tcW w:w="30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60" w:type="dxa"/>
            <w:vAlign w:val="bottom"/>
            <w:tcBorders>
              <w:bottom w:val="single" w:sz="8" w:color="auto"/>
            </w:tcBorders>
            <w:shd w:val="clear" w:color="auto" w:fill="000000"/>
          </w:tcPr>
          <w:p>
            <w:pPr>
              <w:spacing w:after="0" w:line="20" w:lineRule="exact"/>
              <w:rPr>
                <w:sz w:val="1"/>
                <w:szCs w:val="1"/>
                <w:color w:val="auto"/>
              </w:rPr>
            </w:pPr>
          </w:p>
        </w:tc>
        <w:tc>
          <w:tcPr>
            <w:tcW w:w="24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tcBorders>
              <w:bottom w:val="single" w:sz="8" w:color="auto"/>
            </w:tcBorders>
            <w:shd w:val="clear" w:color="auto" w:fill="000000"/>
          </w:tcPr>
          <w:p>
            <w:pPr>
              <w:spacing w:after="0" w:line="20" w:lineRule="exact"/>
              <w:rPr>
                <w:sz w:val="1"/>
                <w:szCs w:val="1"/>
                <w:color w:val="auto"/>
              </w:rPr>
            </w:pPr>
          </w:p>
        </w:tc>
        <w:tc>
          <w:tcPr>
            <w:tcW w:w="900" w:type="dxa"/>
            <w:vAlign w:val="bottom"/>
            <w:tcBorders>
              <w:bottom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340" w:type="dxa"/>
            <w:vAlign w:val="bottom"/>
            <w:gridSpan w:val="2"/>
          </w:tcPr>
          <w:p>
            <w:pPr>
              <w:spacing w:after="0"/>
              <w:rPr>
                <w:sz w:val="20"/>
                <w:szCs w:val="20"/>
                <w:color w:val="auto"/>
              </w:rPr>
            </w:pPr>
            <w:r>
              <w:rPr>
                <w:rFonts w:ascii="Arial" w:cs="Arial" w:eastAsia="Arial" w:hAnsi="Arial"/>
                <w:sz w:val="12"/>
                <w:szCs w:val="12"/>
                <w:color w:val="auto"/>
              </w:rPr>
              <w:t>Exercisable – March 31, 2020</w:t>
            </w:r>
          </w:p>
        </w:tc>
        <w:tc>
          <w:tcPr>
            <w:tcW w:w="980" w:type="dxa"/>
            <w:vAlign w:val="bottom"/>
          </w:tcPr>
          <w:p>
            <w:pPr>
              <w:jc w:val="right"/>
              <w:spacing w:after="0"/>
              <w:rPr>
                <w:sz w:val="20"/>
                <w:szCs w:val="20"/>
                <w:color w:val="auto"/>
              </w:rPr>
            </w:pPr>
            <w:r>
              <w:rPr>
                <w:rFonts w:ascii="Arial" w:cs="Arial" w:eastAsia="Arial" w:hAnsi="Arial"/>
                <w:sz w:val="12"/>
                <w:szCs w:val="12"/>
                <w:color w:val="auto"/>
              </w:rPr>
              <w:t>2,730,791</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3.98</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w w:val="85"/>
              </w:rPr>
              <w:t>4.20</w:t>
            </w:r>
          </w:p>
        </w:tc>
        <w:tc>
          <w:tcPr>
            <w:tcW w:w="3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25"/>
              <w:spacing w:after="0"/>
              <w:rPr>
                <w:sz w:val="20"/>
                <w:szCs w:val="20"/>
                <w:color w:val="auto"/>
              </w:rPr>
            </w:pPr>
            <w:r>
              <w:rPr>
                <w:rFonts w:ascii="Arial" w:cs="Arial" w:eastAsia="Arial" w:hAnsi="Arial"/>
                <w:sz w:val="12"/>
                <w:szCs w:val="12"/>
                <w:color w:val="auto"/>
              </w:rPr>
              <w:t>2,750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Expected to vest – after March 31, 2020</w:t>
            </w:r>
          </w:p>
        </w:tc>
        <w:tc>
          <w:tcPr>
            <w:tcW w:w="98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tcBorders>
              <w:right w:val="single" w:sz="8" w:color="CFF0FC"/>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vMerge w:val="continue"/>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2,052,692</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5.21</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5"/>
              </w:rPr>
              <w:t>9.64</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tcBorders>
              <w:right w:val="single" w:sz="8" w:color="CFF0FC"/>
            </w:tcBorders>
            <w:shd w:val="clear" w:color="auto" w:fill="CFF0FC"/>
          </w:tcPr>
          <w:p>
            <w:pPr>
              <w:jc w:val="right"/>
              <w:ind w:right="25"/>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FF0F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tcBorders>
              <w:right w:val="single" w:sz="8" w:color="CFF0FC"/>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following tables summarize information about share options outstanding and exercisable at March 31, 2020: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Options Outstanding</w:t>
            </w: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5"/>
              </w:rPr>
              <w:t>Options Exercisable</w:t>
            </w: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83"/>
        </w:trPr>
        <w:tc>
          <w:tcPr>
            <w:tcW w:w="12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Weighted</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Weighted</w:t>
            </w: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99"/>
        </w:trPr>
        <w:tc>
          <w:tcPr>
            <w:tcW w:w="1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4"/>
              </w:rPr>
              <w:t>average</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4"/>
              </w:rPr>
              <w:t>average</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99"/>
        </w:trPr>
        <w:tc>
          <w:tcPr>
            <w:tcW w:w="1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7"/>
              </w:rPr>
              <w:t>remaining</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8"/>
              </w:rPr>
              <w:t>Weighted</w:t>
            </w: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7"/>
              </w:rPr>
              <w:t>remaining</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4"/>
              </w:rPr>
              <w:t>Weighted</w:t>
            </w:r>
          </w:p>
        </w:tc>
        <w:tc>
          <w:tcPr>
            <w:tcW w:w="1240" w:type="dxa"/>
            <w:vAlign w:val="bottom"/>
          </w:tcPr>
          <w:p>
            <w:pPr>
              <w:spacing w:after="0"/>
              <w:rPr>
                <w:sz w:val="8"/>
                <w:szCs w:val="8"/>
                <w:color w:val="auto"/>
              </w:rPr>
            </w:pPr>
          </w:p>
        </w:tc>
      </w:tr>
      <w:tr>
        <w:trPr>
          <w:trHeight w:val="99"/>
        </w:trPr>
        <w:tc>
          <w:tcPr>
            <w:tcW w:w="1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8"/>
              </w:rPr>
              <w:t>contractual</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4"/>
              </w:rPr>
              <w:t>average</w:t>
            </w: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5"/>
              </w:rPr>
              <w:t>contractual</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84"/>
              </w:rPr>
              <w:t>average</w:t>
            </w:r>
          </w:p>
        </w:tc>
        <w:tc>
          <w:tcPr>
            <w:tcW w:w="1240" w:type="dxa"/>
            <w:vAlign w:val="bottom"/>
          </w:tcPr>
          <w:p>
            <w:pPr>
              <w:spacing w:after="0"/>
              <w:rPr>
                <w:sz w:val="8"/>
                <w:szCs w:val="8"/>
                <w:color w:val="auto"/>
              </w:rPr>
            </w:pPr>
          </w:p>
        </w:tc>
      </w:tr>
      <w:tr>
        <w:trPr>
          <w:trHeight w:val="99"/>
        </w:trPr>
        <w:tc>
          <w:tcPr>
            <w:tcW w:w="1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92"/>
              </w:rPr>
              <w:t>term</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82"/>
              </w:rPr>
              <w:t>Exercise</w:t>
            </w:r>
          </w:p>
        </w:tc>
        <w:tc>
          <w:tcPr>
            <w:tcW w:w="1240" w:type="dxa"/>
            <w:vAlign w:val="bottom"/>
            <w:gridSpan w:val="2"/>
          </w:tcPr>
          <w:p>
            <w:pPr>
              <w:ind w:left="360"/>
              <w:spacing w:after="0" w:line="99" w:lineRule="exact"/>
              <w:rPr>
                <w:sz w:val="20"/>
                <w:szCs w:val="20"/>
                <w:color w:val="auto"/>
              </w:rPr>
            </w:pPr>
            <w:r>
              <w:rPr>
                <w:rFonts w:ascii="Arial" w:cs="Arial" w:eastAsia="Arial" w:hAnsi="Arial"/>
                <w:sz w:val="10"/>
                <w:szCs w:val="10"/>
                <w:b w:val="1"/>
                <w:bCs w:val="1"/>
                <w:color w:val="auto"/>
              </w:rPr>
              <w:t>Options</w:t>
            </w:r>
          </w:p>
        </w:tc>
        <w:tc>
          <w:tcPr>
            <w:tcW w:w="10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92"/>
              </w:rPr>
              <w:t>term</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2"/>
              </w:rPr>
              <w:t>Exercise</w:t>
            </w:r>
          </w:p>
        </w:tc>
        <w:tc>
          <w:tcPr>
            <w:tcW w:w="1240" w:type="dxa"/>
            <w:vAlign w:val="bottom"/>
          </w:tcPr>
          <w:p>
            <w:pPr>
              <w:spacing w:after="0"/>
              <w:rPr>
                <w:sz w:val="8"/>
                <w:szCs w:val="8"/>
                <w:color w:val="auto"/>
              </w:rPr>
            </w:pPr>
          </w:p>
        </w:tc>
      </w:tr>
      <w:tr>
        <w:trPr>
          <w:trHeight w:val="113"/>
        </w:trPr>
        <w:tc>
          <w:tcPr>
            <w:tcW w:w="1220" w:type="dxa"/>
            <w:vAlign w:val="bottom"/>
          </w:tcPr>
          <w:p>
            <w:pPr>
              <w:spacing w:after="0"/>
              <w:rPr>
                <w:sz w:val="9"/>
                <w:szCs w:val="9"/>
                <w:color w:val="auto"/>
              </w:rPr>
            </w:pPr>
          </w:p>
        </w:tc>
        <w:tc>
          <w:tcPr>
            <w:tcW w:w="140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rPr>
              <w:t>Exercise Price Range</w:t>
            </w:r>
          </w:p>
        </w:tc>
        <w:tc>
          <w:tcPr>
            <w:tcW w:w="120" w:type="dxa"/>
            <w:vAlign w:val="bottom"/>
            <w:tcBorders>
              <w:bottom w:val="single" w:sz="8" w:color="CFF0FC"/>
            </w:tcBorders>
          </w:tcPr>
          <w:p>
            <w:pPr>
              <w:spacing w:after="0"/>
              <w:rPr>
                <w:sz w:val="9"/>
                <w:szCs w:val="9"/>
                <w:color w:val="auto"/>
              </w:rPr>
            </w:pPr>
          </w:p>
        </w:tc>
        <w:tc>
          <w:tcPr>
            <w:tcW w:w="1040" w:type="dxa"/>
            <w:vAlign w:val="bottom"/>
            <w:tcBorders>
              <w:bottom w:val="single" w:sz="8" w:color="auto"/>
            </w:tcBorders>
          </w:tcPr>
          <w:p>
            <w:pPr>
              <w:jc w:val="right"/>
              <w:ind w:right="302"/>
              <w:spacing w:after="0" w:line="114" w:lineRule="exact"/>
              <w:rPr>
                <w:sz w:val="20"/>
                <w:szCs w:val="20"/>
                <w:color w:val="auto"/>
              </w:rPr>
            </w:pPr>
            <w:r>
              <w:rPr>
                <w:rFonts w:ascii="Arial" w:cs="Arial" w:eastAsia="Arial" w:hAnsi="Arial"/>
                <w:sz w:val="10"/>
                <w:szCs w:val="10"/>
                <w:b w:val="1"/>
                <w:bCs w:val="1"/>
                <w:color w:val="auto"/>
              </w:rPr>
              <w:t>Number</w:t>
            </w:r>
          </w:p>
        </w:tc>
        <w:tc>
          <w:tcPr>
            <w:tcW w:w="200" w:type="dxa"/>
            <w:vAlign w:val="bottom"/>
            <w:tcBorders>
              <w:bottom w:val="single" w:sz="8" w:color="CFF0FC"/>
            </w:tcBorders>
          </w:tcPr>
          <w:p>
            <w:pPr>
              <w:spacing w:after="0"/>
              <w:rPr>
                <w:sz w:val="9"/>
                <w:szCs w:val="9"/>
                <w:color w:val="auto"/>
              </w:rPr>
            </w:pPr>
          </w:p>
        </w:tc>
        <w:tc>
          <w:tcPr>
            <w:tcW w:w="102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5"/>
              </w:rPr>
              <w:t>(years)</w:t>
            </w:r>
          </w:p>
        </w:tc>
        <w:tc>
          <w:tcPr>
            <w:tcW w:w="22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center"/>
              <w:ind w:right="164"/>
              <w:spacing w:after="0" w:line="114" w:lineRule="exact"/>
              <w:rPr>
                <w:sz w:val="20"/>
                <w:szCs w:val="20"/>
                <w:color w:val="auto"/>
              </w:rPr>
            </w:pPr>
            <w:r>
              <w:rPr>
                <w:rFonts w:ascii="Arial" w:cs="Arial" w:eastAsia="Arial" w:hAnsi="Arial"/>
                <w:sz w:val="10"/>
                <w:szCs w:val="10"/>
                <w:b w:val="1"/>
                <w:bCs w:val="1"/>
                <w:color w:val="auto"/>
                <w:w w:val="89"/>
              </w:rPr>
              <w:t>Price</w:t>
            </w:r>
          </w:p>
        </w:tc>
        <w:tc>
          <w:tcPr>
            <w:tcW w:w="200" w:type="dxa"/>
            <w:vAlign w:val="bottom"/>
            <w:tcBorders>
              <w:bottom w:val="single" w:sz="8" w:color="CFF0FC"/>
            </w:tcBorders>
          </w:tcPr>
          <w:p>
            <w:pPr>
              <w:spacing w:after="0"/>
              <w:rPr>
                <w:sz w:val="9"/>
                <w:szCs w:val="9"/>
                <w:color w:val="auto"/>
              </w:rPr>
            </w:pPr>
          </w:p>
        </w:tc>
        <w:tc>
          <w:tcPr>
            <w:tcW w:w="1040" w:type="dxa"/>
            <w:vAlign w:val="bottom"/>
            <w:tcBorders>
              <w:bottom w:val="single" w:sz="8" w:color="auto"/>
            </w:tcBorders>
          </w:tcPr>
          <w:p>
            <w:pPr>
              <w:jc w:val="right"/>
              <w:ind w:right="243"/>
              <w:spacing w:after="0" w:line="114" w:lineRule="exact"/>
              <w:rPr>
                <w:sz w:val="20"/>
                <w:szCs w:val="20"/>
                <w:color w:val="auto"/>
              </w:rPr>
            </w:pPr>
            <w:r>
              <w:rPr>
                <w:rFonts w:ascii="Arial" w:cs="Arial" w:eastAsia="Arial" w:hAnsi="Arial"/>
                <w:sz w:val="10"/>
                <w:szCs w:val="10"/>
                <w:b w:val="1"/>
                <w:bCs w:val="1"/>
                <w:color w:val="auto"/>
              </w:rPr>
              <w:t>exercisable</w:t>
            </w:r>
          </w:p>
        </w:tc>
        <w:tc>
          <w:tcPr>
            <w:tcW w:w="200" w:type="dxa"/>
            <w:vAlign w:val="bottom"/>
            <w:tcBorders>
              <w:bottom w:val="single" w:sz="8" w:color="CFF0FC"/>
            </w:tcBorders>
          </w:tcPr>
          <w:p>
            <w:pPr>
              <w:spacing w:after="0"/>
              <w:rPr>
                <w:sz w:val="9"/>
                <w:szCs w:val="9"/>
                <w:color w:val="auto"/>
              </w:rPr>
            </w:pPr>
          </w:p>
        </w:tc>
        <w:tc>
          <w:tcPr>
            <w:tcW w:w="10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5"/>
              </w:rPr>
              <w:t>(years)</w:t>
            </w:r>
          </w:p>
        </w:tc>
        <w:tc>
          <w:tcPr>
            <w:tcW w:w="20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center"/>
              <w:ind w:right="145"/>
              <w:spacing w:after="0" w:line="114" w:lineRule="exact"/>
              <w:rPr>
                <w:sz w:val="20"/>
                <w:szCs w:val="20"/>
                <w:color w:val="auto"/>
              </w:rPr>
            </w:pPr>
            <w:r>
              <w:rPr>
                <w:rFonts w:ascii="Arial" w:cs="Arial" w:eastAsia="Arial" w:hAnsi="Arial"/>
                <w:sz w:val="10"/>
                <w:szCs w:val="10"/>
                <w:b w:val="1"/>
                <w:bCs w:val="1"/>
                <w:color w:val="auto"/>
                <w:w w:val="89"/>
              </w:rPr>
              <w:t>Price</w:t>
            </w:r>
          </w:p>
        </w:tc>
        <w:tc>
          <w:tcPr>
            <w:tcW w:w="100" w:type="dxa"/>
            <w:vAlign w:val="bottom"/>
            <w:tcBorders>
              <w:bottom w:val="single" w:sz="8" w:color="CFF0FC"/>
            </w:tcBorders>
          </w:tcPr>
          <w:p>
            <w:pPr>
              <w:spacing w:after="0"/>
              <w:rPr>
                <w:sz w:val="9"/>
                <w:szCs w:val="9"/>
                <w:color w:val="auto"/>
              </w:rPr>
            </w:pPr>
          </w:p>
        </w:tc>
        <w:tc>
          <w:tcPr>
            <w:tcW w:w="1240" w:type="dxa"/>
            <w:vAlign w:val="bottom"/>
          </w:tcPr>
          <w:p>
            <w:pPr>
              <w:spacing w:after="0"/>
              <w:rPr>
                <w:sz w:val="9"/>
                <w:szCs w:val="9"/>
                <w:color w:val="auto"/>
              </w:rPr>
            </w:pPr>
          </w:p>
        </w:tc>
      </w:tr>
      <w:tr>
        <w:trPr>
          <w:trHeight w:val="142"/>
        </w:trPr>
        <w:tc>
          <w:tcPr>
            <w:tcW w:w="1220" w:type="dxa"/>
            <w:vAlign w:val="bottom"/>
          </w:tcPr>
          <w:p>
            <w:pPr>
              <w:spacing w:after="0"/>
              <w:rPr>
                <w:sz w:val="12"/>
                <w:szCs w:val="12"/>
                <w:color w:val="auto"/>
              </w:rPr>
            </w:pPr>
          </w:p>
        </w:tc>
        <w:tc>
          <w:tcPr>
            <w:tcW w:w="1400" w:type="dxa"/>
            <w:vAlign w:val="bottom"/>
            <w:shd w:val="clear" w:color="auto" w:fill="CFF0FC"/>
          </w:tcPr>
          <w:p>
            <w:pPr>
              <w:spacing w:after="0"/>
              <w:rPr>
                <w:sz w:val="20"/>
                <w:szCs w:val="20"/>
                <w:color w:val="auto"/>
              </w:rPr>
            </w:pPr>
            <w:r>
              <w:rPr>
                <w:rFonts w:ascii="Arial" w:cs="Arial" w:eastAsia="Arial" w:hAnsi="Arial"/>
                <w:sz w:val="12"/>
                <w:szCs w:val="12"/>
                <w:color w:val="auto"/>
              </w:rPr>
              <w:t>$0.15 - $3.64</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3,205,312</w:t>
            </w:r>
          </w:p>
        </w:tc>
        <w:tc>
          <w:tcPr>
            <w:tcW w:w="2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5.89</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2.74</w:t>
            </w:r>
          </w:p>
        </w:tc>
        <w:tc>
          <w:tcPr>
            <w:tcW w:w="2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1,890,312</w:t>
            </w:r>
          </w:p>
        </w:tc>
        <w:tc>
          <w:tcPr>
            <w:tcW w:w="2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3.03</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2.12</w:t>
            </w:r>
          </w:p>
        </w:tc>
        <w:tc>
          <w:tcPr>
            <w:tcW w:w="100" w:type="dxa"/>
            <w:vAlign w:val="bottom"/>
            <w:shd w:val="clear" w:color="auto" w:fill="CFF0FC"/>
          </w:tcPr>
          <w:p>
            <w:pPr>
              <w:spacing w:after="0"/>
              <w:rPr>
                <w:sz w:val="12"/>
                <w:szCs w:val="12"/>
                <w:color w:val="auto"/>
              </w:rPr>
            </w:pPr>
          </w:p>
        </w:tc>
        <w:tc>
          <w:tcPr>
            <w:tcW w:w="1240" w:type="dxa"/>
            <w:vAlign w:val="bottom"/>
          </w:tcPr>
          <w:p>
            <w:pPr>
              <w:spacing w:after="0"/>
              <w:rPr>
                <w:sz w:val="12"/>
                <w:szCs w:val="12"/>
                <w:color w:val="auto"/>
              </w:rPr>
            </w:pPr>
          </w:p>
        </w:tc>
      </w:tr>
      <w:tr>
        <w:trPr>
          <w:trHeight w:val="153"/>
        </w:trPr>
        <w:tc>
          <w:tcPr>
            <w:tcW w:w="2620" w:type="dxa"/>
            <w:vAlign w:val="bottom"/>
            <w:gridSpan w:val="2"/>
          </w:tcPr>
          <w:p>
            <w:pPr>
              <w:ind w:left="1220"/>
              <w:spacing w:after="0"/>
              <w:rPr>
                <w:sz w:val="20"/>
                <w:szCs w:val="20"/>
                <w:color w:val="auto"/>
              </w:rPr>
            </w:pPr>
            <w:r>
              <w:rPr>
                <w:rFonts w:ascii="Arial" w:cs="Arial" w:eastAsia="Arial" w:hAnsi="Arial"/>
                <w:sz w:val="12"/>
                <w:szCs w:val="12"/>
                <w:color w:val="auto"/>
              </w:rPr>
              <w:t>$5.25 - $12.00</w:t>
            </w: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1,493,525</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7.99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6.90</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780,687</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7.05</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6.28</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3"/>
        </w:trPr>
        <w:tc>
          <w:tcPr>
            <w:tcW w:w="1220" w:type="dxa"/>
            <w:vAlign w:val="bottom"/>
          </w:tcPr>
          <w:p>
            <w:pPr>
              <w:spacing w:after="0"/>
              <w:rPr>
                <w:sz w:val="13"/>
                <w:szCs w:val="13"/>
                <w:color w:val="auto"/>
              </w:rPr>
            </w:pPr>
          </w:p>
        </w:tc>
        <w:tc>
          <w:tcPr>
            <w:tcW w:w="1400" w:type="dxa"/>
            <w:vAlign w:val="bottom"/>
            <w:shd w:val="clear" w:color="auto" w:fill="CFF0FC"/>
          </w:tcPr>
          <w:p>
            <w:pPr>
              <w:spacing w:after="0"/>
              <w:rPr>
                <w:sz w:val="20"/>
                <w:szCs w:val="20"/>
                <w:color w:val="auto"/>
              </w:rPr>
            </w:pPr>
            <w:r>
              <w:rPr>
                <w:rFonts w:ascii="Arial" w:cs="Arial" w:eastAsia="Arial" w:hAnsi="Arial"/>
                <w:sz w:val="12"/>
                <w:szCs w:val="12"/>
                <w:color w:val="auto"/>
              </w:rPr>
              <w:t>$12.45 - $26.10</w:t>
            </w: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37,576</w:t>
            </w:r>
          </w:p>
        </w:tc>
        <w:tc>
          <w:tcPr>
            <w:tcW w:w="2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8.46</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18.45</w:t>
            </w:r>
          </w:p>
        </w:tc>
        <w:tc>
          <w:tcPr>
            <w:tcW w:w="2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14,246</w:t>
            </w:r>
          </w:p>
        </w:tc>
        <w:tc>
          <w:tcPr>
            <w:tcW w:w="2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8.20</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19.19</w:t>
            </w:r>
          </w:p>
        </w:tc>
        <w:tc>
          <w:tcPr>
            <w:tcW w:w="100" w:type="dxa"/>
            <w:vAlign w:val="bottom"/>
            <w:shd w:val="clear" w:color="auto" w:fill="CFF0FC"/>
          </w:tcPr>
          <w:p>
            <w:pPr>
              <w:spacing w:after="0"/>
              <w:rPr>
                <w:sz w:val="13"/>
                <w:szCs w:val="13"/>
                <w:color w:val="auto"/>
              </w:rPr>
            </w:pPr>
          </w:p>
        </w:tc>
        <w:tc>
          <w:tcPr>
            <w:tcW w:w="1240" w:type="dxa"/>
            <w:vAlign w:val="bottom"/>
          </w:tcPr>
          <w:p>
            <w:pPr>
              <w:spacing w:after="0"/>
              <w:rPr>
                <w:sz w:val="13"/>
                <w:szCs w:val="13"/>
                <w:color w:val="auto"/>
              </w:rPr>
            </w:pPr>
          </w:p>
        </w:tc>
      </w:tr>
      <w:tr>
        <w:trPr>
          <w:trHeight w:val="153"/>
        </w:trPr>
        <w:tc>
          <w:tcPr>
            <w:tcW w:w="2620" w:type="dxa"/>
            <w:vAlign w:val="bottom"/>
            <w:gridSpan w:val="2"/>
          </w:tcPr>
          <w:p>
            <w:pPr>
              <w:ind w:left="1220"/>
              <w:spacing w:after="0"/>
              <w:rPr>
                <w:sz w:val="20"/>
                <w:szCs w:val="20"/>
                <w:color w:val="auto"/>
              </w:rPr>
            </w:pPr>
            <w:r>
              <w:rPr>
                <w:rFonts w:ascii="Arial" w:cs="Arial" w:eastAsia="Arial" w:hAnsi="Arial"/>
                <w:sz w:val="12"/>
                <w:szCs w:val="12"/>
                <w:color w:val="auto"/>
              </w:rPr>
              <w:t>$26.70 - $33.00</w:t>
            </w: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31,912</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2.21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27.30</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31,796</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2.19</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27.30</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3"/>
        </w:trPr>
        <w:tc>
          <w:tcPr>
            <w:tcW w:w="1220" w:type="dxa"/>
            <w:vAlign w:val="bottom"/>
          </w:tcPr>
          <w:p>
            <w:pPr>
              <w:spacing w:after="0"/>
              <w:rPr>
                <w:sz w:val="13"/>
                <w:szCs w:val="13"/>
                <w:color w:val="auto"/>
              </w:rPr>
            </w:pPr>
          </w:p>
        </w:tc>
        <w:tc>
          <w:tcPr>
            <w:tcW w:w="1400" w:type="dxa"/>
            <w:vAlign w:val="bottom"/>
            <w:shd w:val="clear" w:color="auto" w:fill="CFF0FC"/>
          </w:tcPr>
          <w:p>
            <w:pPr>
              <w:spacing w:after="0"/>
              <w:rPr>
                <w:sz w:val="20"/>
                <w:szCs w:val="20"/>
                <w:color w:val="auto"/>
              </w:rPr>
            </w:pPr>
            <w:r>
              <w:rPr>
                <w:rFonts w:ascii="Arial" w:cs="Arial" w:eastAsia="Arial" w:hAnsi="Arial"/>
                <w:sz w:val="12"/>
                <w:szCs w:val="12"/>
                <w:color w:val="auto"/>
              </w:rPr>
              <w:t>$36.00 - $94.65</w:t>
            </w:r>
          </w:p>
        </w:tc>
        <w:tc>
          <w:tcPr>
            <w:tcW w:w="120" w:type="dxa"/>
            <w:vAlign w:val="bottom"/>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15,158</w:t>
            </w:r>
          </w:p>
        </w:tc>
        <w:tc>
          <w:tcPr>
            <w:tcW w:w="200" w:type="dxa"/>
            <w:vAlign w:val="bottom"/>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4.46</w:t>
            </w:r>
          </w:p>
        </w:tc>
        <w:tc>
          <w:tcPr>
            <w:tcW w:w="22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58.80</w:t>
            </w:r>
          </w:p>
        </w:tc>
        <w:tc>
          <w:tcPr>
            <w:tcW w:w="200" w:type="dxa"/>
            <w:vAlign w:val="bottom"/>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13,750</w:t>
            </w:r>
          </w:p>
        </w:tc>
        <w:tc>
          <w:tcPr>
            <w:tcW w:w="200" w:type="dxa"/>
            <w:vAlign w:val="bottom"/>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4.08</w:t>
            </w:r>
          </w:p>
        </w:tc>
        <w:tc>
          <w:tcPr>
            <w:tcW w:w="20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59.15</w:t>
            </w:r>
          </w:p>
        </w:tc>
        <w:tc>
          <w:tcPr>
            <w:tcW w:w="100" w:type="dxa"/>
            <w:vAlign w:val="bottom"/>
            <w:shd w:val="clear" w:color="auto" w:fill="CFF0FC"/>
          </w:tcPr>
          <w:p>
            <w:pPr>
              <w:spacing w:after="0"/>
              <w:rPr>
                <w:sz w:val="13"/>
                <w:szCs w:val="13"/>
                <w:color w:val="auto"/>
              </w:rPr>
            </w:pPr>
          </w:p>
        </w:tc>
        <w:tc>
          <w:tcPr>
            <w:tcW w:w="1240" w:type="dxa"/>
            <w:vAlign w:val="bottom"/>
          </w:tcPr>
          <w:p>
            <w:pPr>
              <w:spacing w:after="0"/>
              <w:rPr>
                <w:sz w:val="13"/>
                <w:szCs w:val="13"/>
                <w:color w:val="auto"/>
              </w:rPr>
            </w:pPr>
          </w:p>
        </w:tc>
      </w:tr>
      <w:tr>
        <w:trPr>
          <w:trHeight w:val="149"/>
        </w:trPr>
        <w:tc>
          <w:tcPr>
            <w:tcW w:w="1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4,783,483</w:t>
            </w:r>
          </w:p>
        </w:tc>
        <w:tc>
          <w:tcPr>
            <w:tcW w:w="2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6.54</w:t>
            </w: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4.50</w:t>
            </w: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2,730,791</w:t>
            </w: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4.20</w:t>
            </w: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3.98</w:t>
            </w: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88"/>
        </w:trPr>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484"/>
              <w:spacing w:after="0"/>
              <w:rPr>
                <w:sz w:val="20"/>
                <w:szCs w:val="20"/>
                <w:color w:val="auto"/>
              </w:rPr>
            </w:pPr>
            <w:r>
              <w:rPr>
                <w:rFonts w:ascii="Arial" w:cs="Arial" w:eastAsia="Arial" w:hAnsi="Arial"/>
                <w:sz w:val="12"/>
                <w:szCs w:val="12"/>
                <w:color w:val="auto"/>
              </w:rPr>
              <w:t>23</w:t>
            </w:r>
          </w:p>
        </w:tc>
        <w:tc>
          <w:tcPr>
            <w:tcW w:w="2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72"/>
        </w:trPr>
        <w:tc>
          <w:tcPr>
            <w:tcW w:w="122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75" w:right="279" w:bottom="1440" w:gutter="0" w:footer="0" w:header="0"/>
        </w:sectPr>
      </w:pPr>
    </w:p>
    <w:bookmarkStart w:id="24" w:name="page25"/>
    <w:bookmarkEnd w:id="24"/>
    <w:p>
      <w:pPr>
        <w:ind w:right="100"/>
        <w:spacing w:after="0" w:line="323" w:lineRule="auto"/>
        <w:rPr>
          <w:sz w:val="20"/>
          <w:szCs w:val="20"/>
          <w:color w:val="auto"/>
        </w:rPr>
      </w:pPr>
      <w:r>
        <w:rPr>
          <w:rFonts w:ascii="Arial" w:cs="Arial" w:eastAsia="Arial" w:hAnsi="Arial"/>
          <w:sz w:val="11"/>
          <w:szCs w:val="11"/>
          <w:color w:val="auto"/>
        </w:rPr>
        <w:t>The aggregate intrinsic value of options is calculated as the difference between the exercise price of the stock options and the fair value of the Company’s common stock for those options that had exercise prices lower than the fair value of the Company’s common stock. The total intrinsic value of options exercised were $nil and $31 for the three months ended March 31, 2020 and 2019, respectively.</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The weighted-average grant date fair value of options granted was $7.515 and $5.52 per share for the three months ended March 31, 2020 and 2019,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INCOME TAXES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Company generated a loss and incurred $589 of tax expense for the three months ended March 31, 2020. A reconciliation of income tax expense is as follows:</w:t>
      </w:r>
    </w:p>
    <w:p>
      <w:pPr>
        <w:spacing w:after="0" w:line="147" w:lineRule="exact"/>
        <w:rPr>
          <w:sz w:val="20"/>
          <w:szCs w:val="20"/>
          <w:color w:val="auto"/>
        </w:rPr>
      </w:pPr>
    </w:p>
    <w:p>
      <w:pPr>
        <w:jc w:val="center"/>
        <w:ind w:left="5500"/>
        <w:spacing w:after="0"/>
        <w:rPr>
          <w:sz w:val="20"/>
          <w:szCs w:val="20"/>
          <w:color w:val="auto"/>
        </w:rPr>
      </w:pPr>
      <w:r>
        <w:rPr>
          <w:rFonts w:ascii="Arial" w:cs="Arial" w:eastAsia="Arial" w:hAnsi="Arial"/>
          <w:sz w:val="10"/>
          <w:szCs w:val="10"/>
          <w:b w:val="1"/>
          <w:bCs w:val="1"/>
          <w:color w:val="auto"/>
        </w:rPr>
        <w:t>Three Months</w:t>
      </w:r>
    </w:p>
    <w:p>
      <w:pPr>
        <w:jc w:val="center"/>
        <w:ind w:left="5500"/>
        <w:spacing w:after="0" w:line="215" w:lineRule="auto"/>
        <w:rPr>
          <w:sz w:val="20"/>
          <w:szCs w:val="20"/>
          <w:color w:val="auto"/>
        </w:rPr>
      </w:pPr>
      <w:r>
        <w:rPr>
          <w:rFonts w:ascii="Arial" w:cs="Arial" w:eastAsia="Arial" w:hAnsi="Arial"/>
          <w:sz w:val="10"/>
          <w:szCs w:val="10"/>
          <w:b w:val="1"/>
          <w:bCs w:val="1"/>
          <w:color w:val="auto"/>
        </w:rPr>
        <w:t>Ended March 31</w:t>
      </w:r>
    </w:p>
    <w:tbl>
      <w:tblPr>
        <w:tblLayout w:type="fixed"/>
        <w:tblInd w:w="1320" w:type="dxa"/>
        <w:tblCellMar>
          <w:top w:w="0" w:type="dxa"/>
          <w:left w:w="0" w:type="dxa"/>
          <w:bottom w:w="0" w:type="dxa"/>
          <w:right w:w="0" w:type="dxa"/>
        </w:tblCellMar>
      </w:tblPr>
      <w:tr>
        <w:trPr>
          <w:trHeight w:val="97"/>
        </w:trPr>
        <w:tc>
          <w:tcPr>
            <w:tcW w:w="20" w:type="dxa"/>
            <w:vAlign w:val="bottom"/>
          </w:tcPr>
          <w:p>
            <w:pPr>
              <w:spacing w:after="0"/>
              <w:rPr>
                <w:sz w:val="8"/>
                <w:szCs w:val="8"/>
                <w:color w:val="auto"/>
              </w:rPr>
            </w:pPr>
          </w:p>
        </w:tc>
        <w:tc>
          <w:tcPr>
            <w:tcW w:w="4600" w:type="dxa"/>
            <w:vAlign w:val="bottom"/>
            <w:tcBorders>
              <w:bottom w:val="single" w:sz="8" w:color="CFF0FC"/>
            </w:tcBorders>
          </w:tcPr>
          <w:p>
            <w:pPr>
              <w:spacing w:after="0"/>
              <w:rPr>
                <w:sz w:val="8"/>
                <w:szCs w:val="8"/>
                <w:color w:val="auto"/>
              </w:rPr>
            </w:pPr>
          </w:p>
        </w:tc>
        <w:tc>
          <w:tcPr>
            <w:tcW w:w="1000" w:type="dxa"/>
            <w:vAlign w:val="bottom"/>
            <w:tcBorders>
              <w:bottom w:val="single" w:sz="8" w:color="CFF0FC"/>
            </w:tcBorders>
          </w:tcPr>
          <w:p>
            <w:pPr>
              <w:spacing w:after="0"/>
              <w:rPr>
                <w:sz w:val="8"/>
                <w:szCs w:val="8"/>
                <w:color w:val="auto"/>
              </w:rPr>
            </w:pPr>
          </w:p>
        </w:tc>
        <w:tc>
          <w:tcPr>
            <w:tcW w:w="60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2020</w:t>
            </w:r>
          </w:p>
        </w:tc>
        <w:tc>
          <w:tcPr>
            <w:tcW w:w="400" w:type="dxa"/>
            <w:vAlign w:val="bottom"/>
            <w:tcBorders>
              <w:top w:val="single" w:sz="8" w:color="auto"/>
              <w:bottom w:val="single" w:sz="8" w:color="auto"/>
            </w:tcBorders>
          </w:tcPr>
          <w:p>
            <w:pPr>
              <w:spacing w:after="0"/>
              <w:rPr>
                <w:sz w:val="8"/>
                <w:szCs w:val="8"/>
                <w:color w:val="auto"/>
              </w:rPr>
            </w:pPr>
          </w:p>
        </w:tc>
        <w:tc>
          <w:tcPr>
            <w:tcW w:w="200" w:type="dxa"/>
            <w:vAlign w:val="bottom"/>
            <w:tcBorders>
              <w:top w:val="single" w:sz="8" w:color="auto"/>
              <w:bottom w:val="single" w:sz="8" w:color="CFF0FC"/>
            </w:tcBorders>
          </w:tcPr>
          <w:p>
            <w:pPr>
              <w:spacing w:after="0"/>
              <w:rPr>
                <w:sz w:val="8"/>
                <w:szCs w:val="8"/>
                <w:color w:val="auto"/>
              </w:rPr>
            </w:pPr>
          </w:p>
        </w:tc>
        <w:tc>
          <w:tcPr>
            <w:tcW w:w="240" w:type="dxa"/>
            <w:vAlign w:val="bottom"/>
            <w:tcBorders>
              <w:top w:val="single" w:sz="8" w:color="auto"/>
              <w:bottom w:val="single" w:sz="8" w:color="auto"/>
            </w:tcBorders>
          </w:tcPr>
          <w:p>
            <w:pPr>
              <w:spacing w:after="0"/>
              <w:rPr>
                <w:sz w:val="8"/>
                <w:szCs w:val="8"/>
                <w:color w:val="auto"/>
              </w:rPr>
            </w:pPr>
          </w:p>
        </w:tc>
        <w:tc>
          <w:tcPr>
            <w:tcW w:w="800" w:type="dxa"/>
            <w:vAlign w:val="bottom"/>
            <w:tcBorders>
              <w:top w:val="single" w:sz="8" w:color="auto"/>
              <w:bottom w:val="single" w:sz="8" w:color="auto"/>
            </w:tcBorders>
          </w:tcPr>
          <w:p>
            <w:pPr>
              <w:jc w:val="right"/>
              <w:ind w:right="381"/>
              <w:spacing w:after="0" w:line="97" w:lineRule="exact"/>
              <w:rPr>
                <w:sz w:val="20"/>
                <w:szCs w:val="20"/>
                <w:color w:val="auto"/>
              </w:rPr>
            </w:pPr>
            <w:r>
              <w:rPr>
                <w:rFonts w:ascii="Arial" w:cs="Arial" w:eastAsia="Arial" w:hAnsi="Arial"/>
                <w:sz w:val="10"/>
                <w:szCs w:val="10"/>
                <w:b w:val="1"/>
                <w:bCs w:val="1"/>
                <w:color w:val="auto"/>
              </w:rPr>
              <w:t>2019</w:t>
            </w:r>
          </w:p>
        </w:tc>
        <w:tc>
          <w:tcPr>
            <w:tcW w:w="60" w:type="dxa"/>
            <w:vAlign w:val="bottom"/>
            <w:tcBorders>
              <w:bottom w:val="single" w:sz="8" w:color="CFF0FC"/>
            </w:tcBorders>
          </w:tcPr>
          <w:p>
            <w:pPr>
              <w:spacing w:after="0"/>
              <w:rPr>
                <w:sz w:val="8"/>
                <w:szCs w:val="8"/>
                <w:color w:val="auto"/>
              </w:rPr>
            </w:pPr>
          </w:p>
        </w:tc>
      </w:tr>
      <w:tr>
        <w:trPr>
          <w:trHeight w:val="142"/>
        </w:trPr>
        <w:tc>
          <w:tcPr>
            <w:tcW w:w="20" w:type="dxa"/>
            <w:vAlign w:val="bottom"/>
          </w:tcPr>
          <w:p>
            <w:pPr>
              <w:spacing w:after="0"/>
              <w:rPr>
                <w:sz w:val="12"/>
                <w:szCs w:val="12"/>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2"/>
                <w:szCs w:val="12"/>
                <w:color w:val="auto"/>
              </w:rPr>
              <w:t>Loss before income taxes</w:t>
            </w:r>
          </w:p>
        </w:tc>
        <w:tc>
          <w:tcPr>
            <w:tcW w:w="1600" w:type="dxa"/>
            <w:vAlign w:val="bottom"/>
            <w:gridSpan w:val="2"/>
            <w:shd w:val="clear" w:color="auto" w:fill="CFF0FC"/>
          </w:tcPr>
          <w:p>
            <w:pPr>
              <w:jc w:val="right"/>
              <w:ind w:right="512"/>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w w:val="93"/>
              </w:rPr>
              <w:t>(50,114)</w:t>
            </w:r>
          </w:p>
        </w:tc>
        <w:tc>
          <w:tcPr>
            <w:tcW w:w="24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(4,219)</w:t>
            </w:r>
          </w:p>
        </w:tc>
      </w:tr>
      <w:tr>
        <w:trPr>
          <w:trHeight w:val="153"/>
        </w:trPr>
        <w:tc>
          <w:tcPr>
            <w:tcW w:w="4620" w:type="dxa"/>
            <w:vAlign w:val="bottom"/>
            <w:gridSpan w:val="2"/>
          </w:tcPr>
          <w:p>
            <w:pPr>
              <w:spacing w:after="0"/>
              <w:rPr>
                <w:sz w:val="20"/>
                <w:szCs w:val="20"/>
                <w:color w:val="auto"/>
              </w:rPr>
            </w:pPr>
            <w:r>
              <w:rPr>
                <w:rFonts w:ascii="Arial" w:cs="Arial" w:eastAsia="Arial" w:hAnsi="Arial"/>
                <w:sz w:val="12"/>
                <w:szCs w:val="12"/>
                <w:color w:val="auto"/>
              </w:rPr>
              <w:t>Theoretical tax benefit at the statutory rate (24.1% in 2020, 24.7% in 2019)</w:t>
            </w: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w w:val="93"/>
              </w:rPr>
              <w:t>(12,077)</w:t>
            </w:r>
          </w:p>
        </w:tc>
        <w:tc>
          <w:tcPr>
            <w:tcW w:w="2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2"/>
                <w:szCs w:val="12"/>
                <w:color w:val="auto"/>
              </w:rPr>
              <w:t>(1,043)</w:t>
            </w:r>
          </w:p>
        </w:tc>
      </w:tr>
      <w:tr>
        <w:trPr>
          <w:trHeight w:val="153"/>
        </w:trPr>
        <w:tc>
          <w:tcPr>
            <w:tcW w:w="20" w:type="dxa"/>
            <w:vAlign w:val="bottom"/>
          </w:tcPr>
          <w:p>
            <w:pPr>
              <w:spacing w:after="0"/>
              <w:rPr>
                <w:sz w:val="13"/>
                <w:szCs w:val="13"/>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2"/>
                <w:szCs w:val="12"/>
                <w:color w:val="auto"/>
              </w:rPr>
              <w:t>Differences in jurisdictional tax rates</w:t>
            </w:r>
          </w:p>
        </w:tc>
        <w:tc>
          <w:tcPr>
            <w:tcW w:w="10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(172)</w:t>
            </w:r>
          </w:p>
        </w:tc>
        <w:tc>
          <w:tcPr>
            <w:tcW w:w="2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(233)</w:t>
            </w:r>
          </w:p>
        </w:tc>
      </w:tr>
      <w:tr>
        <w:trPr>
          <w:trHeight w:val="153"/>
        </w:trPr>
        <w:tc>
          <w:tcPr>
            <w:tcW w:w="4620" w:type="dxa"/>
            <w:vAlign w:val="bottom"/>
            <w:gridSpan w:val="2"/>
          </w:tcPr>
          <w:p>
            <w:pPr>
              <w:spacing w:after="0"/>
              <w:rPr>
                <w:sz w:val="20"/>
                <w:szCs w:val="20"/>
                <w:color w:val="auto"/>
              </w:rPr>
            </w:pPr>
            <w:r>
              <w:rPr>
                <w:rFonts w:ascii="Arial" w:cs="Arial" w:eastAsia="Arial" w:hAnsi="Arial"/>
                <w:sz w:val="12"/>
                <w:szCs w:val="12"/>
                <w:color w:val="auto"/>
              </w:rPr>
              <w:t>(Recognition) Use of losses</w:t>
            </w: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(101)</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564</w:t>
            </w:r>
          </w:p>
        </w:tc>
        <w:tc>
          <w:tcPr>
            <w:tcW w:w="6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2"/>
                <w:szCs w:val="12"/>
                <w:color w:val="auto"/>
              </w:rPr>
              <w:t>Valuation allowance</w:t>
            </w:r>
          </w:p>
        </w:tc>
        <w:tc>
          <w:tcPr>
            <w:tcW w:w="10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5,362</w:t>
            </w: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1,066</w:t>
            </w:r>
          </w:p>
        </w:tc>
        <w:tc>
          <w:tcPr>
            <w:tcW w:w="60" w:type="dxa"/>
            <w:vAlign w:val="bottom"/>
            <w:shd w:val="clear" w:color="auto" w:fill="CFF0FC"/>
          </w:tcPr>
          <w:p>
            <w:pPr>
              <w:spacing w:after="0"/>
              <w:rPr>
                <w:sz w:val="13"/>
                <w:szCs w:val="13"/>
                <w:color w:val="auto"/>
              </w:rPr>
            </w:pPr>
          </w:p>
        </w:tc>
      </w:tr>
      <w:tr>
        <w:trPr>
          <w:trHeight w:val="153"/>
        </w:trPr>
        <w:tc>
          <w:tcPr>
            <w:tcW w:w="4620" w:type="dxa"/>
            <w:vAlign w:val="bottom"/>
            <w:gridSpan w:val="2"/>
          </w:tcPr>
          <w:p>
            <w:pPr>
              <w:spacing w:after="0"/>
              <w:rPr>
                <w:sz w:val="20"/>
                <w:szCs w:val="20"/>
                <w:color w:val="auto"/>
              </w:rPr>
            </w:pPr>
            <w:r>
              <w:rPr>
                <w:rFonts w:ascii="Arial" w:cs="Arial" w:eastAsia="Arial" w:hAnsi="Arial"/>
                <w:sz w:val="12"/>
                <w:szCs w:val="12"/>
                <w:color w:val="auto"/>
              </w:rPr>
              <w:t>Non-deductible expenses</w:t>
            </w: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7,577</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532</w:t>
            </w:r>
          </w:p>
        </w:tc>
        <w:tc>
          <w:tcPr>
            <w:tcW w:w="6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 income tax expense</w:t>
            </w:r>
          </w:p>
        </w:tc>
        <w:tc>
          <w:tcPr>
            <w:tcW w:w="1000" w:type="dxa"/>
            <w:vAlign w:val="bottom"/>
            <w:tcBorders>
              <w:top w:val="single" w:sz="8" w:color="CFF0FC"/>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spacing w:after="0"/>
              <w:rPr>
                <w:sz w:val="12"/>
                <w:szCs w:val="12"/>
                <w:color w:val="auto"/>
              </w:rPr>
            </w:pP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589</w:t>
            </w:r>
          </w:p>
        </w:tc>
        <w:tc>
          <w:tcPr>
            <w:tcW w:w="2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spacing w:after="0"/>
              <w:rPr>
                <w:sz w:val="12"/>
                <w:szCs w:val="12"/>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886</w:t>
            </w:r>
          </w:p>
        </w:tc>
        <w:tc>
          <w:tcPr>
            <w:tcW w:w="60" w:type="dxa"/>
            <w:vAlign w:val="bottom"/>
            <w:tcBorders>
              <w:top w:val="single" w:sz="8" w:color="CFF0FC"/>
            </w:tcBorders>
            <w:shd w:val="clear" w:color="auto" w:fill="CFF0FC"/>
          </w:tcPr>
          <w:p>
            <w:pPr>
              <w:spacing w:after="0"/>
              <w:rPr>
                <w:sz w:val="12"/>
                <w:szCs w:val="12"/>
                <w:color w:val="auto"/>
              </w:rPr>
            </w:pPr>
          </w:p>
        </w:tc>
      </w:tr>
      <w:tr>
        <w:trPr>
          <w:trHeight w:val="142"/>
        </w:trPr>
        <w:tc>
          <w:tcPr>
            <w:tcW w:w="462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1600" w:type="dxa"/>
            <w:vAlign w:val="bottom"/>
            <w:gridSpan w:val="2"/>
          </w:tcPr>
          <w:p>
            <w:pPr>
              <w:jc w:val="right"/>
              <w:ind w:right="512"/>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w w:val="93"/>
              </w:rPr>
              <w:t>(50,703)</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
              <w:spacing w:after="0"/>
              <w:rPr>
                <w:sz w:val="20"/>
                <w:szCs w:val="20"/>
                <w:color w:val="auto"/>
              </w:rPr>
            </w:pPr>
            <w:r>
              <w:rPr>
                <w:rFonts w:ascii="Arial" w:cs="Arial" w:eastAsia="Arial" w:hAnsi="Arial"/>
                <w:sz w:val="12"/>
                <w:szCs w:val="12"/>
                <w:color w:val="auto"/>
              </w:rPr>
              <w:t>(5,105)</w:t>
            </w: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35"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Income tax expense is recognized based on the actual income or loss incurred during the three months ended March 31, 2020. Due to the uncertainties as a result of COVID-19, management was unable to determine an annualized effective tax rate and calculate the income tax expense in accordance with such method. The effective tax rate differs from the statutory tax rate due to the recognition of previously unrecognized carried forward tax losses.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SEGMENT AND GEOGRAPHIC INFORMATION</w:t>
      </w:r>
    </w:p>
    <w:p>
      <w:pPr>
        <w:spacing w:after="0" w:line="154"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a single operating segment and has one reportable segment, as the CODM reviews financial information presented on a consolidated basis accompanied by disaggregated information about revenues by geography and type for purposes of making operating decisions, allocating resources, and evaluating financial performance. The Company does not assess the performance of individual product line on measures of profit or loss, or asset-based metrics. Therefore, the information below is presented only for revenues by geography and type.</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Revenue by geographic location, which is based on the product shipped to location, is summarized as follows:</w:t>
      </w:r>
    </w:p>
    <w:p>
      <w:pPr>
        <w:spacing w:after="0" w:line="147" w:lineRule="exact"/>
        <w:rPr>
          <w:sz w:val="20"/>
          <w:szCs w:val="20"/>
          <w:color w:val="auto"/>
        </w:rPr>
      </w:pPr>
    </w:p>
    <w:p>
      <w:pPr>
        <w:jc w:val="center"/>
        <w:ind w:left="5340"/>
        <w:spacing w:after="0"/>
        <w:rPr>
          <w:sz w:val="20"/>
          <w:szCs w:val="20"/>
          <w:color w:val="auto"/>
        </w:rPr>
      </w:pPr>
      <w:r>
        <w:rPr>
          <w:rFonts w:ascii="Arial" w:cs="Arial" w:eastAsia="Arial" w:hAnsi="Arial"/>
          <w:sz w:val="10"/>
          <w:szCs w:val="10"/>
          <w:b w:val="1"/>
          <w:bCs w:val="1"/>
          <w:color w:val="auto"/>
        </w:rPr>
        <w:t>Three Months</w:t>
      </w:r>
    </w:p>
    <w:p>
      <w:pPr>
        <w:jc w:val="center"/>
        <w:ind w:left="5340"/>
        <w:spacing w:after="0" w:line="215" w:lineRule="auto"/>
        <w:rPr>
          <w:sz w:val="20"/>
          <w:szCs w:val="20"/>
          <w:color w:val="auto"/>
        </w:rPr>
      </w:pPr>
      <w:r>
        <w:rPr>
          <w:rFonts w:ascii="Arial" w:cs="Arial" w:eastAsia="Arial" w:hAnsi="Arial"/>
          <w:sz w:val="10"/>
          <w:szCs w:val="10"/>
          <w:b w:val="1"/>
          <w:bCs w:val="1"/>
          <w:color w:val="auto"/>
        </w:rPr>
        <w:t>Ended March 31</w:t>
      </w:r>
    </w:p>
    <w:tbl>
      <w:tblPr>
        <w:tblLayout w:type="fixed"/>
        <w:tblInd w:w="1320" w:type="dxa"/>
        <w:tblCellMar>
          <w:top w:w="0" w:type="dxa"/>
          <w:left w:w="0" w:type="dxa"/>
          <w:bottom w:w="0" w:type="dxa"/>
          <w:right w:w="0" w:type="dxa"/>
        </w:tblCellMar>
      </w:tblPr>
      <w:tr>
        <w:trPr>
          <w:trHeight w:val="97"/>
        </w:trPr>
        <w:tc>
          <w:tcPr>
            <w:tcW w:w="20" w:type="dxa"/>
            <w:vAlign w:val="bottom"/>
          </w:tcPr>
          <w:p>
            <w:pPr>
              <w:spacing w:after="0"/>
              <w:rPr>
                <w:sz w:val="8"/>
                <w:szCs w:val="8"/>
                <w:color w:val="auto"/>
              </w:rPr>
            </w:pPr>
          </w:p>
        </w:tc>
        <w:tc>
          <w:tcPr>
            <w:tcW w:w="3080" w:type="dxa"/>
            <w:vAlign w:val="bottom"/>
            <w:tcBorders>
              <w:bottom w:val="single" w:sz="8" w:color="CFF0FC"/>
            </w:tcBorders>
          </w:tcPr>
          <w:p>
            <w:pPr>
              <w:spacing w:after="0"/>
              <w:rPr>
                <w:sz w:val="8"/>
                <w:szCs w:val="8"/>
                <w:color w:val="auto"/>
              </w:rPr>
            </w:pPr>
          </w:p>
        </w:tc>
        <w:tc>
          <w:tcPr>
            <w:tcW w:w="2360" w:type="dxa"/>
            <w:vAlign w:val="bottom"/>
            <w:tcBorders>
              <w:bottom w:val="single" w:sz="8" w:color="CFF0FC"/>
            </w:tcBorders>
          </w:tcPr>
          <w:p>
            <w:pPr>
              <w:spacing w:after="0"/>
              <w:rPr>
                <w:sz w:val="8"/>
                <w:szCs w:val="8"/>
                <w:color w:val="auto"/>
              </w:rPr>
            </w:pPr>
          </w:p>
        </w:tc>
        <w:tc>
          <w:tcPr>
            <w:tcW w:w="680" w:type="dxa"/>
            <w:vAlign w:val="bottom"/>
            <w:tcBorders>
              <w:top w:val="single" w:sz="8" w:color="auto"/>
              <w:bottom w:val="single" w:sz="8" w:color="auto"/>
            </w:tcBorders>
          </w:tcPr>
          <w:p>
            <w:pPr>
              <w:jc w:val="right"/>
              <w:ind w:right="12"/>
              <w:spacing w:after="0" w:line="97" w:lineRule="exact"/>
              <w:rPr>
                <w:sz w:val="20"/>
                <w:szCs w:val="20"/>
                <w:color w:val="auto"/>
              </w:rPr>
            </w:pPr>
            <w:r>
              <w:rPr>
                <w:rFonts w:ascii="Arial" w:cs="Arial" w:eastAsia="Arial" w:hAnsi="Arial"/>
                <w:sz w:val="10"/>
                <w:szCs w:val="10"/>
                <w:b w:val="1"/>
                <w:bCs w:val="1"/>
                <w:color w:val="auto"/>
              </w:rPr>
              <w:t>2020</w:t>
            </w:r>
          </w:p>
        </w:tc>
        <w:tc>
          <w:tcPr>
            <w:tcW w:w="400" w:type="dxa"/>
            <w:vAlign w:val="bottom"/>
            <w:tcBorders>
              <w:top w:val="single" w:sz="8" w:color="auto"/>
              <w:bottom w:val="single" w:sz="8" w:color="auto"/>
            </w:tcBorders>
          </w:tcPr>
          <w:p>
            <w:pPr>
              <w:spacing w:after="0"/>
              <w:rPr>
                <w:sz w:val="8"/>
                <w:szCs w:val="8"/>
                <w:color w:val="auto"/>
              </w:rPr>
            </w:pPr>
          </w:p>
        </w:tc>
        <w:tc>
          <w:tcPr>
            <w:tcW w:w="220" w:type="dxa"/>
            <w:vAlign w:val="bottom"/>
            <w:tcBorders>
              <w:top w:val="single" w:sz="8" w:color="auto"/>
              <w:bottom w:val="single" w:sz="8" w:color="CFF0FC"/>
            </w:tcBorders>
          </w:tcPr>
          <w:p>
            <w:pPr>
              <w:spacing w:after="0"/>
              <w:rPr>
                <w:sz w:val="8"/>
                <w:szCs w:val="8"/>
                <w:color w:val="auto"/>
              </w:rPr>
            </w:pPr>
          </w:p>
        </w:tc>
        <w:tc>
          <w:tcPr>
            <w:tcW w:w="240" w:type="dxa"/>
            <w:vAlign w:val="bottom"/>
            <w:tcBorders>
              <w:top w:val="single" w:sz="8" w:color="auto"/>
              <w:bottom w:val="single" w:sz="8" w:color="auto"/>
            </w:tcBorders>
          </w:tcPr>
          <w:p>
            <w:pPr>
              <w:spacing w:after="0"/>
              <w:rPr>
                <w:sz w:val="8"/>
                <w:szCs w:val="8"/>
                <w:color w:val="auto"/>
              </w:rPr>
            </w:pPr>
          </w:p>
        </w:tc>
        <w:tc>
          <w:tcPr>
            <w:tcW w:w="920" w:type="dxa"/>
            <w:vAlign w:val="bottom"/>
            <w:tcBorders>
              <w:top w:val="single" w:sz="8" w:color="auto"/>
              <w:bottom w:val="single" w:sz="8" w:color="auto"/>
            </w:tcBorders>
          </w:tcPr>
          <w:p>
            <w:pPr>
              <w:jc w:val="right"/>
              <w:ind w:right="463"/>
              <w:spacing w:after="0" w:line="97" w:lineRule="exact"/>
              <w:rPr>
                <w:sz w:val="20"/>
                <w:szCs w:val="20"/>
                <w:color w:val="auto"/>
              </w:rPr>
            </w:pPr>
            <w:r>
              <w:rPr>
                <w:rFonts w:ascii="Arial" w:cs="Arial" w:eastAsia="Arial" w:hAnsi="Arial"/>
                <w:sz w:val="10"/>
                <w:szCs w:val="10"/>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2"/>
                <w:szCs w:val="12"/>
                <w:color w:val="auto"/>
              </w:rPr>
              <w:t>United States</w:t>
            </w:r>
          </w:p>
        </w:tc>
        <w:tc>
          <w:tcPr>
            <w:tcW w:w="3040" w:type="dxa"/>
            <w:vAlign w:val="bottom"/>
            <w:gridSpan w:val="2"/>
            <w:shd w:val="clear" w:color="auto" w:fill="CFF0FC"/>
          </w:tcPr>
          <w:p>
            <w:pPr>
              <w:jc w:val="right"/>
              <w:ind w:right="572"/>
              <w:spacing w:after="0"/>
              <w:rPr>
                <w:sz w:val="20"/>
                <w:szCs w:val="20"/>
                <w:color w:val="auto"/>
              </w:rPr>
            </w:pPr>
            <w:r>
              <w:rPr>
                <w:rFonts w:ascii="Arial" w:cs="Arial" w:eastAsia="Arial" w:hAnsi="Arial"/>
                <w:sz w:val="12"/>
                <w:szCs w:val="12"/>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5,640</w:t>
            </w: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20" w:type="dxa"/>
            <w:vAlign w:val="bottom"/>
            <w:tcBorders>
              <w:right w:val="single" w:sz="8" w:color="CFF0FC"/>
            </w:tcBorders>
            <w:shd w:val="clear" w:color="auto" w:fill="CFF0FC"/>
          </w:tcPr>
          <w:p>
            <w:pPr>
              <w:jc w:val="right"/>
              <w:ind w:right="23"/>
              <w:spacing w:after="0"/>
              <w:rPr>
                <w:sz w:val="20"/>
                <w:szCs w:val="20"/>
                <w:color w:val="auto"/>
              </w:rPr>
            </w:pPr>
            <w:r>
              <w:rPr>
                <w:rFonts w:ascii="Arial" w:cs="Arial" w:eastAsia="Arial" w:hAnsi="Arial"/>
                <w:sz w:val="12"/>
                <w:szCs w:val="12"/>
                <w:color w:val="auto"/>
              </w:rPr>
              <w:t>9,539</w:t>
            </w:r>
          </w:p>
        </w:tc>
        <w:tc>
          <w:tcPr>
            <w:tcW w:w="0" w:type="dxa"/>
            <w:vAlign w:val="bottom"/>
          </w:tcPr>
          <w:p>
            <w:pPr>
              <w:spacing w:after="0"/>
              <w:rPr>
                <w:sz w:val="1"/>
                <w:szCs w:val="1"/>
                <w:color w:val="auto"/>
              </w:rPr>
            </w:pPr>
          </w:p>
        </w:tc>
      </w:tr>
      <w:tr>
        <w:trPr>
          <w:trHeight w:val="153"/>
        </w:trPr>
        <w:tc>
          <w:tcPr>
            <w:tcW w:w="3100" w:type="dxa"/>
            <w:vAlign w:val="bottom"/>
            <w:gridSpan w:val="2"/>
          </w:tcPr>
          <w:p>
            <w:pPr>
              <w:spacing w:after="0"/>
              <w:rPr>
                <w:sz w:val="20"/>
                <w:szCs w:val="20"/>
                <w:color w:val="auto"/>
              </w:rPr>
            </w:pPr>
            <w:r>
              <w:rPr>
                <w:rFonts w:ascii="Arial" w:cs="Arial" w:eastAsia="Arial" w:hAnsi="Arial"/>
                <w:sz w:val="12"/>
                <w:szCs w:val="12"/>
                <w:color w:val="auto"/>
              </w:rPr>
              <w:t>International</w:t>
            </w:r>
          </w:p>
        </w:tc>
        <w:tc>
          <w:tcPr>
            <w:tcW w:w="2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8,868</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23"/>
              <w:spacing w:after="0"/>
              <w:rPr>
                <w:sz w:val="20"/>
                <w:szCs w:val="20"/>
                <w:color w:val="auto"/>
              </w:rPr>
            </w:pPr>
            <w:r>
              <w:rPr>
                <w:rFonts w:ascii="Arial" w:cs="Arial" w:eastAsia="Arial" w:hAnsi="Arial"/>
                <w:sz w:val="12"/>
                <w:szCs w:val="12"/>
                <w:color w:val="auto"/>
              </w:rPr>
              <w:t>15,041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vMerge w:val="restart"/>
            <w:shd w:val="clear" w:color="auto" w:fill="CFF0FC"/>
          </w:tcPr>
          <w:p>
            <w:pPr>
              <w:ind w:left="80"/>
              <w:spacing w:after="0"/>
              <w:rPr>
                <w:sz w:val="20"/>
                <w:szCs w:val="20"/>
                <w:color w:val="auto"/>
              </w:rPr>
            </w:pPr>
            <w:r>
              <w:rPr>
                <w:rFonts w:ascii="Arial" w:cs="Arial" w:eastAsia="Arial" w:hAnsi="Arial"/>
                <w:sz w:val="12"/>
                <w:szCs w:val="12"/>
                <w:color w:val="auto"/>
              </w:rPr>
              <w:t>Total revenue</w:t>
            </w:r>
          </w:p>
        </w:tc>
        <w:tc>
          <w:tcPr>
            <w:tcW w:w="236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vMerge w:val="continue"/>
            <w:shd w:val="clear" w:color="auto" w:fill="CFF0FC"/>
          </w:tcPr>
          <w:p>
            <w:pPr>
              <w:spacing w:after="0"/>
              <w:rPr>
                <w:sz w:val="12"/>
                <w:szCs w:val="12"/>
                <w:color w:val="auto"/>
              </w:rPr>
            </w:pPr>
          </w:p>
        </w:tc>
        <w:tc>
          <w:tcPr>
            <w:tcW w:w="3040" w:type="dxa"/>
            <w:vAlign w:val="bottom"/>
            <w:gridSpan w:val="2"/>
            <w:shd w:val="clear" w:color="auto" w:fill="CFF0FC"/>
          </w:tcPr>
          <w:p>
            <w:pPr>
              <w:jc w:val="right"/>
              <w:ind w:right="572"/>
              <w:spacing w:after="0"/>
              <w:rPr>
                <w:sz w:val="20"/>
                <w:szCs w:val="20"/>
                <w:color w:val="auto"/>
              </w:rPr>
            </w:pPr>
            <w:r>
              <w:rPr>
                <w:rFonts w:ascii="Arial" w:cs="Arial" w:eastAsia="Arial" w:hAnsi="Arial"/>
                <w:sz w:val="12"/>
                <w:szCs w:val="12"/>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14,508</w:t>
            </w: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20" w:type="dxa"/>
            <w:vAlign w:val="bottom"/>
            <w:tcBorders>
              <w:right w:val="single" w:sz="8" w:color="CFF0FC"/>
            </w:tcBorders>
            <w:shd w:val="clear" w:color="auto" w:fill="CFF0FC"/>
          </w:tcPr>
          <w:p>
            <w:pPr>
              <w:jc w:val="right"/>
              <w:ind w:right="23"/>
              <w:spacing w:after="0"/>
              <w:rPr>
                <w:sz w:val="20"/>
                <w:szCs w:val="20"/>
                <w:color w:val="auto"/>
              </w:rPr>
            </w:pPr>
            <w:r>
              <w:rPr>
                <w:rFonts w:ascii="Arial" w:cs="Arial" w:eastAsia="Arial" w:hAnsi="Arial"/>
                <w:sz w:val="12"/>
                <w:szCs w:val="12"/>
                <w:color w:val="auto"/>
              </w:rPr>
              <w:t>24,580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80" w:type="dxa"/>
            <w:vAlign w:val="bottom"/>
            <w:shd w:val="clear" w:color="auto" w:fill="CFF0FC"/>
          </w:tcPr>
          <w:p>
            <w:pPr>
              <w:spacing w:after="0"/>
              <w:rPr>
                <w:sz w:val="2"/>
                <w:szCs w:val="2"/>
                <w:color w:val="auto"/>
              </w:rPr>
            </w:pPr>
          </w:p>
        </w:tc>
        <w:tc>
          <w:tcPr>
            <w:tcW w:w="2360" w:type="dxa"/>
            <w:vAlign w:val="bottom"/>
            <w:shd w:val="clear" w:color="auto" w:fill="CFF0F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FF0FC"/>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As of March 31, 2020, long-lived assets in the amount of $22,923 were located in the United States and $2,935 were located in foreign locations.</w:t>
      </w:r>
    </w:p>
    <w:p>
      <w:pPr>
        <w:spacing w:after="0" w:line="150" w:lineRule="exact"/>
        <w:rPr>
          <w:sz w:val="20"/>
          <w:szCs w:val="20"/>
          <w:color w:val="auto"/>
        </w:rPr>
      </w:pPr>
    </w:p>
    <w:p>
      <w:pPr>
        <w:jc w:val="center"/>
        <w:ind w:right="360"/>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55245</wp:posOffset>
            </wp:positionV>
            <wp:extent cx="7189470"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920"/>
          </w:cols>
          <w:pgMar w:left="660" w:top="419" w:right="319" w:bottom="1440" w:gutter="0" w:footer="0" w:header="0"/>
        </w:sectPr>
      </w:pPr>
    </w:p>
    <w:bookmarkStart w:id="25" w:name="page26"/>
    <w:bookmarkEnd w:id="25"/>
    <w:p>
      <w:pPr>
        <w:spacing w:after="0"/>
        <w:rPr>
          <w:sz w:val="20"/>
          <w:szCs w:val="20"/>
          <w:color w:val="auto"/>
        </w:rPr>
      </w:pPr>
      <w:r>
        <w:rPr>
          <w:rFonts w:ascii="Arial" w:cs="Arial" w:eastAsia="Arial" w:hAnsi="Arial"/>
          <w:sz w:val="12"/>
          <w:szCs w:val="12"/>
          <w:color w:val="auto"/>
        </w:rPr>
        <w:t>Revenue by type is a key indicator for providing management with an understanding of the Company’s financial performance, which is organized into four different categories:</w:t>
      </w:r>
    </w:p>
    <w:p>
      <w:pPr>
        <w:spacing w:after="0" w:line="150"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2"/>
          <w:szCs w:val="12"/>
          <w:color w:val="auto"/>
        </w:rPr>
      </w:pPr>
      <w:r>
        <w:rPr>
          <w:rFonts w:ascii="Arial" w:cs="Arial" w:eastAsia="Arial" w:hAnsi="Arial"/>
          <w:sz w:val="12"/>
          <w:szCs w:val="12"/>
          <w:color w:val="auto"/>
        </w:rPr>
        <w:t>Lease revenue - includes all system sales with typical lease terms of 36 months.</w:t>
      </w:r>
    </w:p>
    <w:p>
      <w:pPr>
        <w:spacing w:after="0" w:line="150" w:lineRule="exact"/>
        <w:rPr>
          <w:rFonts w:ascii="Arial" w:cs="Arial" w:eastAsia="Arial" w:hAnsi="Arial"/>
          <w:sz w:val="12"/>
          <w:szCs w:val="12"/>
          <w:color w:val="auto"/>
        </w:rPr>
      </w:pPr>
    </w:p>
    <w:p>
      <w:pPr>
        <w:ind w:left="540" w:hanging="532"/>
        <w:spacing w:after="0"/>
        <w:tabs>
          <w:tab w:leader="none" w:pos="540" w:val="left"/>
        </w:tabs>
        <w:numPr>
          <w:ilvl w:val="0"/>
          <w:numId w:val="6"/>
        </w:numPr>
        <w:rPr>
          <w:rFonts w:ascii="Arial" w:cs="Arial" w:eastAsia="Arial" w:hAnsi="Arial"/>
          <w:sz w:val="12"/>
          <w:szCs w:val="12"/>
          <w:color w:val="auto"/>
        </w:rPr>
      </w:pPr>
      <w:r>
        <w:rPr>
          <w:rFonts w:ascii="Arial" w:cs="Arial" w:eastAsia="Arial" w:hAnsi="Arial"/>
          <w:sz w:val="12"/>
          <w:szCs w:val="12"/>
          <w:color w:val="auto"/>
        </w:rPr>
        <w:t>System revenue – includes all systems sales with payment terms within 12 months.</w:t>
      </w:r>
    </w:p>
    <w:p>
      <w:pPr>
        <w:spacing w:after="0" w:line="150" w:lineRule="exact"/>
        <w:rPr>
          <w:rFonts w:ascii="Arial" w:cs="Arial" w:eastAsia="Arial" w:hAnsi="Arial"/>
          <w:sz w:val="12"/>
          <w:szCs w:val="12"/>
          <w:color w:val="auto"/>
        </w:rPr>
      </w:pPr>
    </w:p>
    <w:p>
      <w:pPr>
        <w:ind w:left="540" w:hanging="532"/>
        <w:spacing w:after="0"/>
        <w:tabs>
          <w:tab w:leader="none" w:pos="540" w:val="left"/>
        </w:tabs>
        <w:numPr>
          <w:ilvl w:val="0"/>
          <w:numId w:val="6"/>
        </w:numPr>
        <w:rPr>
          <w:rFonts w:ascii="Arial" w:cs="Arial" w:eastAsia="Arial" w:hAnsi="Arial"/>
          <w:sz w:val="12"/>
          <w:szCs w:val="12"/>
          <w:color w:val="auto"/>
        </w:rPr>
      </w:pPr>
      <w:r>
        <w:rPr>
          <w:rFonts w:ascii="Arial" w:cs="Arial" w:eastAsia="Arial" w:hAnsi="Arial"/>
          <w:sz w:val="12"/>
          <w:szCs w:val="12"/>
          <w:color w:val="auto"/>
        </w:rPr>
        <w:t>Product revenue – includes skincare, hair and other consumables payable upon receipt.</w:t>
      </w:r>
    </w:p>
    <w:p>
      <w:pPr>
        <w:spacing w:after="0" w:line="150" w:lineRule="exact"/>
        <w:rPr>
          <w:rFonts w:ascii="Arial" w:cs="Arial" w:eastAsia="Arial" w:hAnsi="Arial"/>
          <w:sz w:val="12"/>
          <w:szCs w:val="12"/>
          <w:color w:val="auto"/>
        </w:rPr>
      </w:pPr>
    </w:p>
    <w:p>
      <w:pPr>
        <w:ind w:right="5260" w:firstLine="8"/>
        <w:spacing w:after="0" w:line="503" w:lineRule="auto"/>
        <w:tabs>
          <w:tab w:leader="none" w:pos="522" w:val="left"/>
        </w:tabs>
        <w:numPr>
          <w:ilvl w:val="0"/>
          <w:numId w:val="6"/>
        </w:numPr>
        <w:rPr>
          <w:rFonts w:ascii="Arial" w:cs="Arial" w:eastAsia="Arial" w:hAnsi="Arial"/>
          <w:sz w:val="12"/>
          <w:szCs w:val="12"/>
          <w:color w:val="auto"/>
        </w:rPr>
      </w:pPr>
      <w:r>
        <w:rPr>
          <w:rFonts w:ascii="Arial" w:cs="Arial" w:eastAsia="Arial" w:hAnsi="Arial"/>
          <w:sz w:val="12"/>
          <w:szCs w:val="12"/>
          <w:color w:val="auto"/>
        </w:rPr>
        <w:t>Service revenue - includes NeoGraft® technician services, ad agency services and extended warranty sales. The following table presents revenue by type:</w:t>
      </w:r>
    </w:p>
    <w:p>
      <w:pPr>
        <w:jc w:val="center"/>
        <w:ind w:left="5360"/>
        <w:spacing w:after="0" w:line="229" w:lineRule="auto"/>
        <w:rPr>
          <w:sz w:val="20"/>
          <w:szCs w:val="20"/>
          <w:color w:val="auto"/>
        </w:rPr>
      </w:pPr>
      <w:r>
        <w:rPr>
          <w:rFonts w:ascii="Arial" w:cs="Arial" w:eastAsia="Arial" w:hAnsi="Arial"/>
          <w:sz w:val="10"/>
          <w:szCs w:val="10"/>
          <w:b w:val="1"/>
          <w:bCs w:val="1"/>
          <w:color w:val="auto"/>
        </w:rPr>
        <w:t>Three Months</w:t>
      </w:r>
    </w:p>
    <w:p>
      <w:pPr>
        <w:jc w:val="center"/>
        <w:ind w:left="5360"/>
        <w:spacing w:after="0" w:line="216" w:lineRule="auto"/>
        <w:rPr>
          <w:sz w:val="20"/>
          <w:szCs w:val="20"/>
          <w:color w:val="auto"/>
        </w:rPr>
      </w:pPr>
      <w:r>
        <w:rPr>
          <w:rFonts w:ascii="Arial" w:cs="Arial" w:eastAsia="Arial" w:hAnsi="Arial"/>
          <w:sz w:val="10"/>
          <w:szCs w:val="10"/>
          <w:b w:val="1"/>
          <w:bCs w:val="1"/>
          <w:color w:val="auto"/>
        </w:rPr>
        <w:t>Ended March 31</w:t>
      </w:r>
    </w:p>
    <w:tbl>
      <w:tblPr>
        <w:tblLayout w:type="fixed"/>
        <w:tblInd w:w="1320" w:type="dxa"/>
        <w:tblCellMar>
          <w:top w:w="0" w:type="dxa"/>
          <w:left w:w="0" w:type="dxa"/>
          <w:bottom w:w="0" w:type="dxa"/>
          <w:right w:w="0" w:type="dxa"/>
        </w:tblCellMar>
      </w:tblPr>
      <w:tr>
        <w:trPr>
          <w:trHeight w:val="97"/>
        </w:trPr>
        <w:tc>
          <w:tcPr>
            <w:tcW w:w="20" w:type="dxa"/>
            <w:vAlign w:val="bottom"/>
          </w:tcPr>
          <w:p>
            <w:pPr>
              <w:spacing w:after="0"/>
              <w:rPr>
                <w:sz w:val="8"/>
                <w:szCs w:val="8"/>
                <w:color w:val="auto"/>
              </w:rPr>
            </w:pPr>
          </w:p>
        </w:tc>
        <w:tc>
          <w:tcPr>
            <w:tcW w:w="3100" w:type="dxa"/>
            <w:vAlign w:val="bottom"/>
            <w:tcBorders>
              <w:bottom w:val="single" w:sz="8" w:color="CFF0FC"/>
            </w:tcBorders>
          </w:tcPr>
          <w:p>
            <w:pPr>
              <w:spacing w:after="0"/>
              <w:rPr>
                <w:sz w:val="8"/>
                <w:szCs w:val="8"/>
                <w:color w:val="auto"/>
              </w:rPr>
            </w:pPr>
          </w:p>
        </w:tc>
        <w:tc>
          <w:tcPr>
            <w:tcW w:w="2340" w:type="dxa"/>
            <w:vAlign w:val="bottom"/>
            <w:tcBorders>
              <w:bottom w:val="single" w:sz="8" w:color="CFF0FC"/>
            </w:tcBorders>
          </w:tcPr>
          <w:p>
            <w:pPr>
              <w:spacing w:after="0"/>
              <w:rPr>
                <w:sz w:val="8"/>
                <w:szCs w:val="8"/>
                <w:color w:val="auto"/>
              </w:rPr>
            </w:pPr>
          </w:p>
        </w:tc>
        <w:tc>
          <w:tcPr>
            <w:tcW w:w="680" w:type="dxa"/>
            <w:vAlign w:val="bottom"/>
            <w:tcBorders>
              <w:top w:val="single" w:sz="8" w:color="auto"/>
              <w:bottom w:val="single" w:sz="8" w:color="auto"/>
            </w:tcBorders>
          </w:tcPr>
          <w:p>
            <w:pPr>
              <w:jc w:val="right"/>
              <w:ind w:right="12"/>
              <w:spacing w:after="0" w:line="97" w:lineRule="exact"/>
              <w:rPr>
                <w:sz w:val="20"/>
                <w:szCs w:val="20"/>
                <w:color w:val="auto"/>
              </w:rPr>
            </w:pPr>
            <w:r>
              <w:rPr>
                <w:rFonts w:ascii="Arial" w:cs="Arial" w:eastAsia="Arial" w:hAnsi="Arial"/>
                <w:sz w:val="10"/>
                <w:szCs w:val="10"/>
                <w:b w:val="1"/>
                <w:bCs w:val="1"/>
                <w:color w:val="auto"/>
              </w:rPr>
              <w:t>2020</w:t>
            </w:r>
          </w:p>
        </w:tc>
        <w:tc>
          <w:tcPr>
            <w:tcW w:w="400" w:type="dxa"/>
            <w:vAlign w:val="bottom"/>
            <w:tcBorders>
              <w:top w:val="single" w:sz="8" w:color="auto"/>
              <w:bottom w:val="single" w:sz="8" w:color="auto"/>
            </w:tcBorders>
          </w:tcPr>
          <w:p>
            <w:pPr>
              <w:spacing w:after="0"/>
              <w:rPr>
                <w:sz w:val="8"/>
                <w:szCs w:val="8"/>
                <w:color w:val="auto"/>
              </w:rPr>
            </w:pPr>
          </w:p>
        </w:tc>
        <w:tc>
          <w:tcPr>
            <w:tcW w:w="220" w:type="dxa"/>
            <w:vAlign w:val="bottom"/>
            <w:tcBorders>
              <w:top w:val="single" w:sz="8" w:color="auto"/>
              <w:bottom w:val="single" w:sz="8" w:color="CFF0FC"/>
            </w:tcBorders>
          </w:tcPr>
          <w:p>
            <w:pPr>
              <w:spacing w:after="0"/>
              <w:rPr>
                <w:sz w:val="8"/>
                <w:szCs w:val="8"/>
                <w:color w:val="auto"/>
              </w:rPr>
            </w:pPr>
          </w:p>
        </w:tc>
        <w:tc>
          <w:tcPr>
            <w:tcW w:w="240" w:type="dxa"/>
            <w:vAlign w:val="bottom"/>
            <w:tcBorders>
              <w:top w:val="single" w:sz="8" w:color="auto"/>
              <w:bottom w:val="single" w:sz="8" w:color="auto"/>
            </w:tcBorders>
          </w:tcPr>
          <w:p>
            <w:pPr>
              <w:spacing w:after="0"/>
              <w:rPr>
                <w:sz w:val="8"/>
                <w:szCs w:val="8"/>
                <w:color w:val="auto"/>
              </w:rPr>
            </w:pPr>
          </w:p>
        </w:tc>
        <w:tc>
          <w:tcPr>
            <w:tcW w:w="920" w:type="dxa"/>
            <w:vAlign w:val="bottom"/>
            <w:tcBorders>
              <w:top w:val="single" w:sz="8" w:color="auto"/>
              <w:bottom w:val="single" w:sz="8" w:color="auto"/>
            </w:tcBorders>
          </w:tcPr>
          <w:p>
            <w:pPr>
              <w:jc w:val="right"/>
              <w:ind w:right="462"/>
              <w:spacing w:after="0" w:line="97" w:lineRule="exact"/>
              <w:rPr>
                <w:sz w:val="20"/>
                <w:szCs w:val="20"/>
                <w:color w:val="auto"/>
              </w:rPr>
            </w:pPr>
            <w:r>
              <w:rPr>
                <w:rFonts w:ascii="Arial" w:cs="Arial" w:eastAsia="Arial" w:hAnsi="Arial"/>
                <w:sz w:val="10"/>
                <w:szCs w:val="10"/>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2"/>
                <w:szCs w:val="12"/>
                <w:color w:val="auto"/>
              </w:rPr>
              <w:t>Lease revenue</w:t>
            </w:r>
          </w:p>
        </w:tc>
        <w:tc>
          <w:tcPr>
            <w:tcW w:w="3020" w:type="dxa"/>
            <w:vAlign w:val="bottom"/>
            <w:gridSpan w:val="2"/>
            <w:shd w:val="clear" w:color="auto" w:fill="CFF0FC"/>
          </w:tcPr>
          <w:p>
            <w:pPr>
              <w:jc w:val="right"/>
              <w:ind w:right="572"/>
              <w:spacing w:after="0"/>
              <w:rPr>
                <w:sz w:val="20"/>
                <w:szCs w:val="20"/>
                <w:color w:val="auto"/>
              </w:rPr>
            </w:pPr>
            <w:r>
              <w:rPr>
                <w:rFonts w:ascii="Arial" w:cs="Arial" w:eastAsia="Arial" w:hAnsi="Arial"/>
                <w:sz w:val="12"/>
                <w:szCs w:val="12"/>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6,813</w:t>
            </w: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20" w:type="dxa"/>
            <w:vAlign w:val="bottom"/>
            <w:tcBorders>
              <w:right w:val="single" w:sz="8" w:color="CFF0FC"/>
            </w:tcBorders>
            <w:shd w:val="clear" w:color="auto" w:fill="CFF0FC"/>
          </w:tcPr>
          <w:p>
            <w:pPr>
              <w:jc w:val="right"/>
              <w:ind w:right="22"/>
              <w:spacing w:after="0"/>
              <w:rPr>
                <w:sz w:val="20"/>
                <w:szCs w:val="20"/>
                <w:color w:val="auto"/>
              </w:rPr>
            </w:pPr>
            <w:r>
              <w:rPr>
                <w:rFonts w:ascii="Arial" w:cs="Arial" w:eastAsia="Arial" w:hAnsi="Arial"/>
                <w:sz w:val="12"/>
                <w:szCs w:val="12"/>
                <w:color w:val="auto"/>
              </w:rPr>
              <w:t>15,742</w:t>
            </w:r>
          </w:p>
        </w:tc>
        <w:tc>
          <w:tcPr>
            <w:tcW w:w="0" w:type="dxa"/>
            <w:vAlign w:val="bottom"/>
          </w:tcPr>
          <w:p>
            <w:pPr>
              <w:spacing w:after="0"/>
              <w:rPr>
                <w:sz w:val="1"/>
                <w:szCs w:val="1"/>
                <w:color w:val="auto"/>
              </w:rPr>
            </w:pPr>
          </w:p>
        </w:tc>
      </w:tr>
      <w:tr>
        <w:trPr>
          <w:trHeight w:val="153"/>
        </w:trPr>
        <w:tc>
          <w:tcPr>
            <w:tcW w:w="3120" w:type="dxa"/>
            <w:vAlign w:val="bottom"/>
            <w:gridSpan w:val="2"/>
          </w:tcPr>
          <w:p>
            <w:pPr>
              <w:spacing w:after="0"/>
              <w:rPr>
                <w:sz w:val="20"/>
                <w:szCs w:val="20"/>
                <w:color w:val="auto"/>
              </w:rPr>
            </w:pPr>
            <w:r>
              <w:rPr>
                <w:rFonts w:ascii="Arial" w:cs="Arial" w:eastAsia="Arial" w:hAnsi="Arial"/>
                <w:sz w:val="12"/>
                <w:szCs w:val="12"/>
                <w:color w:val="auto"/>
              </w:rPr>
              <w:t>System revenue</w:t>
            </w:r>
          </w:p>
        </w:tc>
        <w:tc>
          <w:tcPr>
            <w:tcW w:w="2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3,498</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6,315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2"/>
                <w:szCs w:val="12"/>
                <w:color w:val="auto"/>
              </w:rPr>
              <w:t>Product revenue</w:t>
            </w:r>
          </w:p>
        </w:tc>
        <w:tc>
          <w:tcPr>
            <w:tcW w:w="23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1,510</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tcBorders>
              <w:right w:val="single" w:sz="8" w:color="CFF0FC"/>
            </w:tcBorders>
            <w:shd w:val="clear" w:color="auto" w:fill="CFF0FC"/>
          </w:tcPr>
          <w:p>
            <w:pPr>
              <w:jc w:val="right"/>
              <w:ind w:right="22"/>
              <w:spacing w:after="0"/>
              <w:rPr>
                <w:sz w:val="20"/>
                <w:szCs w:val="20"/>
                <w:color w:val="auto"/>
              </w:rPr>
            </w:pPr>
            <w:r>
              <w:rPr>
                <w:rFonts w:ascii="Arial" w:cs="Arial" w:eastAsia="Arial" w:hAnsi="Arial"/>
                <w:sz w:val="12"/>
                <w:szCs w:val="12"/>
                <w:color w:val="auto"/>
              </w:rPr>
              <w:t>1,328</w:t>
            </w:r>
          </w:p>
        </w:tc>
        <w:tc>
          <w:tcPr>
            <w:tcW w:w="0" w:type="dxa"/>
            <w:vAlign w:val="bottom"/>
          </w:tcPr>
          <w:p>
            <w:pPr>
              <w:spacing w:after="0"/>
              <w:rPr>
                <w:sz w:val="1"/>
                <w:szCs w:val="1"/>
                <w:color w:val="auto"/>
              </w:rPr>
            </w:pPr>
          </w:p>
        </w:tc>
      </w:tr>
      <w:tr>
        <w:trPr>
          <w:trHeight w:val="153"/>
        </w:trPr>
        <w:tc>
          <w:tcPr>
            <w:tcW w:w="3120" w:type="dxa"/>
            <w:vAlign w:val="bottom"/>
            <w:gridSpan w:val="2"/>
          </w:tcPr>
          <w:p>
            <w:pPr>
              <w:spacing w:after="0"/>
              <w:rPr>
                <w:sz w:val="20"/>
                <w:szCs w:val="20"/>
                <w:color w:val="auto"/>
              </w:rPr>
            </w:pPr>
            <w:r>
              <w:rPr>
                <w:rFonts w:ascii="Arial" w:cs="Arial" w:eastAsia="Arial" w:hAnsi="Arial"/>
                <w:sz w:val="12"/>
                <w:szCs w:val="12"/>
                <w:color w:val="auto"/>
              </w:rPr>
              <w:t>Service revenue</w:t>
            </w:r>
          </w:p>
        </w:tc>
        <w:tc>
          <w:tcPr>
            <w:tcW w:w="2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2,687</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1,195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vMerge w:val="restart"/>
            <w:shd w:val="clear" w:color="auto" w:fill="CFF0FC"/>
          </w:tcPr>
          <w:p>
            <w:pPr>
              <w:ind w:left="80"/>
              <w:spacing w:after="0"/>
              <w:rPr>
                <w:sz w:val="20"/>
                <w:szCs w:val="20"/>
                <w:color w:val="auto"/>
              </w:rPr>
            </w:pPr>
            <w:r>
              <w:rPr>
                <w:rFonts w:ascii="Arial" w:cs="Arial" w:eastAsia="Arial" w:hAnsi="Arial"/>
                <w:sz w:val="12"/>
                <w:szCs w:val="12"/>
                <w:color w:val="auto"/>
              </w:rPr>
              <w:t>Total revenue</w:t>
            </w:r>
          </w:p>
        </w:tc>
        <w:tc>
          <w:tcPr>
            <w:tcW w:w="234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vMerge w:val="continue"/>
            <w:shd w:val="clear" w:color="auto" w:fill="CFF0FC"/>
          </w:tcPr>
          <w:p>
            <w:pPr>
              <w:spacing w:after="0"/>
              <w:rPr>
                <w:sz w:val="12"/>
                <w:szCs w:val="12"/>
                <w:color w:val="auto"/>
              </w:rPr>
            </w:pPr>
          </w:p>
        </w:tc>
        <w:tc>
          <w:tcPr>
            <w:tcW w:w="3020" w:type="dxa"/>
            <w:vAlign w:val="bottom"/>
            <w:gridSpan w:val="2"/>
            <w:shd w:val="clear" w:color="auto" w:fill="CFF0FC"/>
          </w:tcPr>
          <w:p>
            <w:pPr>
              <w:jc w:val="right"/>
              <w:ind w:right="572"/>
              <w:spacing w:after="0"/>
              <w:rPr>
                <w:sz w:val="20"/>
                <w:szCs w:val="20"/>
                <w:color w:val="auto"/>
              </w:rPr>
            </w:pPr>
            <w:r>
              <w:rPr>
                <w:rFonts w:ascii="Arial" w:cs="Arial" w:eastAsia="Arial" w:hAnsi="Arial"/>
                <w:sz w:val="12"/>
                <w:szCs w:val="12"/>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14,508</w:t>
            </w: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20" w:type="dxa"/>
            <w:vAlign w:val="bottom"/>
            <w:tcBorders>
              <w:right w:val="single" w:sz="8" w:color="CFF0FC"/>
            </w:tcBorders>
            <w:shd w:val="clear" w:color="auto" w:fill="CFF0FC"/>
          </w:tcPr>
          <w:p>
            <w:pPr>
              <w:jc w:val="right"/>
              <w:ind w:right="22"/>
              <w:spacing w:after="0"/>
              <w:rPr>
                <w:sz w:val="20"/>
                <w:szCs w:val="20"/>
                <w:color w:val="auto"/>
              </w:rPr>
            </w:pPr>
            <w:r>
              <w:rPr>
                <w:rFonts w:ascii="Arial" w:cs="Arial" w:eastAsia="Arial" w:hAnsi="Arial"/>
                <w:sz w:val="12"/>
                <w:szCs w:val="12"/>
                <w:color w:val="auto"/>
              </w:rPr>
              <w:t>24,580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00" w:type="dxa"/>
            <w:vAlign w:val="bottom"/>
            <w:shd w:val="clear" w:color="auto" w:fill="CFF0FC"/>
          </w:tcPr>
          <w:p>
            <w:pPr>
              <w:spacing w:after="0"/>
              <w:rPr>
                <w:sz w:val="2"/>
                <w:szCs w:val="2"/>
                <w:color w:val="auto"/>
              </w:rPr>
            </w:pPr>
          </w:p>
        </w:tc>
        <w:tc>
          <w:tcPr>
            <w:tcW w:w="2340" w:type="dxa"/>
            <w:vAlign w:val="bottom"/>
            <w:shd w:val="clear" w:color="auto" w:fill="CFF0F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FF0FC"/>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15. RELATED PARTY TRANSACTIONS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All amounts were recorded at the exchange amount, which is the amount established and agreed to by the related parties. The following are transactions between the Company and its related parties: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Non-Interest Demand Loan to PT Neoasia Medical</w:t>
      </w:r>
    </w:p>
    <w:p>
      <w:pPr>
        <w:spacing w:after="0" w:line="150" w:lineRule="exact"/>
        <w:rPr>
          <w:sz w:val="20"/>
          <w:szCs w:val="20"/>
          <w:color w:val="auto"/>
        </w:rPr>
      </w:pPr>
    </w:p>
    <w:p>
      <w:pPr>
        <w:jc w:val="both"/>
        <w:ind w:right="60"/>
        <w:spacing w:after="0" w:line="298" w:lineRule="auto"/>
        <w:rPr>
          <w:sz w:val="20"/>
          <w:szCs w:val="20"/>
          <w:color w:val="auto"/>
        </w:rPr>
      </w:pPr>
      <w:r>
        <w:rPr>
          <w:rFonts w:ascii="Arial" w:cs="Arial" w:eastAsia="Arial" w:hAnsi="Arial"/>
          <w:sz w:val="11"/>
          <w:szCs w:val="11"/>
          <w:color w:val="auto"/>
        </w:rPr>
        <w:t>On July 1, 2016, a senior manager of the Company transferred 100.0% of his shares in Inphronics Limited to the Company, making it a wholly-owned subsidiary. At such time, an unsecured non-interest-bearing working capital loan to PT Neoasia Medical, a subsidiary of Inphronics Limited, that was previously provided by the senior manager of the Company was outstanding. As of March 31, 2020 and December 31, 2019, the outstanding amount of the loan was Indonesian rupiah (“IDR”) 6.9 billion, which is equivalent to $457 and $498, respectively. This loan is reported as part of accrued expenses and other current liabilities.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Distribution agreements</w:t>
      </w:r>
    </w:p>
    <w:p>
      <w:pPr>
        <w:spacing w:after="0" w:line="150"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On January 1, 2018, the Company entered into a new Distribution Agreement with Technicalbiomed Co., Ltd. (“TBC”), pursuant to which TBC will continue to distribute the Company’s products in Thailand. A senior manager of the Company is a 30.0% shareholder of TBC. For the three months ended March 31, 2020 and 2019, TBC purchased products in the amount of $49 and $100, respectively, under this distribution agreement. These sales are included in products and services revenue.</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Intellectual Property Transfer Agreement</w:t>
      </w:r>
    </w:p>
    <w:p>
      <w:pPr>
        <w:spacing w:after="0" w:line="150"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In August 2013, the Company entered into a license agreement for the rights to an invention for fractional radio frequency treatment of the skin with the developers of the technology. Pursuant to the license agreement, the developers, amongst which one is a senior executive of the Company, granted to the Company an exclusive worldwide, perpetual, irrevocable license to develop and commercialize their inventions and any product into which it is integrated. As consideration for such license, the Company agreed to pay the developers 7.0% of the gross income received by the Company from sales of the Venus Viva system and the related consumables and $1.50 per Venus Versa system, up to an aggregate amount of $3,000. No royalties were paid in the three months ended March 31, 2020 and 2019, respectively. The Company reported the amounts under research and development expenses in the condensed consolidated financial statements. No amounts were outstanding as at March 31, 2020 and December 31, 2019.</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16. SUBSEQUENT EVENTS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Paycheck Protection Program</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Company and one of its subsidiaries, Venus Concept USA Inc. (“Venus USA”), received funding in the total amount of $4,048 in connection with two “Small Business Loans” under the federal Paycheck Protection Program provided in Section 7(a) of the Small Business Act of 1953, as amended by the Coronavirus Aid, Relief, and Economic Security Act, as amended from time to time (the “PPP”).</w:t>
      </w:r>
    </w:p>
    <w:p>
      <w:pPr>
        <w:spacing w:after="0" w:line="115" w:lineRule="exact"/>
        <w:rPr>
          <w:sz w:val="20"/>
          <w:szCs w:val="20"/>
          <w:color w:val="auto"/>
        </w:rPr>
      </w:pPr>
    </w:p>
    <w:p>
      <w:pPr>
        <w:jc w:val="center"/>
        <w:ind w:right="380"/>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55245</wp:posOffset>
            </wp:positionV>
            <wp:extent cx="7189470" cy="11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940"/>
          </w:cols>
          <w:pgMar w:left="660" w:top="275" w:right="299" w:bottom="1440" w:gutter="0" w:footer="0" w:header="0"/>
        </w:sectPr>
      </w:pPr>
    </w:p>
    <w:bookmarkStart w:id="26" w:name="page27"/>
    <w:bookmarkEnd w:id="26"/>
    <w:p>
      <w:pPr>
        <w:jc w:val="both"/>
        <w:ind w:right="40"/>
        <w:spacing w:after="0" w:line="263" w:lineRule="auto"/>
        <w:rPr>
          <w:sz w:val="20"/>
          <w:szCs w:val="20"/>
          <w:color w:val="auto"/>
        </w:rPr>
      </w:pPr>
      <w:r>
        <w:rPr>
          <w:rFonts w:ascii="Arial" w:cs="Arial" w:eastAsia="Arial" w:hAnsi="Arial"/>
          <w:sz w:val="12"/>
          <w:szCs w:val="12"/>
          <w:color w:val="auto"/>
        </w:rPr>
        <w:t>The Company entered the U.S. Small Business Administration Note dated as of April 21, 2020 in favor of CNB pursuant to which the Company borrowed $1,665 original principal amount, which was funded on April 29, 2020 (the “Venus Concept PPP Loan”). The Venus Concept PPP Loan bears interest at 1% per annum and matures in two years from the date of disbursement of funds under the loan. Interest and principal payments under the Venus Concept PPP Loan will be deferred for a period of six months.</w:t>
      </w:r>
    </w:p>
    <w:p>
      <w:pPr>
        <w:spacing w:after="0" w:line="122"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The Venus Concept PPP Loan contain certain covenants which, among other things, restrict the Company’s use of the proceeds of the PPP Loan to the payment of payroll costs, interest on mortgage obligations, rent obligations and utility expenses, require compliance with all other loans or other agreements with any creditor of the Company, to the extent that a default under any loan or other agreement would materially affect the Company’s ability to repay its PPP Loan and limit the Company’s ability to make certain changes to its ownership structure.</w:t>
      </w:r>
    </w:p>
    <w:p>
      <w:pPr>
        <w:spacing w:after="0" w:line="122" w:lineRule="exact"/>
        <w:rPr>
          <w:sz w:val="20"/>
          <w:szCs w:val="20"/>
          <w:color w:val="auto"/>
        </w:rPr>
      </w:pPr>
    </w:p>
    <w:p>
      <w:pPr>
        <w:spacing w:after="0"/>
        <w:rPr>
          <w:sz w:val="20"/>
          <w:szCs w:val="20"/>
          <w:color w:val="auto"/>
        </w:rPr>
      </w:pPr>
      <w:r>
        <w:rPr>
          <w:rFonts w:ascii="Arial" w:cs="Arial" w:eastAsia="Arial" w:hAnsi="Arial"/>
          <w:sz w:val="11"/>
          <w:szCs w:val="11"/>
          <w:color w:val="auto"/>
        </w:rPr>
        <w:t>Venus USA entered into a U.S. Small Business Administration Note dated as of April 15, 2020 in favor of CNB. Venus USA borrowed $2,383 original principal amount, which was funded on April 20, 2020 (the “Venus USA</w:t>
      </w:r>
    </w:p>
    <w:p>
      <w:pPr>
        <w:spacing w:after="0" w:line="26" w:lineRule="exact"/>
        <w:rPr>
          <w:sz w:val="20"/>
          <w:szCs w:val="20"/>
          <w:color w:val="auto"/>
        </w:rPr>
      </w:pPr>
    </w:p>
    <w:p>
      <w:pPr>
        <w:ind w:firstLine="8"/>
        <w:spacing w:after="0" w:line="306" w:lineRule="auto"/>
        <w:tabs>
          <w:tab w:leader="none" w:pos="230" w:val="left"/>
        </w:tabs>
        <w:numPr>
          <w:ilvl w:val="0"/>
          <w:numId w:val="7"/>
        </w:numPr>
        <w:rPr>
          <w:rFonts w:ascii="Arial" w:cs="Arial" w:eastAsia="Arial" w:hAnsi="Arial"/>
          <w:sz w:val="11"/>
          <w:szCs w:val="11"/>
          <w:color w:val="auto"/>
        </w:rPr>
      </w:pPr>
      <w:r>
        <w:rPr>
          <w:rFonts w:ascii="Arial" w:cs="Arial" w:eastAsia="Arial" w:hAnsi="Arial"/>
          <w:sz w:val="11"/>
          <w:szCs w:val="11"/>
          <w:color w:val="auto"/>
        </w:rPr>
        <w:t>Loan” and together with the Venus Concept PPP Loan, individually each a “PPP Loan” and collectively, the “PPP Loans”). The terms of the Venus USA PPP Loan are substantially similar to the terms of the Venus Concept PPP Loan.</w:t>
      </w:r>
    </w:p>
    <w:p>
      <w:pPr>
        <w:spacing w:after="0" w:line="101"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Under certain circumstances, all or a portion of the PPP Loans may be forgiven, however, there can be no assurance that any portion of the PPP Loans will be forgiven and that the Company would not be required to repay the PPP Loans in full.</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Under the Madryn Credit Agreement each PPP Loan is permitted to be incurred by the Company and Venus Concept USA as long as certain conditions remain satisfied, including that all PPP Loans must be forgiven other than any amount which can fit under existing permitted debt baskets in the Madryn Credit Agreement. If the Company and/or Venus Concept USA defaults on the respective PPP Loan or if any of the conditions to the incurrence thereof under the Madryn Credit Agreement are not satisfied (i) events of default will occur under the Madryn Credit Agreement and the CNB Credit Facility and (ii) the Company and Venus Concept USA may be required to immediately repay their respective PPP Loan.</w:t>
      </w:r>
    </w:p>
    <w:p>
      <w:pPr>
        <w:spacing w:after="0" w:line="124" w:lineRule="exact"/>
        <w:rPr>
          <w:sz w:val="20"/>
          <w:szCs w:val="20"/>
          <w:color w:val="auto"/>
        </w:rPr>
      </w:pPr>
    </w:p>
    <w:p>
      <w:pPr>
        <w:jc w:val="both"/>
        <w:ind w:right="120"/>
        <w:spacing w:after="0" w:line="263" w:lineRule="auto"/>
        <w:rPr>
          <w:sz w:val="20"/>
          <w:szCs w:val="20"/>
          <w:color w:val="auto"/>
        </w:rPr>
      </w:pPr>
      <w:r>
        <w:rPr>
          <w:rFonts w:ascii="Arial" w:cs="Arial" w:eastAsia="Arial" w:hAnsi="Arial"/>
          <w:sz w:val="12"/>
          <w:szCs w:val="12"/>
          <w:color w:val="auto"/>
        </w:rPr>
        <w:t>Also, the U.S. Small Business Administration (the “SBA”) has decided, in consultation with the Department of the Treasury, that it will review all loans in excess of $2,000 following the lender’s submission of the borrower’s loan forgiveness application. To the extent that the SBA’s audit determines that Venus Concept USA was not entitled to the loan under the PPP, the loan may not be forgiven, an event of default would occur under the Madryn Credit Agreement and Venus Concept USA could be subject to civil and criminal penalties.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Twelfth Amendment to the Madryn Credit Agreement</w:t>
      </w:r>
    </w:p>
    <w:p>
      <w:pPr>
        <w:spacing w:after="0" w:line="150" w:lineRule="exact"/>
        <w:rPr>
          <w:sz w:val="20"/>
          <w:szCs w:val="20"/>
          <w:color w:val="auto"/>
        </w:rPr>
      </w:pPr>
    </w:p>
    <w:p>
      <w:pPr>
        <w:ind w:right="180"/>
        <w:spacing w:after="0" w:line="263" w:lineRule="auto"/>
        <w:rPr>
          <w:sz w:val="20"/>
          <w:szCs w:val="20"/>
          <w:color w:val="auto"/>
        </w:rPr>
      </w:pPr>
      <w:r>
        <w:rPr>
          <w:rFonts w:ascii="Arial" w:cs="Arial" w:eastAsia="Arial" w:hAnsi="Arial"/>
          <w:sz w:val="12"/>
          <w:szCs w:val="12"/>
          <w:color w:val="auto"/>
        </w:rPr>
        <w:t>On April 29, 2020, the Company entered into an amendment to the Madryn Credit Agreement that (i) require that interest payments for the period beginning January 1, 2020 and ending on, and including, April 29, 2020 (the “PIK Period”), be paid-in-kind, (ii) increase the interest rate from 9.00% per annum to 12.00% per annum during the PIK Period and (iii) require the Company to provide certain additional financial and other reporting information to the lenders.</w:t>
      </w:r>
    </w:p>
    <w:p>
      <w:pPr>
        <w:spacing w:after="0" w:line="122" w:lineRule="exact"/>
        <w:rPr>
          <w:sz w:val="20"/>
          <w:szCs w:val="20"/>
          <w:color w:val="auto"/>
        </w:rPr>
      </w:pPr>
    </w:p>
    <w:p>
      <w:pPr>
        <w:jc w:val="center"/>
        <w:ind w:right="340"/>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55245</wp:posOffset>
            </wp:positionV>
            <wp:extent cx="7189470" cy="11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900"/>
          </w:cols>
          <w:pgMar w:left="660" w:top="275" w:right="339" w:bottom="1440" w:gutter="0" w:footer="0" w:header="0"/>
        </w:sectPr>
      </w:pPr>
    </w:p>
    <w:bookmarkStart w:id="27" w:name="page28"/>
    <w:bookmarkEnd w:id="27"/>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154" w:lineRule="exact"/>
        <w:rPr>
          <w:sz w:val="20"/>
          <w:szCs w:val="20"/>
          <w:color w:val="auto"/>
        </w:rPr>
      </w:pPr>
    </w:p>
    <w:p>
      <w:pPr>
        <w:jc w:val="both"/>
        <w:ind w:right="80"/>
        <w:spacing w:after="0" w:line="285" w:lineRule="auto"/>
        <w:rPr>
          <w:sz w:val="20"/>
          <w:szCs w:val="20"/>
          <w:color w:val="auto"/>
        </w:rPr>
      </w:pPr>
      <w:r>
        <w:rPr>
          <w:rFonts w:ascii="Arial" w:cs="Arial" w:eastAsia="Arial" w:hAnsi="Arial"/>
          <w:sz w:val="11"/>
          <w:szCs w:val="11"/>
          <w:i w:val="1"/>
          <w:iCs w:val="1"/>
          <w:color w:val="auto"/>
        </w:rPr>
        <w:t>The following discussion contains management’s discussion and analysis of our financial condition and results of operations and should be read together with the unaudited condensed consolidated financial statements and the notes thereto included elsewhere in this Quarterly Report on Form 10-Q and with our audited consolidated financial statements and notes thereto in our Annual Report filed on Form 10-K for the year ended December 31, 2019 (“Form 10-K”), filed with the Securities and Exchange Commission (the “SEC”) and other filings we have made with the SEC. This discussion contains forward-looking statements that reflect our plans, estimates and beliefs and involve numerous risks and uncertainties, including but not limited to those described in Part II, Item 1A “Risk Factors” of this Quarterly Report on Form 10-Q and Part I, Item IA “Risk Factors” of our Form 10-K. Actual results may differ materially from those contained in any forward-looking statements. You should carefully read Part II, Item 1A, “Risk Factors” herein and Part I, Item IA, “Risk Factors” of our Form 10-K.</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We are an innovative global medical technology company that develops, commercializes, and delivers minimally invasive and non-invasive medical aesthetic and hair restoration technologies and related services. Our systems have been designed on a cost-effective, proprietary and flexible platform that enables us to expand beyond the aesthetic industry’s traditional markets of dermatology and plastic surgery, and into non-traditional markets, including family and general practitioners and aesthetic medical spas. In the three months ended March 31, 2020 and 2019, respectively, a substantial majority of our systems delivered in North America were in non-traditional markets.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In November 2019, we completed our business combination with Venus Concept Ltd. and the business of Venus Concept Ltd. became the primary business of the company.</w:t>
      </w:r>
    </w:p>
    <w:p>
      <w:pPr>
        <w:spacing w:after="0" w:line="150" w:lineRule="exact"/>
        <w:rPr>
          <w:sz w:val="20"/>
          <w:szCs w:val="20"/>
          <w:color w:val="auto"/>
        </w:rPr>
      </w:pPr>
    </w:p>
    <w:p>
      <w:pPr>
        <w:ind w:right="140"/>
        <w:spacing w:after="0" w:line="311" w:lineRule="auto"/>
        <w:rPr>
          <w:sz w:val="20"/>
          <w:szCs w:val="20"/>
          <w:color w:val="auto"/>
        </w:rPr>
      </w:pPr>
      <w:r>
        <w:rPr>
          <w:rFonts w:ascii="Arial" w:cs="Arial" w:eastAsia="Arial" w:hAnsi="Arial"/>
          <w:sz w:val="10"/>
          <w:szCs w:val="10"/>
          <w:color w:val="auto"/>
        </w:rPr>
        <w:t>We have had recurring net operating losses and negative cash flows from operations. As of March 31, 2020 and December 31, 2019, we had an accumulated deficit of $125.9 million and $75.7 million, respectively. Until we generate revenue at a level to support our cost structure, we expect to continue to incur substantial operating losses and negative cash flows from operations. In order to continue our operations, we must achieve profitable operations and/or obtain additional equity investment or debt financing. Until we achieve profitability, we plan to fund our operations and capital expenditures with cash on hand, borrowings and issuance of capital stock. As of March 31, 2020 and December 31, 2019, we had cash and cash equivalents of $20.6 million and $15.7 million, respectively. On March 19, 2020 we issued and sold securities in a private placement for gross proceeds of approximately $22.3 million. See “—2020 Private Placement” below. The COVID-19 pandemic has had a significant negative impact on our business, and we cannot anticipate the extent to which the current economic turmoil will continue to adversely impact our business which is largely subject to whether the severity worsens, or duration lengthens. Given the COVID-19 pandemic, we may need additional capital to fund our future operations and to access the capital markets sooner than we planned. We cannot assure you that we will be successful in raising additional capital or that such capital, if available at all, will be on terms that are acceptable to us. If we are unable to raise sufficient additional capital, we may be compelled to reduce the scope of our operations and planned capital or research and development expenditures or sell certain assets, including intellectual property assets. See ‘‘</w:t>
      </w:r>
      <w:r>
        <w:rPr>
          <w:rFonts w:ascii="Arial" w:cs="Arial" w:eastAsia="Arial" w:hAnsi="Arial"/>
          <w:sz w:val="10"/>
          <w:szCs w:val="10"/>
          <w:i w:val="1"/>
          <w:iCs w:val="1"/>
          <w:color w:val="auto"/>
        </w:rPr>
        <w:t>—Liquidity and Capital Resources</w:t>
      </w:r>
      <w:r>
        <w:rPr>
          <w:rFonts w:ascii="Arial" w:cs="Arial" w:eastAsia="Arial" w:hAnsi="Arial"/>
          <w:sz w:val="10"/>
          <w:szCs w:val="10"/>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2020 Private Placement</w:t>
      </w:r>
    </w:p>
    <w:p>
      <w:pPr>
        <w:spacing w:after="0" w:line="150" w:lineRule="exact"/>
        <w:rPr>
          <w:sz w:val="20"/>
          <w:szCs w:val="20"/>
          <w:color w:val="auto"/>
        </w:rPr>
      </w:pPr>
    </w:p>
    <w:p>
      <w:pPr>
        <w:ind w:right="40"/>
        <w:spacing w:after="0" w:line="285" w:lineRule="auto"/>
        <w:rPr>
          <w:sz w:val="20"/>
          <w:szCs w:val="20"/>
          <w:color w:val="auto"/>
        </w:rPr>
      </w:pPr>
      <w:r>
        <w:rPr>
          <w:rFonts w:ascii="Arial" w:cs="Arial" w:eastAsia="Arial" w:hAnsi="Arial"/>
          <w:sz w:val="11"/>
          <w:szCs w:val="11"/>
          <w:color w:val="auto"/>
        </w:rPr>
        <w:t>On March 18, 2020, we entered into a securities purchase agreement with certain investors pursuant to which we agreed to sell and they agreed to purchase an aggregate of approximately 2.3 million shares of our common stock, 0.7 million shares of Series A Preferred Stock, which is convertible into 6.6 million shares of our common stock and the 2020 Private Placement Warrants to purchase up to an aggregate of approximately 6.7 million shares of our common stock at an exercise price of $3.50 per share, which we refer to as the 2020 Private Placement. The 2020 Private Placement Warrants have a five-year term and are exercisable beginning 181 days after their issue date. The Series A Preferred Stock will automatically convert into shares of common stock upon receipt of stockholders’ approval. The Series A Preferred Stock has no voting rights other than as required by law. The aggregate net purchase price for the securities sold in the 2020 Private Placement was approximately $20.3 million. The transaction was completed on March 19, 2020.</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00" w:top="271" w:right="339" w:bottom="1440" w:gutter="0" w:footer="0" w:header="0"/>
        </w:sectPr>
      </w:pPr>
    </w:p>
    <w:bookmarkStart w:id="28" w:name="page29"/>
    <w:bookmarkEnd w:id="28"/>
    <w:p>
      <w:pPr>
        <w:spacing w:after="0"/>
        <w:rPr>
          <w:sz w:val="20"/>
          <w:szCs w:val="20"/>
          <w:color w:val="auto"/>
        </w:rPr>
      </w:pPr>
      <w:r>
        <w:rPr>
          <w:rFonts w:ascii="Arial" w:cs="Arial" w:eastAsia="Arial" w:hAnsi="Arial"/>
          <w:sz w:val="12"/>
          <w:szCs w:val="12"/>
          <w:b w:val="1"/>
          <w:bCs w:val="1"/>
          <w:i w:val="1"/>
          <w:iCs w:val="1"/>
          <w:color w:val="auto"/>
        </w:rPr>
        <w:t>Products and Services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We derive revenue from the sale of products and services. Product revenue includes revenue from the following:</w:t>
      </w:r>
    </w:p>
    <w:p>
      <w:pPr>
        <w:spacing w:after="0" w:line="150" w:lineRule="exact"/>
        <w:rPr>
          <w:sz w:val="20"/>
          <w:szCs w:val="20"/>
          <w:color w:val="auto"/>
        </w:rPr>
      </w:pPr>
    </w:p>
    <w:p>
      <w:pPr>
        <w:ind w:left="740" w:hanging="370"/>
        <w:spacing w:after="0"/>
        <w:tabs>
          <w:tab w:leader="none" w:pos="74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sale of systems, which includes the main console and is inclusive of control software and applicators (referred to as system revenue);</w:t>
      </w:r>
    </w:p>
    <w:p>
      <w:pPr>
        <w:spacing w:after="0" w:line="14" w:lineRule="exact"/>
        <w:rPr>
          <w:rFonts w:ascii="Arial" w:cs="Arial" w:eastAsia="Arial" w:hAnsi="Arial"/>
          <w:sz w:val="12"/>
          <w:szCs w:val="12"/>
          <w:color w:val="auto"/>
        </w:rPr>
      </w:pPr>
    </w:p>
    <w:p>
      <w:pPr>
        <w:ind w:left="740" w:hanging="370"/>
        <w:spacing w:after="0"/>
        <w:tabs>
          <w:tab w:leader="none" w:pos="740" w:val="left"/>
        </w:tabs>
        <w:numPr>
          <w:ilvl w:val="0"/>
          <w:numId w:val="8"/>
        </w:numPr>
        <w:rPr>
          <w:rFonts w:ascii="Arial" w:cs="Arial" w:eastAsia="Arial" w:hAnsi="Arial"/>
          <w:sz w:val="12"/>
          <w:szCs w:val="12"/>
          <w:color w:val="auto"/>
        </w:rPr>
      </w:pPr>
      <w:r>
        <w:rPr>
          <w:rFonts w:ascii="Arial" w:cs="Arial" w:eastAsia="Arial" w:hAnsi="Arial"/>
          <w:sz w:val="12"/>
          <w:szCs w:val="12"/>
          <w:color w:val="auto"/>
        </w:rPr>
        <w:t>marketing supplies and kits;</w:t>
      </w:r>
    </w:p>
    <w:p>
      <w:pPr>
        <w:spacing w:after="0" w:line="6" w:lineRule="exact"/>
        <w:rPr>
          <w:rFonts w:ascii="Arial" w:cs="Arial" w:eastAsia="Arial" w:hAnsi="Arial"/>
          <w:sz w:val="12"/>
          <w:szCs w:val="12"/>
          <w:color w:val="auto"/>
        </w:rPr>
      </w:pPr>
    </w:p>
    <w:p>
      <w:pPr>
        <w:ind w:left="740" w:hanging="370"/>
        <w:spacing w:after="0"/>
        <w:tabs>
          <w:tab w:leader="none" w:pos="740" w:val="left"/>
        </w:tabs>
        <w:numPr>
          <w:ilvl w:val="0"/>
          <w:numId w:val="8"/>
        </w:numPr>
        <w:rPr>
          <w:rFonts w:ascii="Arial" w:cs="Arial" w:eastAsia="Arial" w:hAnsi="Arial"/>
          <w:sz w:val="12"/>
          <w:szCs w:val="12"/>
          <w:color w:val="auto"/>
        </w:rPr>
      </w:pPr>
      <w:r>
        <w:rPr>
          <w:rFonts w:ascii="Arial" w:cs="Arial" w:eastAsia="Arial" w:hAnsi="Arial"/>
          <w:sz w:val="12"/>
          <w:szCs w:val="12"/>
          <w:color w:val="auto"/>
        </w:rPr>
        <w:t>consumables and disposables;</w:t>
      </w:r>
    </w:p>
    <w:p>
      <w:pPr>
        <w:spacing w:after="0" w:line="6" w:lineRule="exact"/>
        <w:rPr>
          <w:rFonts w:ascii="Arial" w:cs="Arial" w:eastAsia="Arial" w:hAnsi="Arial"/>
          <w:sz w:val="12"/>
          <w:szCs w:val="12"/>
          <w:color w:val="auto"/>
        </w:rPr>
      </w:pPr>
    </w:p>
    <w:p>
      <w:pPr>
        <w:ind w:left="740" w:hanging="370"/>
        <w:spacing w:after="0"/>
        <w:tabs>
          <w:tab w:leader="none" w:pos="74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replacement applicators/handpieces; and</w:t>
      </w:r>
    </w:p>
    <w:p>
      <w:pPr>
        <w:spacing w:after="0" w:line="6" w:lineRule="exact"/>
        <w:rPr>
          <w:rFonts w:ascii="Arial" w:cs="Arial" w:eastAsia="Arial" w:hAnsi="Arial"/>
          <w:sz w:val="12"/>
          <w:szCs w:val="12"/>
          <w:color w:val="auto"/>
        </w:rPr>
      </w:pPr>
    </w:p>
    <w:p>
      <w:pPr>
        <w:ind w:left="740" w:hanging="370"/>
        <w:spacing w:after="0"/>
        <w:tabs>
          <w:tab w:leader="none" w:pos="740" w:val="left"/>
        </w:tabs>
        <w:numPr>
          <w:ilvl w:val="0"/>
          <w:numId w:val="8"/>
        </w:numPr>
        <w:rPr>
          <w:rFonts w:ascii="Arial" w:cs="Arial" w:eastAsia="Arial" w:hAnsi="Arial"/>
          <w:sz w:val="12"/>
          <w:szCs w:val="12"/>
          <w:color w:val="auto"/>
        </w:rPr>
      </w:pPr>
      <w:r>
        <w:rPr>
          <w:rFonts w:ascii="Arial" w:cs="Arial" w:eastAsia="Arial" w:hAnsi="Arial"/>
          <w:sz w:val="12"/>
          <w:szCs w:val="12"/>
          <w:color w:val="auto"/>
        </w:rPr>
        <w:t>Venus Concept skincare and hair products.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Service revenue includes revenue derived from our VeroGrafters</w:t>
      </w:r>
      <w:r>
        <w:rPr>
          <w:rFonts w:ascii="Arial" w:cs="Arial" w:eastAsia="Arial" w:hAnsi="Arial"/>
          <w:sz w:val="12"/>
          <w:szCs w:val="12"/>
          <w:color w:val="3C4043"/>
        </w:rPr>
        <w:t>™</w:t>
      </w:r>
      <w:r>
        <w:rPr>
          <w:rFonts w:ascii="Arial" w:cs="Arial" w:eastAsia="Arial" w:hAnsi="Arial"/>
          <w:sz w:val="12"/>
          <w:szCs w:val="12"/>
          <w:color w:val="auto"/>
        </w:rPr>
        <w:t xml:space="preserve"> technician services, our 2two5 internal advertising agency, and our extended warranty service contracts provided to our existing customers.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Systems are sold through our subscription model, or through traditional sales contracts directly and through distributors.</w:t>
      </w:r>
    </w:p>
    <w:p>
      <w:pPr>
        <w:spacing w:after="0" w:line="150"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We generate recurring monthly revenue under our subscription-based business model and from traditional system sales. Venus Concept Ltd. commenced a subscription-based model in North America in 2011 and, for the three months ended March 31, 2020, and 2019, approximately 66% and 72% of system revenues were derived from our subscription model, respectively. We have launched our subscription model in targeted international markets in which we operate directly. We currently do not offer the ARTAS® iX System for hair restoration under the subscription model.</w:t>
      </w:r>
    </w:p>
    <w:p>
      <w:pPr>
        <w:spacing w:after="0" w:line="122"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color w:val="auto"/>
        </w:rPr>
        <w:t>Our subscription model includes an up-front fee and a monthly payment schedule, typically over a period of 36 months, with approximately 40% of total contract payments collected in the first year. To ensure that each monthly product payment is made on time and that the customer’s system is serviced in accordance with the terms of the warranty, every product purchased under a subscription agreement requires a monthly activation code, which we provide to the customer upon receipt of the monthly payment. These recurring monthly payments provide our customers with enhanced financial transparency and predictability. If economic circumstances are appropriate, we provide customers in good standing with the opportunity to “upgrade” to new agreements for the newest available or alternative Venus Concept’s technology throughout the subscription period. This structure can provide greater flexibility than traditional equipment leases secured through financing companies. We work closely with our customers and physicians to provide business recommendations that improve the quality of service outcomes, build patient traffic and improve financial returns for the customer’s business.</w:t>
      </w:r>
    </w:p>
    <w:p>
      <w:pPr>
        <w:spacing w:after="0" w:line="128" w:lineRule="exact"/>
        <w:rPr>
          <w:sz w:val="20"/>
          <w:szCs w:val="20"/>
          <w:color w:val="auto"/>
        </w:rPr>
      </w:pPr>
    </w:p>
    <w:p>
      <w:pPr>
        <w:spacing w:after="0" w:line="289" w:lineRule="auto"/>
        <w:rPr>
          <w:sz w:val="20"/>
          <w:szCs w:val="20"/>
          <w:color w:val="auto"/>
        </w:rPr>
      </w:pPr>
      <w:r>
        <w:rPr>
          <w:rFonts w:ascii="Arial" w:cs="Arial" w:eastAsia="Arial" w:hAnsi="Arial"/>
          <w:sz w:val="11"/>
          <w:szCs w:val="11"/>
          <w:color w:val="auto"/>
        </w:rPr>
        <w:t>We have developed and commercialized twelve technology platforms, including our ARTAS® and NeoGraft® systems. Our medical aesthetic technology platforms have received regulatory clearance for indications such as treatment of facial wrinkles in certain skin types, temporary reduction of appearance of cellulite, non-invasive fat reduction (lipolysis) in the abdomen and flanks for certain body types and relief of minor muscle aches and pains, as well as other indications, that are cleared for marketing in overseas markets but not in the United States, including treatment of certain soft tissue injuries, temporary increase of skin tightening, temporary body contouring, and vaginal treatments in the Israeli market only. We believe our ARTAS® and NeoGraft® systems are complementary and give us a hair restoration product offering that can serve a broad segment of the market.</w:t>
      </w:r>
    </w:p>
    <w:p>
      <w:pPr>
        <w:spacing w:after="0" w:line="111" w:lineRule="exact"/>
        <w:rPr>
          <w:sz w:val="20"/>
          <w:szCs w:val="20"/>
          <w:color w:val="auto"/>
        </w:rPr>
      </w:pPr>
    </w:p>
    <w:p>
      <w:pPr>
        <w:ind w:right="180"/>
        <w:spacing w:after="0" w:line="298" w:lineRule="auto"/>
        <w:rPr>
          <w:sz w:val="20"/>
          <w:szCs w:val="20"/>
          <w:color w:val="auto"/>
        </w:rPr>
      </w:pPr>
      <w:r>
        <w:rPr>
          <w:rFonts w:ascii="Arial" w:cs="Arial" w:eastAsia="Arial" w:hAnsi="Arial"/>
          <w:sz w:val="11"/>
          <w:szCs w:val="11"/>
          <w:color w:val="auto"/>
        </w:rPr>
        <w:t>In the United States, we have obtained 510(k) clearance from FDA for our Venus Freeze and Freeze Plus systems, Venus Viva, Venus Legacy, Venus Versa, Venus Velocity, Venus Heal, Venus Bliss and ARTAS® systems. The Venus Glow and NeoGraft® systems are listed as class I devices under FDA classification system. Outside the United States, we market our technologies in over 60 countries across Europe, Asia-Pacific and Latin America. Because each country has its own regulatory scheme and clearance process, not every device is cleared or authorized for the same indications in each market in which a particular system is marketed.</w:t>
      </w:r>
    </w:p>
    <w:p>
      <w:pPr>
        <w:spacing w:after="0" w:line="105" w:lineRule="exact"/>
        <w:rPr>
          <w:sz w:val="20"/>
          <w:szCs w:val="20"/>
          <w:color w:val="auto"/>
        </w:rPr>
      </w:pPr>
    </w:p>
    <w:p>
      <w:pPr>
        <w:ind w:right="500"/>
        <w:spacing w:after="0" w:line="276" w:lineRule="auto"/>
        <w:rPr>
          <w:sz w:val="20"/>
          <w:szCs w:val="20"/>
          <w:color w:val="auto"/>
        </w:rPr>
      </w:pPr>
      <w:r>
        <w:rPr>
          <w:rFonts w:ascii="Arial" w:cs="Arial" w:eastAsia="Arial" w:hAnsi="Arial"/>
          <w:sz w:val="12"/>
          <w:szCs w:val="12"/>
          <w:color w:val="auto"/>
        </w:rPr>
        <w:t>As of March 31, 2020, we operated directly in 29 international markets through our 24 direct offices in the United States, Canada, United Kingdom, Japan, South Korea, Mexico, Argentina, Colombia, Spain, France, Germany, Australia, China, Hong Kong, Singapore, Indonesia, Vietnam, India, Israel, Italy, Bulgaria, Russia, Kazakhstan and South Africa.</w:t>
      </w:r>
    </w:p>
    <w:p>
      <w:pPr>
        <w:spacing w:after="0" w:line="115" w:lineRule="exact"/>
        <w:rPr>
          <w:sz w:val="20"/>
          <w:szCs w:val="20"/>
          <w:color w:val="auto"/>
        </w:rPr>
      </w:pPr>
    </w:p>
    <w:p>
      <w:pPr>
        <w:ind w:right="180"/>
        <w:spacing w:after="0" w:line="323" w:lineRule="auto"/>
        <w:rPr>
          <w:sz w:val="20"/>
          <w:szCs w:val="20"/>
          <w:color w:val="auto"/>
        </w:rPr>
      </w:pPr>
      <w:r>
        <w:rPr>
          <w:rFonts w:ascii="Arial" w:cs="Arial" w:eastAsia="Arial" w:hAnsi="Arial"/>
          <w:sz w:val="11"/>
          <w:szCs w:val="11"/>
          <w:color w:val="auto"/>
        </w:rPr>
        <w:t>Our revenues for the three months ended March 31, 2020 and March 31, 2019 were $14.5 million and $24.6 million, respectively. We had a net loss attributable to Venus Concept of $50.2 million and $5.3 million in the three months ended March 31, 2020 and March 31, 2019, respectively. We had Adjusted EBITDA loss of $13.7 million and $1.2 million for the three months ended March 31, 2020 and March 31, 2019, respectively.</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29" w:name="page30"/>
    <w:bookmarkEnd w:id="29"/>
    <w:p>
      <w:pPr>
        <w:ind w:left="8"/>
        <w:spacing w:after="0"/>
        <w:rPr>
          <w:sz w:val="20"/>
          <w:szCs w:val="20"/>
          <w:color w:val="auto"/>
        </w:rPr>
      </w:pPr>
      <w:r>
        <w:rPr>
          <w:rFonts w:ascii="Arial" w:cs="Arial" w:eastAsia="Arial" w:hAnsi="Arial"/>
          <w:sz w:val="12"/>
          <w:szCs w:val="12"/>
          <w:b w:val="1"/>
          <w:bCs w:val="1"/>
          <w:i w:val="1"/>
          <w:iCs w:val="1"/>
          <w:color w:val="auto"/>
        </w:rPr>
        <w:t>Use of Non-GAAP Financial Measures</w:t>
      </w:r>
    </w:p>
    <w:p>
      <w:pPr>
        <w:spacing w:after="0" w:line="150" w:lineRule="exact"/>
        <w:rPr>
          <w:sz w:val="20"/>
          <w:szCs w:val="20"/>
          <w:color w:val="auto"/>
        </w:rPr>
      </w:pPr>
    </w:p>
    <w:p>
      <w:pPr>
        <w:ind w:left="8" w:right="20"/>
        <w:spacing w:after="0" w:line="313" w:lineRule="auto"/>
        <w:rPr>
          <w:sz w:val="20"/>
          <w:szCs w:val="20"/>
          <w:color w:val="auto"/>
        </w:rPr>
      </w:pPr>
      <w:r>
        <w:rPr>
          <w:rFonts w:ascii="Arial" w:cs="Arial" w:eastAsia="Arial" w:hAnsi="Arial"/>
          <w:sz w:val="10"/>
          <w:szCs w:val="10"/>
          <w:color w:val="auto"/>
        </w:rPr>
        <w:t>Adjusted EBITDA is a non-GAAP measure defined as net loss income before foreign exchange loss, financial expenses, income tax expense, depreciation and amortization, stock-based compensation and non-recurring items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 Adjusted EBITDA does not reflect our cash expenditures or future requirements for capital expenditures or contractual commitments; Adjusted EBITDA does not reflect changes in, or cash requirements for, our working capital needs; and although depreciation and amortization are a non-cash charges, the assets being depreciated will often have to be replaced in the future, and Adjusted EBITDA does not reflect any cash requirements for such replacements.</w:t>
      </w:r>
    </w:p>
    <w:p>
      <w:pPr>
        <w:spacing w:after="0" w:line="102" w:lineRule="exact"/>
        <w:rPr>
          <w:sz w:val="20"/>
          <w:szCs w:val="20"/>
          <w:color w:val="auto"/>
        </w:rPr>
      </w:pPr>
    </w:p>
    <w:p>
      <w:pPr>
        <w:ind w:left="8" w:right="140"/>
        <w:spacing w:after="0" w:line="259" w:lineRule="auto"/>
        <w:rPr>
          <w:sz w:val="20"/>
          <w:szCs w:val="20"/>
          <w:color w:val="auto"/>
        </w:rPr>
      </w:pPr>
      <w:r>
        <w:rPr>
          <w:rFonts w:ascii="Arial" w:cs="Arial" w:eastAsia="Arial" w:hAnsi="Arial"/>
          <w:sz w:val="12"/>
          <w:szCs w:val="12"/>
          <w:color w:val="auto"/>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U.S. dollar, tax positions (such as the impact on periods or companies of changes in effective tax rates), the age and book depreciation of fixed assets (affecting relative depreciation expense), amortization of intangible assets, stock-based compensation expense (because it is a non-cash expense) and non-recurring items as explained below.</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reconciliation of net loss to Adjusted EBITDA for the periods presented:</w:t>
      </w:r>
    </w:p>
    <w:p>
      <w:pPr>
        <w:spacing w:after="0" w:line="165" w:lineRule="exact"/>
        <w:rPr>
          <w:sz w:val="20"/>
          <w:szCs w:val="20"/>
          <w:color w:val="auto"/>
        </w:rPr>
      </w:pPr>
    </w:p>
    <w:p>
      <w:pPr>
        <w:jc w:val="center"/>
        <w:ind w:left="5360"/>
        <w:spacing w:after="0"/>
        <w:rPr>
          <w:sz w:val="20"/>
          <w:szCs w:val="20"/>
          <w:color w:val="auto"/>
        </w:rPr>
      </w:pPr>
      <w:r>
        <w:rPr>
          <w:rFonts w:ascii="Arial" w:cs="Arial" w:eastAsia="Arial" w:hAnsi="Arial"/>
          <w:sz w:val="10"/>
          <w:szCs w:val="10"/>
          <w:b w:val="1"/>
          <w:bCs w:val="1"/>
          <w:color w:val="auto"/>
        </w:rPr>
        <w:t>Three Months</w:t>
      </w:r>
    </w:p>
    <w:p>
      <w:pPr>
        <w:jc w:val="center"/>
        <w:ind w:left="5360"/>
        <w:spacing w:after="0" w:line="215" w:lineRule="auto"/>
        <w:rPr>
          <w:sz w:val="20"/>
          <w:szCs w:val="20"/>
          <w:color w:val="auto"/>
        </w:rPr>
      </w:pPr>
      <w:r>
        <w:rPr>
          <w:rFonts w:ascii="Arial" w:cs="Arial" w:eastAsia="Arial" w:hAnsi="Arial"/>
          <w:sz w:val="10"/>
          <w:szCs w:val="10"/>
          <w:b w:val="1"/>
          <w:bCs w:val="1"/>
          <w:color w:val="auto"/>
        </w:rPr>
        <w:t>Ended March 31</w:t>
      </w:r>
    </w:p>
    <w:tbl>
      <w:tblPr>
        <w:tblLayout w:type="fixed"/>
        <w:tblInd w:w="1688" w:type="dxa"/>
        <w:tblCellMar>
          <w:top w:w="0" w:type="dxa"/>
          <w:left w:w="0" w:type="dxa"/>
          <w:bottom w:w="0" w:type="dxa"/>
          <w:right w:w="0" w:type="dxa"/>
        </w:tblCellMar>
      </w:tblPr>
      <w:tr>
        <w:trPr>
          <w:trHeight w:val="97"/>
        </w:trPr>
        <w:tc>
          <w:tcPr>
            <w:tcW w:w="36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Reconciliation of net loss to adjusted EBITDA</w:t>
            </w:r>
          </w:p>
        </w:tc>
        <w:tc>
          <w:tcPr>
            <w:tcW w:w="1780" w:type="dxa"/>
            <w:vAlign w:val="bottom"/>
          </w:tcPr>
          <w:p>
            <w:pPr>
              <w:spacing w:after="0"/>
              <w:rPr>
                <w:sz w:val="8"/>
                <w:szCs w:val="8"/>
                <w:color w:val="auto"/>
              </w:rPr>
            </w:pPr>
          </w:p>
        </w:tc>
        <w:tc>
          <w:tcPr>
            <w:tcW w:w="6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2020</w:t>
            </w:r>
          </w:p>
        </w:tc>
        <w:tc>
          <w:tcPr>
            <w:tcW w:w="42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spacing w:after="0"/>
              <w:rPr>
                <w:sz w:val="8"/>
                <w:szCs w:val="8"/>
                <w:color w:val="auto"/>
              </w:rPr>
            </w:pPr>
          </w:p>
        </w:tc>
        <w:tc>
          <w:tcPr>
            <w:tcW w:w="860" w:type="dxa"/>
            <w:vAlign w:val="bottom"/>
            <w:tcBorders>
              <w:top w:val="single" w:sz="8" w:color="auto"/>
              <w:bottom w:val="single" w:sz="8" w:color="auto"/>
            </w:tcBorders>
          </w:tcPr>
          <w:p>
            <w:pPr>
              <w:jc w:val="right"/>
              <w:ind w:right="461"/>
              <w:spacing w:after="0" w:line="97" w:lineRule="exact"/>
              <w:rPr>
                <w:sz w:val="20"/>
                <w:szCs w:val="20"/>
                <w:color w:val="auto"/>
              </w:rPr>
            </w:pPr>
            <w:r>
              <w:rPr>
                <w:rFonts w:ascii="Arial" w:cs="Arial" w:eastAsia="Arial" w:hAnsi="Arial"/>
                <w:sz w:val="10"/>
                <w:szCs w:val="10"/>
                <w:b w:val="1"/>
                <w:bCs w:val="1"/>
                <w:color w:val="auto"/>
              </w:rPr>
              <w:t>2019</w:t>
            </w:r>
          </w:p>
        </w:tc>
        <w:tc>
          <w:tcPr>
            <w:tcW w:w="0" w:type="dxa"/>
            <w:vAlign w:val="bottom"/>
          </w:tcPr>
          <w:p>
            <w:pPr>
              <w:spacing w:after="0"/>
              <w:rPr>
                <w:sz w:val="1"/>
                <w:szCs w:val="1"/>
                <w:color w:val="auto"/>
              </w:rPr>
            </w:pPr>
          </w:p>
        </w:tc>
      </w:tr>
      <w:tr>
        <w:trPr>
          <w:trHeight w:val="97"/>
        </w:trPr>
        <w:tc>
          <w:tcPr>
            <w:tcW w:w="3680" w:type="dxa"/>
            <w:vAlign w:val="bottom"/>
            <w:gridSpan w:val="2"/>
            <w:vMerge w:val="continue"/>
          </w:tcPr>
          <w:p>
            <w:pPr>
              <w:spacing w:after="0"/>
              <w:rPr>
                <w:sz w:val="8"/>
                <w:szCs w:val="8"/>
                <w:color w:val="auto"/>
              </w:rPr>
            </w:pPr>
          </w:p>
        </w:tc>
        <w:tc>
          <w:tcPr>
            <w:tcW w:w="1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gridSpan w:val="4"/>
          </w:tcPr>
          <w:p>
            <w:pPr>
              <w:jc w:val="right"/>
              <w:ind w:right="120"/>
              <w:spacing w:after="0" w:line="97" w:lineRule="exact"/>
              <w:rPr>
                <w:sz w:val="20"/>
                <w:szCs w:val="20"/>
                <w:color w:val="auto"/>
              </w:rPr>
            </w:pPr>
            <w:r>
              <w:rPr>
                <w:rFonts w:ascii="Arial" w:cs="Arial" w:eastAsia="Arial" w:hAnsi="Arial"/>
                <w:sz w:val="10"/>
                <w:szCs w:val="10"/>
                <w:b w:val="1"/>
                <w:bCs w:val="1"/>
                <w:color w:val="auto"/>
              </w:rPr>
              <w:t>(in thousands)</w:t>
            </w: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2"/>
                <w:szCs w:val="12"/>
                <w:color w:val="auto"/>
              </w:rPr>
              <w:t>Net loss</w:t>
            </w:r>
          </w:p>
        </w:tc>
        <w:tc>
          <w:tcPr>
            <w:tcW w:w="2440" w:type="dxa"/>
            <w:vAlign w:val="bottom"/>
            <w:gridSpan w:val="2"/>
            <w:shd w:val="clear" w:color="auto" w:fill="CFF0FC"/>
          </w:tcPr>
          <w:p>
            <w:pPr>
              <w:jc w:val="right"/>
              <w:ind w:right="552"/>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w w:val="98"/>
              </w:rPr>
              <w:t>(50,703)</w:t>
            </w:r>
          </w:p>
        </w:tc>
        <w:tc>
          <w:tcPr>
            <w:tcW w:w="4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(5,105)</w:t>
            </w:r>
          </w:p>
        </w:tc>
        <w:tc>
          <w:tcPr>
            <w:tcW w:w="0" w:type="dxa"/>
            <w:vAlign w:val="bottom"/>
          </w:tcPr>
          <w:p>
            <w:pPr>
              <w:spacing w:after="0"/>
              <w:rPr>
                <w:sz w:val="1"/>
                <w:szCs w:val="1"/>
                <w:color w:val="auto"/>
              </w:rPr>
            </w:pPr>
          </w:p>
        </w:tc>
      </w:tr>
      <w:tr>
        <w:trPr>
          <w:trHeight w:val="153"/>
        </w:trPr>
        <w:tc>
          <w:tcPr>
            <w:tcW w:w="3680" w:type="dxa"/>
            <w:vAlign w:val="bottom"/>
            <w:gridSpan w:val="2"/>
          </w:tcPr>
          <w:p>
            <w:pPr>
              <w:spacing w:after="0"/>
              <w:rPr>
                <w:sz w:val="20"/>
                <w:szCs w:val="20"/>
                <w:color w:val="auto"/>
              </w:rPr>
            </w:pPr>
            <w:r>
              <w:rPr>
                <w:rFonts w:ascii="Arial" w:cs="Arial" w:eastAsia="Arial" w:hAnsi="Arial"/>
                <w:sz w:val="12"/>
                <w:szCs w:val="12"/>
                <w:color w:val="auto"/>
              </w:rPr>
              <w:t>Foreign exchange loss</w:t>
            </w:r>
          </w:p>
        </w:tc>
        <w:tc>
          <w:tcPr>
            <w:tcW w:w="1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4,279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ind w:right="21"/>
              <w:spacing w:after="0"/>
              <w:rPr>
                <w:sz w:val="20"/>
                <w:szCs w:val="20"/>
                <w:color w:val="auto"/>
              </w:rPr>
            </w:pPr>
            <w:r>
              <w:rPr>
                <w:rFonts w:ascii="Arial" w:cs="Arial" w:eastAsia="Arial" w:hAnsi="Arial"/>
                <w:sz w:val="12"/>
                <w:szCs w:val="12"/>
                <w:color w:val="auto"/>
              </w:rPr>
              <w:t>697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2"/>
                <w:szCs w:val="12"/>
                <w:color w:val="auto"/>
              </w:rPr>
              <w:t>Finance expenses</w:t>
            </w:r>
          </w:p>
        </w:tc>
        <w:tc>
          <w:tcPr>
            <w:tcW w:w="17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2,254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60" w:type="dxa"/>
            <w:vAlign w:val="bottom"/>
            <w:tcBorders>
              <w:right w:val="single" w:sz="8" w:color="CFF0FC"/>
            </w:tcBorders>
            <w:shd w:val="clear" w:color="auto" w:fill="CFF0FC"/>
          </w:tcPr>
          <w:p>
            <w:pPr>
              <w:jc w:val="right"/>
              <w:ind w:right="21"/>
              <w:spacing w:after="0"/>
              <w:rPr>
                <w:sz w:val="20"/>
                <w:szCs w:val="20"/>
                <w:color w:val="auto"/>
              </w:rPr>
            </w:pPr>
            <w:r>
              <w:rPr>
                <w:rFonts w:ascii="Arial" w:cs="Arial" w:eastAsia="Arial" w:hAnsi="Arial"/>
                <w:sz w:val="12"/>
                <w:szCs w:val="12"/>
                <w:color w:val="auto"/>
              </w:rPr>
              <w:t>1,654</w:t>
            </w:r>
          </w:p>
        </w:tc>
        <w:tc>
          <w:tcPr>
            <w:tcW w:w="0" w:type="dxa"/>
            <w:vAlign w:val="bottom"/>
          </w:tcPr>
          <w:p>
            <w:pPr>
              <w:spacing w:after="0"/>
              <w:rPr>
                <w:sz w:val="1"/>
                <w:szCs w:val="1"/>
                <w:color w:val="auto"/>
              </w:rPr>
            </w:pPr>
          </w:p>
        </w:tc>
      </w:tr>
      <w:tr>
        <w:trPr>
          <w:trHeight w:val="153"/>
        </w:trPr>
        <w:tc>
          <w:tcPr>
            <w:tcW w:w="3680" w:type="dxa"/>
            <w:vAlign w:val="bottom"/>
            <w:gridSpan w:val="2"/>
          </w:tcPr>
          <w:p>
            <w:pPr>
              <w:spacing w:after="0"/>
              <w:rPr>
                <w:sz w:val="20"/>
                <w:szCs w:val="20"/>
                <w:color w:val="auto"/>
              </w:rPr>
            </w:pPr>
            <w:r>
              <w:rPr>
                <w:rFonts w:ascii="Arial" w:cs="Arial" w:eastAsia="Arial" w:hAnsi="Arial"/>
                <w:sz w:val="12"/>
                <w:szCs w:val="12"/>
                <w:color w:val="auto"/>
              </w:rPr>
              <w:t>Income tax expense</w:t>
            </w:r>
          </w:p>
        </w:tc>
        <w:tc>
          <w:tcPr>
            <w:tcW w:w="1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589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ind w:right="21"/>
              <w:spacing w:after="0"/>
              <w:rPr>
                <w:sz w:val="20"/>
                <w:szCs w:val="20"/>
                <w:color w:val="auto"/>
              </w:rPr>
            </w:pPr>
            <w:r>
              <w:rPr>
                <w:rFonts w:ascii="Arial" w:cs="Arial" w:eastAsia="Arial" w:hAnsi="Arial"/>
                <w:sz w:val="12"/>
                <w:szCs w:val="12"/>
                <w:color w:val="auto"/>
              </w:rPr>
              <w:t>886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2"/>
                <w:szCs w:val="12"/>
                <w:color w:val="auto"/>
              </w:rPr>
              <w:t>Depreciation and amortization</w:t>
            </w:r>
          </w:p>
        </w:tc>
        <w:tc>
          <w:tcPr>
            <w:tcW w:w="17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1,245</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60" w:type="dxa"/>
            <w:vAlign w:val="bottom"/>
            <w:tcBorders>
              <w:right w:val="single" w:sz="8" w:color="CFF0FC"/>
            </w:tcBorders>
            <w:shd w:val="clear" w:color="auto" w:fill="CFF0FC"/>
          </w:tcPr>
          <w:p>
            <w:pPr>
              <w:jc w:val="right"/>
              <w:ind w:right="21"/>
              <w:spacing w:after="0"/>
              <w:rPr>
                <w:sz w:val="20"/>
                <w:szCs w:val="20"/>
                <w:color w:val="auto"/>
              </w:rPr>
            </w:pPr>
            <w:r>
              <w:rPr>
                <w:rFonts w:ascii="Arial" w:cs="Arial" w:eastAsia="Arial" w:hAnsi="Arial"/>
                <w:sz w:val="12"/>
                <w:szCs w:val="12"/>
                <w:color w:val="auto"/>
              </w:rPr>
              <w:t>325</w:t>
            </w:r>
          </w:p>
        </w:tc>
        <w:tc>
          <w:tcPr>
            <w:tcW w:w="0" w:type="dxa"/>
            <w:vAlign w:val="bottom"/>
          </w:tcPr>
          <w:p>
            <w:pPr>
              <w:spacing w:after="0"/>
              <w:rPr>
                <w:sz w:val="1"/>
                <w:szCs w:val="1"/>
                <w:color w:val="auto"/>
              </w:rPr>
            </w:pPr>
          </w:p>
        </w:tc>
      </w:tr>
      <w:tr>
        <w:trPr>
          <w:trHeight w:val="153"/>
        </w:trPr>
        <w:tc>
          <w:tcPr>
            <w:tcW w:w="3680" w:type="dxa"/>
            <w:vAlign w:val="bottom"/>
            <w:gridSpan w:val="2"/>
          </w:tcPr>
          <w:p>
            <w:pPr>
              <w:spacing w:after="0"/>
              <w:rPr>
                <w:sz w:val="20"/>
                <w:szCs w:val="20"/>
                <w:color w:val="auto"/>
              </w:rPr>
            </w:pPr>
            <w:r>
              <w:rPr>
                <w:rFonts w:ascii="Arial" w:cs="Arial" w:eastAsia="Arial" w:hAnsi="Arial"/>
                <w:sz w:val="12"/>
                <w:szCs w:val="12"/>
                <w:color w:val="auto"/>
              </w:rPr>
              <w:t>Stock-based compensation expense</w:t>
            </w:r>
          </w:p>
        </w:tc>
        <w:tc>
          <w:tcPr>
            <w:tcW w:w="1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517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ind w:right="21"/>
              <w:spacing w:after="0"/>
              <w:rPr>
                <w:sz w:val="20"/>
                <w:szCs w:val="20"/>
                <w:color w:val="auto"/>
              </w:rPr>
            </w:pPr>
            <w:r>
              <w:rPr>
                <w:rFonts w:ascii="Arial" w:cs="Arial" w:eastAsia="Arial" w:hAnsi="Arial"/>
                <w:sz w:val="12"/>
                <w:szCs w:val="12"/>
                <w:color w:val="auto"/>
              </w:rPr>
              <w:t>375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2"/>
                <w:szCs w:val="12"/>
                <w:color w:val="auto"/>
              </w:rPr>
              <w:t>Goodwill impairment charge</w:t>
            </w:r>
          </w:p>
        </w:tc>
        <w:tc>
          <w:tcPr>
            <w:tcW w:w="17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27,450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60" w:type="dxa"/>
            <w:vAlign w:val="bottom"/>
            <w:tcBorders>
              <w:right w:val="single" w:sz="8" w:color="CFF0FC"/>
            </w:tcBorders>
            <w:shd w:val="clear" w:color="auto" w:fill="CFF0FC"/>
          </w:tcPr>
          <w:p>
            <w:pPr>
              <w:jc w:val="right"/>
              <w:ind w:right="2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680" w:type="dxa"/>
            <w:vAlign w:val="bottom"/>
            <w:gridSpan w:val="2"/>
          </w:tcPr>
          <w:p>
            <w:pPr>
              <w:spacing w:after="0"/>
              <w:rPr>
                <w:sz w:val="20"/>
                <w:szCs w:val="20"/>
                <w:color w:val="auto"/>
              </w:rPr>
            </w:pPr>
            <w:r>
              <w:rPr>
                <w:rFonts w:ascii="Arial" w:cs="Arial" w:eastAsia="Arial" w:hAnsi="Arial"/>
                <w:sz w:val="12"/>
                <w:szCs w:val="12"/>
                <w:color w:val="auto"/>
              </w:rPr>
              <w:t xml:space="preserve">Other adjustments </w:t>
            </w:r>
            <w:r>
              <w:rPr>
                <w:rFonts w:ascii="Arial" w:cs="Arial" w:eastAsia="Arial" w:hAnsi="Arial"/>
                <w:sz w:val="8"/>
                <w:szCs w:val="8"/>
                <w:color w:val="auto"/>
              </w:rPr>
              <w:t>(1)</w:t>
            </w:r>
          </w:p>
        </w:tc>
        <w:tc>
          <w:tcPr>
            <w:tcW w:w="1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638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Adjusted EBITDA</w:t>
            </w:r>
          </w:p>
        </w:tc>
        <w:tc>
          <w:tcPr>
            <w:tcW w:w="17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vMerge w:val="continue"/>
            <w:shd w:val="clear" w:color="auto" w:fill="CFF0FC"/>
          </w:tcPr>
          <w:p>
            <w:pPr>
              <w:spacing w:after="0"/>
              <w:rPr>
                <w:sz w:val="12"/>
                <w:szCs w:val="12"/>
                <w:color w:val="auto"/>
              </w:rPr>
            </w:pPr>
          </w:p>
        </w:tc>
        <w:tc>
          <w:tcPr>
            <w:tcW w:w="2440" w:type="dxa"/>
            <w:vAlign w:val="bottom"/>
            <w:gridSpan w:val="2"/>
            <w:shd w:val="clear" w:color="auto" w:fill="CFF0FC"/>
          </w:tcPr>
          <w:p>
            <w:pPr>
              <w:jc w:val="right"/>
              <w:ind w:right="552"/>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w w:val="98"/>
              </w:rPr>
              <w:t>(13,731)</w:t>
            </w:r>
          </w:p>
        </w:tc>
        <w:tc>
          <w:tcPr>
            <w:tcW w:w="4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(1,168)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60" w:type="dxa"/>
            <w:vAlign w:val="bottom"/>
            <w:shd w:val="clear" w:color="auto" w:fill="CFF0FC"/>
          </w:tcPr>
          <w:p>
            <w:pPr>
              <w:spacing w:after="0"/>
              <w:rPr>
                <w:sz w:val="2"/>
                <w:szCs w:val="2"/>
                <w:color w:val="auto"/>
              </w:rPr>
            </w:pPr>
          </w:p>
        </w:tc>
        <w:tc>
          <w:tcPr>
            <w:tcW w:w="1780" w:type="dxa"/>
            <w:vAlign w:val="bottom"/>
            <w:shd w:val="clear" w:color="auto" w:fill="CFF0F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tcBorders>
              <w:right w:val="single" w:sz="8" w:color="CFF0FC"/>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148" w:hanging="148"/>
        <w:spacing w:after="0"/>
        <w:tabs>
          <w:tab w:leader="none" w:pos="148" w:val="left"/>
        </w:tabs>
        <w:numPr>
          <w:ilvl w:val="0"/>
          <w:numId w:val="9"/>
        </w:numPr>
        <w:rPr>
          <w:rFonts w:ascii="Arial" w:cs="Arial" w:eastAsia="Arial" w:hAnsi="Arial"/>
          <w:sz w:val="10"/>
          <w:szCs w:val="10"/>
          <w:color w:val="auto"/>
        </w:rPr>
      </w:pPr>
      <w:r>
        <w:rPr>
          <w:rFonts w:ascii="Arial" w:cs="Arial" w:eastAsia="Arial" w:hAnsi="Arial"/>
          <w:sz w:val="12"/>
          <w:szCs w:val="12"/>
          <w:color w:val="auto"/>
        </w:rPr>
        <w:t>For the three months ended March 31, 2020, the other adjustments are mainly severance and retention payments.</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Key Factors Impacting Our Results of Operations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Our results of operations are impacted by several factors, but we consider the following to be particularly significant to our business:</w:t>
      </w:r>
    </w:p>
    <w:p>
      <w:pPr>
        <w:spacing w:after="0" w:line="146" w:lineRule="exact"/>
        <w:rPr>
          <w:sz w:val="20"/>
          <w:szCs w:val="20"/>
          <w:color w:val="auto"/>
        </w:rPr>
      </w:pPr>
    </w:p>
    <w:p>
      <w:pPr>
        <w:ind w:left="8" w:right="240"/>
        <w:spacing w:after="0" w:line="283" w:lineRule="auto"/>
        <w:rPr>
          <w:sz w:val="20"/>
          <w:szCs w:val="20"/>
          <w:color w:val="auto"/>
        </w:rPr>
      </w:pPr>
      <w:r>
        <w:rPr>
          <w:rFonts w:ascii="Arial" w:cs="Arial" w:eastAsia="Arial" w:hAnsi="Arial"/>
          <w:sz w:val="12"/>
          <w:szCs w:val="12"/>
          <w:b w:val="1"/>
          <w:bCs w:val="1"/>
          <w:color w:val="auto"/>
        </w:rPr>
        <w:t xml:space="preserve">Number of systems delivered. </w:t>
      </w:r>
      <w:r>
        <w:rPr>
          <w:rFonts w:ascii="Arial" w:cs="Arial" w:eastAsia="Arial" w:hAnsi="Arial"/>
          <w:sz w:val="12"/>
          <w:szCs w:val="12"/>
          <w:color w:val="auto"/>
        </w:rPr>
        <w:t>The majority of our revenue is generated from the delivery of systems, both under traditional sale contracts and under subscription agreements. The following table set forth the number of systems we</w:t>
      </w:r>
      <w:r>
        <w:rPr>
          <w:rFonts w:ascii="Arial" w:cs="Arial" w:eastAsia="Arial" w:hAnsi="Arial"/>
          <w:sz w:val="12"/>
          <w:szCs w:val="12"/>
          <w:b w:val="1"/>
          <w:bCs w:val="1"/>
          <w:color w:val="auto"/>
        </w:rPr>
        <w:t xml:space="preserve"> </w:t>
      </w:r>
      <w:r>
        <w:rPr>
          <w:rFonts w:ascii="Arial" w:cs="Arial" w:eastAsia="Arial" w:hAnsi="Arial"/>
          <w:sz w:val="12"/>
          <w:szCs w:val="12"/>
          <w:color w:val="auto"/>
        </w:rPr>
        <w:t>have delivered in the geographic regions indicated:</w:t>
      </w:r>
    </w:p>
    <w:p>
      <w:pPr>
        <w:spacing w:after="0" w:line="108" w:lineRule="exact"/>
        <w:rPr>
          <w:sz w:val="20"/>
          <w:szCs w:val="20"/>
          <w:color w:val="auto"/>
        </w:rPr>
      </w:pPr>
    </w:p>
    <w:p>
      <w:pPr>
        <w:jc w:val="center"/>
        <w:ind w:left="5360"/>
        <w:spacing w:after="0"/>
        <w:rPr>
          <w:sz w:val="20"/>
          <w:szCs w:val="20"/>
          <w:color w:val="auto"/>
        </w:rPr>
      </w:pPr>
      <w:r>
        <w:rPr>
          <w:rFonts w:ascii="Arial" w:cs="Arial" w:eastAsia="Arial" w:hAnsi="Arial"/>
          <w:sz w:val="10"/>
          <w:szCs w:val="10"/>
          <w:b w:val="1"/>
          <w:bCs w:val="1"/>
          <w:color w:val="auto"/>
        </w:rPr>
        <w:t>Three Months</w:t>
      </w:r>
    </w:p>
    <w:p>
      <w:pPr>
        <w:jc w:val="center"/>
        <w:ind w:left="5360"/>
        <w:spacing w:after="0" w:line="215" w:lineRule="auto"/>
        <w:rPr>
          <w:sz w:val="20"/>
          <w:szCs w:val="20"/>
          <w:color w:val="auto"/>
        </w:rPr>
      </w:pPr>
      <w:r>
        <w:rPr>
          <w:rFonts w:ascii="Arial" w:cs="Arial" w:eastAsia="Arial" w:hAnsi="Arial"/>
          <w:sz w:val="10"/>
          <w:szCs w:val="10"/>
          <w:b w:val="1"/>
          <w:bCs w:val="1"/>
          <w:color w:val="auto"/>
        </w:rPr>
        <w:t>Ended March 31</w:t>
      </w:r>
    </w:p>
    <w:tbl>
      <w:tblPr>
        <w:tblLayout w:type="fixed"/>
        <w:tblInd w:w="8" w:type="dxa"/>
        <w:tblCellMar>
          <w:top w:w="0" w:type="dxa"/>
          <w:left w:w="0" w:type="dxa"/>
          <w:bottom w:w="0" w:type="dxa"/>
          <w:right w:w="0" w:type="dxa"/>
        </w:tblCellMar>
      </w:tblPr>
      <w:tr>
        <w:trPr>
          <w:trHeight w:val="97"/>
        </w:trPr>
        <w:tc>
          <w:tcPr>
            <w:tcW w:w="1700" w:type="dxa"/>
            <w:vAlign w:val="bottom"/>
          </w:tcPr>
          <w:p>
            <w:pPr>
              <w:spacing w:after="0"/>
              <w:rPr>
                <w:sz w:val="8"/>
                <w:szCs w:val="8"/>
                <w:color w:val="auto"/>
              </w:rPr>
            </w:pPr>
          </w:p>
        </w:tc>
        <w:tc>
          <w:tcPr>
            <w:tcW w:w="5440" w:type="dxa"/>
            <w:vAlign w:val="bottom"/>
            <w:tcBorders>
              <w:bottom w:val="single" w:sz="8" w:color="CFF0FC"/>
            </w:tcBorders>
          </w:tcPr>
          <w:p>
            <w:pPr>
              <w:spacing w:after="0"/>
              <w:rPr>
                <w:sz w:val="8"/>
                <w:szCs w:val="8"/>
                <w:color w:val="auto"/>
              </w:rPr>
            </w:pPr>
          </w:p>
        </w:tc>
        <w:tc>
          <w:tcPr>
            <w:tcW w:w="760" w:type="dxa"/>
            <w:vAlign w:val="bottom"/>
            <w:tcBorders>
              <w:top w:val="single" w:sz="8" w:color="auto"/>
              <w:bottom w:val="single" w:sz="8" w:color="auto"/>
            </w:tcBorders>
          </w:tcPr>
          <w:p>
            <w:pPr>
              <w:jc w:val="right"/>
              <w:ind w:right="92"/>
              <w:spacing w:after="0" w:line="97" w:lineRule="exact"/>
              <w:rPr>
                <w:sz w:val="20"/>
                <w:szCs w:val="20"/>
                <w:color w:val="auto"/>
              </w:rPr>
            </w:pPr>
            <w:r>
              <w:rPr>
                <w:rFonts w:ascii="Arial" w:cs="Arial" w:eastAsia="Arial" w:hAnsi="Arial"/>
                <w:sz w:val="10"/>
                <w:szCs w:val="10"/>
                <w:b w:val="1"/>
                <w:bCs w:val="1"/>
                <w:color w:val="auto"/>
              </w:rPr>
              <w:t>2020</w:t>
            </w:r>
          </w:p>
        </w:tc>
        <w:tc>
          <w:tcPr>
            <w:tcW w:w="320" w:type="dxa"/>
            <w:vAlign w:val="bottom"/>
            <w:tcBorders>
              <w:top w:val="single" w:sz="8" w:color="auto"/>
              <w:bottom w:val="single" w:sz="8" w:color="auto"/>
            </w:tcBorders>
          </w:tcPr>
          <w:p>
            <w:pPr>
              <w:spacing w:after="0"/>
              <w:rPr>
                <w:sz w:val="8"/>
                <w:szCs w:val="8"/>
                <w:color w:val="auto"/>
              </w:rPr>
            </w:pPr>
          </w:p>
        </w:tc>
        <w:tc>
          <w:tcPr>
            <w:tcW w:w="220" w:type="dxa"/>
            <w:vAlign w:val="bottom"/>
            <w:tcBorders>
              <w:top w:val="single" w:sz="8" w:color="auto"/>
              <w:bottom w:val="single" w:sz="8" w:color="CFF0FC"/>
            </w:tcBorders>
          </w:tcPr>
          <w:p>
            <w:pPr>
              <w:spacing w:after="0"/>
              <w:rPr>
                <w:sz w:val="8"/>
                <w:szCs w:val="8"/>
                <w:color w:val="auto"/>
              </w:rPr>
            </w:pPr>
          </w:p>
        </w:tc>
        <w:tc>
          <w:tcPr>
            <w:tcW w:w="1160" w:type="dxa"/>
            <w:vAlign w:val="bottom"/>
            <w:tcBorders>
              <w:top w:val="single" w:sz="8" w:color="auto"/>
              <w:bottom w:val="single" w:sz="8" w:color="auto"/>
            </w:tcBorders>
          </w:tcPr>
          <w:p>
            <w:pPr>
              <w:jc w:val="right"/>
              <w:ind w:right="463"/>
              <w:spacing w:after="0" w:line="97" w:lineRule="exact"/>
              <w:rPr>
                <w:sz w:val="20"/>
                <w:szCs w:val="20"/>
                <w:color w:val="auto"/>
              </w:rPr>
            </w:pPr>
            <w:r>
              <w:rPr>
                <w:rFonts w:ascii="Arial" w:cs="Arial" w:eastAsia="Arial" w:hAnsi="Arial"/>
                <w:sz w:val="10"/>
                <w:szCs w:val="10"/>
                <w:b w:val="1"/>
                <w:bCs w:val="1"/>
                <w:color w:val="auto"/>
              </w:rPr>
              <w:t>2019</w:t>
            </w:r>
          </w:p>
        </w:tc>
        <w:tc>
          <w:tcPr>
            <w:tcW w:w="1720" w:type="dxa"/>
            <w:vAlign w:val="bottom"/>
          </w:tcPr>
          <w:p>
            <w:pPr>
              <w:spacing w:after="0"/>
              <w:rPr>
                <w:sz w:val="8"/>
                <w:szCs w:val="8"/>
                <w:color w:val="auto"/>
              </w:rPr>
            </w:pPr>
          </w:p>
        </w:tc>
      </w:tr>
      <w:tr>
        <w:trPr>
          <w:trHeight w:val="142"/>
        </w:trPr>
        <w:tc>
          <w:tcPr>
            <w:tcW w:w="1700" w:type="dxa"/>
            <w:vAlign w:val="bottom"/>
          </w:tcPr>
          <w:p>
            <w:pPr>
              <w:spacing w:after="0"/>
              <w:rPr>
                <w:sz w:val="12"/>
                <w:szCs w:val="12"/>
                <w:color w:val="auto"/>
              </w:rPr>
            </w:pPr>
          </w:p>
        </w:tc>
        <w:tc>
          <w:tcPr>
            <w:tcW w:w="62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United States</w:t>
            </w: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w:t>
            </w:r>
          </w:p>
        </w:tc>
        <w:tc>
          <w:tcPr>
            <w:tcW w:w="220" w:type="dxa"/>
            <w:vAlign w:val="bottom"/>
            <w:shd w:val="clear" w:color="auto" w:fill="CFF0FC"/>
          </w:tcPr>
          <w:p>
            <w:pPr>
              <w:spacing w:after="0"/>
              <w:rPr>
                <w:sz w:val="12"/>
                <w:szCs w:val="12"/>
                <w:color w:val="auto"/>
              </w:rPr>
            </w:pPr>
          </w:p>
        </w:tc>
        <w:tc>
          <w:tcPr>
            <w:tcW w:w="1160" w:type="dxa"/>
            <w:vAlign w:val="bottom"/>
            <w:tcBorders>
              <w:right w:val="single" w:sz="8" w:color="CFF0FC"/>
            </w:tcBorders>
            <w:shd w:val="clear" w:color="auto" w:fill="CFF0FC"/>
          </w:tcPr>
          <w:p>
            <w:pPr>
              <w:jc w:val="right"/>
              <w:ind w:right="23"/>
              <w:spacing w:after="0"/>
              <w:rPr>
                <w:sz w:val="20"/>
                <w:szCs w:val="20"/>
                <w:color w:val="auto"/>
              </w:rPr>
            </w:pPr>
            <w:r>
              <w:rPr>
                <w:rFonts w:ascii="Arial" w:cs="Arial" w:eastAsia="Arial" w:hAnsi="Arial"/>
                <w:sz w:val="12"/>
                <w:szCs w:val="12"/>
                <w:color w:val="auto"/>
              </w:rPr>
              <w:t>144</w:t>
            </w:r>
          </w:p>
        </w:tc>
        <w:tc>
          <w:tcPr>
            <w:tcW w:w="1720" w:type="dxa"/>
            <w:vAlign w:val="bottom"/>
          </w:tcPr>
          <w:p>
            <w:pPr>
              <w:spacing w:after="0"/>
              <w:rPr>
                <w:sz w:val="12"/>
                <w:szCs w:val="12"/>
                <w:color w:val="auto"/>
              </w:rPr>
            </w:pPr>
          </w:p>
        </w:tc>
      </w:tr>
      <w:tr>
        <w:trPr>
          <w:trHeight w:val="153"/>
        </w:trPr>
        <w:tc>
          <w:tcPr>
            <w:tcW w:w="7900" w:type="dxa"/>
            <w:vAlign w:val="bottom"/>
            <w:gridSpan w:val="3"/>
          </w:tcPr>
          <w:p>
            <w:pPr>
              <w:ind w:left="1680"/>
              <w:spacing w:after="0"/>
              <w:rPr>
                <w:sz w:val="20"/>
                <w:szCs w:val="20"/>
                <w:color w:val="auto"/>
              </w:rPr>
            </w:pPr>
            <w:r>
              <w:rPr>
                <w:rFonts w:ascii="Arial" w:cs="Arial" w:eastAsia="Arial" w:hAnsi="Arial"/>
                <w:sz w:val="12"/>
                <w:szCs w:val="12"/>
                <w:color w:val="auto"/>
              </w:rPr>
              <w:t>International</w:t>
            </w:r>
          </w:p>
        </w:tc>
        <w:tc>
          <w:tcPr>
            <w:tcW w:w="320" w:type="dxa"/>
            <w:vAlign w:val="bottom"/>
          </w:tcPr>
          <w:p>
            <w:pPr>
              <w:jc w:val="right"/>
              <w:spacing w:after="0"/>
              <w:rPr>
                <w:sz w:val="20"/>
                <w:szCs w:val="20"/>
                <w:color w:val="auto"/>
              </w:rPr>
            </w:pPr>
            <w:r>
              <w:rPr>
                <w:rFonts w:ascii="Arial" w:cs="Arial" w:eastAsia="Arial" w:hAnsi="Arial"/>
                <w:sz w:val="12"/>
                <w:szCs w:val="12"/>
                <w:color w:val="auto"/>
              </w:rPr>
              <w:t>203</w:t>
            </w:r>
          </w:p>
        </w:tc>
        <w:tc>
          <w:tcPr>
            <w:tcW w:w="220" w:type="dxa"/>
            <w:vAlign w:val="bottom"/>
          </w:tcPr>
          <w:p>
            <w:pPr>
              <w:spacing w:after="0"/>
              <w:rPr>
                <w:sz w:val="13"/>
                <w:szCs w:val="13"/>
                <w:color w:val="auto"/>
              </w:rPr>
            </w:pPr>
          </w:p>
        </w:tc>
        <w:tc>
          <w:tcPr>
            <w:tcW w:w="1160" w:type="dxa"/>
            <w:vAlign w:val="bottom"/>
          </w:tcPr>
          <w:p>
            <w:pPr>
              <w:jc w:val="right"/>
              <w:ind w:right="23"/>
              <w:spacing w:after="0"/>
              <w:rPr>
                <w:sz w:val="20"/>
                <w:szCs w:val="20"/>
                <w:color w:val="auto"/>
              </w:rPr>
            </w:pPr>
            <w:r>
              <w:rPr>
                <w:rFonts w:ascii="Arial" w:cs="Arial" w:eastAsia="Arial" w:hAnsi="Arial"/>
                <w:sz w:val="12"/>
                <w:szCs w:val="12"/>
                <w:color w:val="auto"/>
              </w:rPr>
              <w:t>398</w:t>
            </w:r>
          </w:p>
        </w:tc>
        <w:tc>
          <w:tcPr>
            <w:tcW w:w="1720" w:type="dxa"/>
            <w:vAlign w:val="bottom"/>
          </w:tcPr>
          <w:p>
            <w:pPr>
              <w:spacing w:after="0"/>
              <w:rPr>
                <w:sz w:val="13"/>
                <w:szCs w:val="13"/>
                <w:color w:val="auto"/>
              </w:rPr>
            </w:pPr>
          </w:p>
        </w:tc>
      </w:tr>
      <w:tr>
        <w:trPr>
          <w:trHeight w:val="162"/>
        </w:trPr>
        <w:tc>
          <w:tcPr>
            <w:tcW w:w="1700" w:type="dxa"/>
            <w:vAlign w:val="bottom"/>
          </w:tcPr>
          <w:p>
            <w:pPr>
              <w:spacing w:after="0"/>
              <w:rPr>
                <w:sz w:val="14"/>
                <w:szCs w:val="14"/>
                <w:color w:val="auto"/>
              </w:rPr>
            </w:pPr>
          </w:p>
        </w:tc>
        <w:tc>
          <w:tcPr>
            <w:tcW w:w="5440" w:type="dxa"/>
            <w:vAlign w:val="bottom"/>
            <w:tcBorders>
              <w:top w:val="single" w:sz="8" w:color="CFF0FC"/>
              <w:bottom w:val="single" w:sz="8" w:color="CFF0FC"/>
            </w:tcBorders>
            <w:shd w:val="clear" w:color="auto" w:fill="CFF0FC"/>
          </w:tcPr>
          <w:p>
            <w:pPr>
              <w:ind w:left="80"/>
              <w:spacing w:after="0"/>
              <w:rPr>
                <w:sz w:val="20"/>
                <w:szCs w:val="20"/>
                <w:color w:val="auto"/>
              </w:rPr>
            </w:pPr>
            <w:r>
              <w:rPr>
                <w:rFonts w:ascii="Arial" w:cs="Arial" w:eastAsia="Arial" w:hAnsi="Arial"/>
                <w:sz w:val="12"/>
                <w:szCs w:val="12"/>
                <w:color w:val="auto"/>
              </w:rPr>
              <w:t>Total systems delivered</w:t>
            </w:r>
          </w:p>
        </w:tc>
        <w:tc>
          <w:tcPr>
            <w:tcW w:w="760" w:type="dxa"/>
            <w:vAlign w:val="bottom"/>
            <w:tcBorders>
              <w:top w:val="single" w:sz="8" w:color="auto"/>
              <w:bottom w:val="single" w:sz="8" w:color="auto"/>
            </w:tcBorders>
            <w:shd w:val="clear" w:color="auto" w:fill="CFF0FC"/>
          </w:tcPr>
          <w:p>
            <w:pPr>
              <w:spacing w:after="0"/>
              <w:rPr>
                <w:sz w:val="14"/>
                <w:szCs w:val="14"/>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237</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1160" w:type="dxa"/>
            <w:vAlign w:val="bottom"/>
            <w:tcBorders>
              <w:top w:val="single" w:sz="8" w:color="auto"/>
              <w:bottom w:val="single" w:sz="8" w:color="auto"/>
              <w:right w:val="single" w:sz="8" w:color="CFF0FC"/>
            </w:tcBorders>
            <w:shd w:val="clear" w:color="auto" w:fill="CFF0FC"/>
          </w:tcPr>
          <w:p>
            <w:pPr>
              <w:jc w:val="right"/>
              <w:ind w:right="23"/>
              <w:spacing w:after="0"/>
              <w:rPr>
                <w:sz w:val="20"/>
                <w:szCs w:val="20"/>
                <w:color w:val="auto"/>
              </w:rPr>
            </w:pPr>
            <w:r>
              <w:rPr>
                <w:rFonts w:ascii="Arial" w:cs="Arial" w:eastAsia="Arial" w:hAnsi="Arial"/>
                <w:sz w:val="12"/>
                <w:szCs w:val="12"/>
                <w:color w:val="auto"/>
              </w:rPr>
              <w:t>542</w:t>
            </w:r>
          </w:p>
        </w:tc>
        <w:tc>
          <w:tcPr>
            <w:tcW w:w="1720" w:type="dxa"/>
            <w:vAlign w:val="bottom"/>
          </w:tcPr>
          <w:p>
            <w:pPr>
              <w:spacing w:after="0"/>
              <w:rPr>
                <w:sz w:val="14"/>
                <w:szCs w:val="14"/>
                <w:color w:val="auto"/>
              </w:rPr>
            </w:pPr>
          </w:p>
        </w:tc>
      </w:tr>
      <w:tr>
        <w:trPr>
          <w:trHeight w:val="275"/>
        </w:trPr>
        <w:tc>
          <w:tcPr>
            <w:tcW w:w="7140" w:type="dxa"/>
            <w:vAlign w:val="bottom"/>
            <w:gridSpan w:val="2"/>
          </w:tcPr>
          <w:p>
            <w:pPr>
              <w:jc w:val="right"/>
              <w:ind w:right="1380"/>
              <w:spacing w:after="0"/>
              <w:rPr>
                <w:sz w:val="20"/>
                <w:szCs w:val="20"/>
                <w:color w:val="auto"/>
              </w:rPr>
            </w:pPr>
            <w:r>
              <w:rPr>
                <w:rFonts w:ascii="Arial" w:cs="Arial" w:eastAsia="Arial" w:hAnsi="Arial"/>
                <w:sz w:val="12"/>
                <w:szCs w:val="12"/>
                <w:color w:val="auto"/>
              </w:rPr>
              <w:t>29</w:t>
            </w: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72"/>
        </w:trPr>
        <w:tc>
          <w:tcPr>
            <w:tcW w:w="1700" w:type="dxa"/>
            <w:vAlign w:val="bottom"/>
            <w:tcBorders>
              <w:bottom w:val="single" w:sz="8" w:color="9A9A9A"/>
            </w:tcBorders>
          </w:tcPr>
          <w:p>
            <w:pPr>
              <w:spacing w:after="0"/>
              <w:rPr>
                <w:sz w:val="6"/>
                <w:szCs w:val="6"/>
                <w:color w:val="auto"/>
              </w:rPr>
            </w:pPr>
          </w:p>
        </w:tc>
        <w:tc>
          <w:tcPr>
            <w:tcW w:w="54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7183755</wp:posOffset>
            </wp:positionH>
            <wp:positionV relativeFrom="paragraph">
              <wp:posOffset>-5080</wp:posOffset>
            </wp:positionV>
            <wp:extent cx="571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8"/>
          </w:cols>
          <w:pgMar w:left="292" w:top="275" w:right="279" w:bottom="1440" w:gutter="0" w:footer="0" w:header="0"/>
        </w:sectPr>
      </w:pPr>
    </w:p>
    <w:bookmarkStart w:id="30" w:name="page31"/>
    <w:bookmarkEnd w:id="30"/>
    <w:p>
      <w:pPr>
        <w:ind w:right="140"/>
        <w:spacing w:after="0" w:line="258" w:lineRule="auto"/>
        <w:rPr>
          <w:sz w:val="20"/>
          <w:szCs w:val="20"/>
          <w:color w:val="auto"/>
        </w:rPr>
      </w:pPr>
      <w:r>
        <w:rPr>
          <w:rFonts w:ascii="Arial" w:cs="Arial" w:eastAsia="Arial" w:hAnsi="Arial"/>
          <w:sz w:val="12"/>
          <w:szCs w:val="12"/>
          <w:b w:val="1"/>
          <w:bCs w:val="1"/>
          <w:color w:val="auto"/>
        </w:rPr>
        <w:t xml:space="preserve">Mix between traditional sales, subscription model sales and distributor sales. </w:t>
      </w:r>
      <w:r>
        <w:rPr>
          <w:rFonts w:ascii="Arial" w:cs="Arial" w:eastAsia="Arial" w:hAnsi="Arial"/>
          <w:sz w:val="12"/>
          <w:szCs w:val="12"/>
          <w:color w:val="auto"/>
        </w:rPr>
        <w:t>We deliver systems through (1) traditional direct system sales contracts to customers, (2) our subscription model, and (3) system sales through</w:t>
      </w:r>
      <w:r>
        <w:rPr>
          <w:rFonts w:ascii="Arial" w:cs="Arial" w:eastAsia="Arial" w:hAnsi="Arial"/>
          <w:sz w:val="12"/>
          <w:szCs w:val="12"/>
          <w:b w:val="1"/>
          <w:bCs w:val="1"/>
          <w:color w:val="auto"/>
        </w:rPr>
        <w:t xml:space="preserve"> </w:t>
      </w:r>
      <w:r>
        <w:rPr>
          <w:rFonts w:ascii="Arial" w:cs="Arial" w:eastAsia="Arial" w:hAnsi="Arial"/>
          <w:sz w:val="12"/>
          <w:szCs w:val="12"/>
          <w:color w:val="auto"/>
        </w:rPr>
        <w:t>distributor agreements. Unit deliveries under direct system sales contracts and subscription agreements have the higher per unit revenues and gross margins, while revenues and gross margins on systems sold through distributors are lower. However, distributor sales do not require significant sales and marketing support as these expenses are borne by the distributors. In addition, while traditional system sales contracts and subscription contracts have similar gross margins, cash collections on subscription contracts generally occur over a three-year period, with approximately 40% collected in the first year and the balance collected evenly over the remaining two years of the subscription agreement.</w:t>
      </w:r>
    </w:p>
    <w:p>
      <w:pPr>
        <w:spacing w:after="0" w:line="122" w:lineRule="exact"/>
        <w:rPr>
          <w:sz w:val="20"/>
          <w:szCs w:val="20"/>
          <w:color w:val="auto"/>
        </w:rPr>
      </w:pPr>
    </w:p>
    <w:p>
      <w:pPr>
        <w:ind w:right="180"/>
        <w:spacing w:after="0" w:line="261" w:lineRule="auto"/>
        <w:rPr>
          <w:sz w:val="20"/>
          <w:szCs w:val="20"/>
          <w:color w:val="auto"/>
        </w:rPr>
      </w:pPr>
      <w:r>
        <w:rPr>
          <w:rFonts w:ascii="Arial" w:cs="Arial" w:eastAsia="Arial" w:hAnsi="Arial"/>
          <w:sz w:val="12"/>
          <w:szCs w:val="12"/>
          <w:b w:val="1"/>
          <w:bCs w:val="1"/>
          <w:color w:val="auto"/>
        </w:rPr>
        <w:t xml:space="preserve">Investment in Sales, Marketing and Operations. </w:t>
      </w:r>
      <w:r>
        <w:rPr>
          <w:rFonts w:ascii="Arial" w:cs="Arial" w:eastAsia="Arial" w:hAnsi="Arial"/>
          <w:sz w:val="12"/>
          <w:szCs w:val="12"/>
          <w:color w:val="auto"/>
        </w:rPr>
        <w:t>In recent years we made a strategic decision to penetrate the global market by investing in sales and marketing expenses across all geographic segments. This includes reducing our</w:t>
      </w:r>
      <w:r>
        <w:rPr>
          <w:rFonts w:ascii="Arial" w:cs="Arial" w:eastAsia="Arial" w:hAnsi="Arial"/>
          <w:sz w:val="12"/>
          <w:szCs w:val="12"/>
          <w:b w:val="1"/>
          <w:bCs w:val="1"/>
          <w:color w:val="auto"/>
        </w:rPr>
        <w:t xml:space="preserve"> </w:t>
      </w:r>
      <w:r>
        <w:rPr>
          <w:rFonts w:ascii="Arial" w:cs="Arial" w:eastAsia="Arial" w:hAnsi="Arial"/>
          <w:sz w:val="12"/>
          <w:szCs w:val="12"/>
          <w:color w:val="auto"/>
        </w:rPr>
        <w:t>reliance on distributor arrangements, opening more direct offices and hiring experienced sales, marketing and operational staff. While we will generate incremental product sales in these new markets, these revenues and the related margins may not fully offset the startup investments in the initial years. In the three months ended March 31, 2020 and 2019, respectively, we did not open any direct sales offices, and are currently reevaluating our profitability and overall business model in select countries.</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2"/>
          <w:szCs w:val="12"/>
          <w:b w:val="1"/>
          <w:bCs w:val="1"/>
          <w:color w:val="auto"/>
        </w:rPr>
        <w:t xml:space="preserve">Bad Debt Expense. </w:t>
      </w:r>
      <w:r>
        <w:rPr>
          <w:rFonts w:ascii="Arial" w:cs="Arial" w:eastAsia="Arial" w:hAnsi="Arial"/>
          <w:sz w:val="12"/>
          <w:szCs w:val="12"/>
          <w:color w:val="auto"/>
        </w:rPr>
        <w:t>We maintain an allowance for doubtful accounts for estimated losses that may primarily arise from subscription customers that are unable to make the remaining required payments under their subscription contracts.</w:t>
      </w:r>
      <w:r>
        <w:rPr>
          <w:rFonts w:ascii="Arial" w:cs="Arial" w:eastAsia="Arial" w:hAnsi="Arial"/>
          <w:sz w:val="12"/>
          <w:szCs w:val="12"/>
          <w:b w:val="1"/>
          <w:bCs w:val="1"/>
          <w:color w:val="auto"/>
        </w:rPr>
        <w:t xml:space="preserve"> </w:t>
      </w:r>
      <w:r>
        <w:rPr>
          <w:rFonts w:ascii="Arial" w:cs="Arial" w:eastAsia="Arial" w:hAnsi="Arial"/>
          <w:sz w:val="12"/>
          <w:szCs w:val="12"/>
          <w:color w:val="auto"/>
        </w:rPr>
        <w:t>Due to COVID-19 we have experienced significant reductions in collection of the accounts receivable from our subscription customers across the markets we operate in in the first quarter of 2020. As a result, we recorded an additional provision for bad debt of $0.6 million for the three months ended March 31, 2020.</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Outlook</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COVID-19</w:t>
      </w:r>
    </w:p>
    <w:p>
      <w:pPr>
        <w:spacing w:after="0" w:line="150"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The global pandemic caused by the novel coronavirus (COVID-19) has significantly negatively impacted all aspects of our business during the first three months of 2020, including our sales, supply chain, manufacturing and accounts receivable collections.</w:t>
      </w:r>
    </w:p>
    <w:p>
      <w:pPr>
        <w:spacing w:after="0" w:line="111" w:lineRule="exact"/>
        <w:rPr>
          <w:sz w:val="20"/>
          <w:szCs w:val="20"/>
          <w:color w:val="auto"/>
        </w:rPr>
      </w:pPr>
    </w:p>
    <w:p>
      <w:pPr>
        <w:ind w:right="20"/>
        <w:spacing w:after="0" w:line="261" w:lineRule="auto"/>
        <w:rPr>
          <w:sz w:val="20"/>
          <w:szCs w:val="20"/>
          <w:color w:val="auto"/>
        </w:rPr>
      </w:pPr>
      <w:r>
        <w:rPr>
          <w:rFonts w:ascii="Arial" w:cs="Arial" w:eastAsia="Arial" w:hAnsi="Arial"/>
          <w:sz w:val="12"/>
          <w:szCs w:val="12"/>
          <w:b w:val="1"/>
          <w:bCs w:val="1"/>
          <w:color w:val="auto"/>
        </w:rPr>
        <w:t xml:space="preserve">Supply chain. </w:t>
      </w:r>
      <w:r>
        <w:rPr>
          <w:rFonts w:ascii="Arial" w:cs="Arial" w:eastAsia="Arial" w:hAnsi="Arial"/>
          <w:sz w:val="12"/>
          <w:szCs w:val="12"/>
          <w:color w:val="auto"/>
        </w:rPr>
        <w:t>A number of the components we use to manufacture our systems are sourced from China. We have experienced difficulty with sourcing certain component parts from China for some of our systems and, consequently, we</w:t>
      </w:r>
      <w:r>
        <w:rPr>
          <w:rFonts w:ascii="Arial" w:cs="Arial" w:eastAsia="Arial" w:hAnsi="Arial"/>
          <w:sz w:val="12"/>
          <w:szCs w:val="12"/>
          <w:b w:val="1"/>
          <w:bCs w:val="1"/>
          <w:color w:val="auto"/>
        </w:rPr>
        <w:t xml:space="preserve"> </w:t>
      </w:r>
      <w:r>
        <w:rPr>
          <w:rFonts w:ascii="Arial" w:cs="Arial" w:eastAsia="Arial" w:hAnsi="Arial"/>
          <w:sz w:val="12"/>
          <w:szCs w:val="12"/>
          <w:color w:val="auto"/>
        </w:rPr>
        <w:t>were not able to manufacture the number of systems forecasted for the first quarter of fiscal 2020. Since March 16, 2020, we are unable to access our facility in San Jose or NPI Solutions, Inc., or NPI’s facility and therefore we are currently unable to manufacture ARTAS procedure kits and ARTAS® iX Systems and have been limited to shipping procedure kits from existing inventory. We cannot predict when the Order of the Health Officer of the County of Santa Clara, directing all individuals to shelter-in-place, will be lifted, and we can resume normal operations.</w:t>
      </w:r>
    </w:p>
    <w:p>
      <w:pPr>
        <w:spacing w:after="0" w:line="120" w:lineRule="exact"/>
        <w:rPr>
          <w:sz w:val="20"/>
          <w:szCs w:val="20"/>
          <w:color w:val="auto"/>
        </w:rPr>
      </w:pPr>
    </w:p>
    <w:p>
      <w:pPr>
        <w:jc w:val="both"/>
        <w:ind w:right="120"/>
        <w:spacing w:after="0" w:line="292" w:lineRule="auto"/>
        <w:rPr>
          <w:sz w:val="20"/>
          <w:szCs w:val="20"/>
          <w:color w:val="auto"/>
        </w:rPr>
      </w:pPr>
      <w:r>
        <w:rPr>
          <w:rFonts w:ascii="Arial" w:cs="Arial" w:eastAsia="Arial" w:hAnsi="Arial"/>
          <w:sz w:val="11"/>
          <w:szCs w:val="11"/>
          <w:b w:val="1"/>
          <w:bCs w:val="1"/>
          <w:color w:val="auto"/>
        </w:rPr>
        <w:t xml:space="preserve">Sales markets. </w:t>
      </w:r>
      <w:r>
        <w:rPr>
          <w:rFonts w:ascii="Arial" w:cs="Arial" w:eastAsia="Arial" w:hAnsi="Arial"/>
          <w:sz w:val="11"/>
          <w:szCs w:val="11"/>
          <w:color w:val="auto"/>
        </w:rPr>
        <w:t>We are a global business, having established a commercial presence in more than 60 countries over the course of our ten-year history. Approximately 30% of our 2019 sales came from the APAC and European regions</w:t>
      </w:r>
      <w:r>
        <w:rPr>
          <w:rFonts w:ascii="Arial" w:cs="Arial" w:eastAsia="Arial" w:hAnsi="Arial"/>
          <w:sz w:val="11"/>
          <w:szCs w:val="11"/>
          <w:b w:val="1"/>
          <w:bCs w:val="1"/>
          <w:color w:val="auto"/>
        </w:rPr>
        <w:t xml:space="preserve"> </w:t>
      </w:r>
      <w:r>
        <w:rPr>
          <w:rFonts w:ascii="Arial" w:cs="Arial" w:eastAsia="Arial" w:hAnsi="Arial"/>
          <w:sz w:val="11"/>
          <w:szCs w:val="11"/>
          <w:color w:val="auto"/>
        </w:rPr>
        <w:t>which were impacted by the pandemic throughout the first quarter of fiscal 2020. We also saw a pronounced decline in system sales, product sales and service revenues in North America and Latin America beginning in March 2020, primarily as a result of mandated government lockdowns or “shelter-in-place” requirements in these regions. We expect COVID-19 will continue to significantly negatively affect customer demand in the second quarter of fiscal 2020 and into the second half of the year. While we expect some recovery in some markets in the second half of the year, the impact of COVID-19 on our sales could nonetheless be significant.</w:t>
      </w:r>
    </w:p>
    <w:p>
      <w:pPr>
        <w:spacing w:after="0" w:line="104"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b w:val="1"/>
          <w:bCs w:val="1"/>
          <w:color w:val="auto"/>
        </w:rPr>
        <w:t xml:space="preserve">Accounts receivable collections. </w:t>
      </w:r>
      <w:r>
        <w:rPr>
          <w:rFonts w:ascii="Arial" w:cs="Arial" w:eastAsia="Arial" w:hAnsi="Arial"/>
          <w:sz w:val="12"/>
          <w:szCs w:val="12"/>
          <w:color w:val="auto"/>
        </w:rPr>
        <w:t>As a result of the global economic turmoil that has resulted from COVID-19, many of our customers are experiencing difficulty in making timely payments or payments at all during this pandemic</w:t>
      </w:r>
      <w:r>
        <w:rPr>
          <w:rFonts w:ascii="Arial" w:cs="Arial" w:eastAsia="Arial" w:hAnsi="Arial"/>
          <w:sz w:val="12"/>
          <w:szCs w:val="12"/>
          <w:b w:val="1"/>
          <w:bCs w:val="1"/>
          <w:color w:val="auto"/>
        </w:rPr>
        <w:t xml:space="preserve"> </w:t>
      </w:r>
      <w:r>
        <w:rPr>
          <w:rFonts w:ascii="Arial" w:cs="Arial" w:eastAsia="Arial" w:hAnsi="Arial"/>
          <w:sz w:val="12"/>
          <w:szCs w:val="12"/>
          <w:color w:val="auto"/>
        </w:rPr>
        <w:t>under their subscription agreements which could result in higher than anticipated bad debt expense over the course of the 2020 fiscal year. In our largest subscription markets we collected approximately 60% of our billings in March 2020 and 30% of our billings in April 2020. We proactively manage collection of outstanding amounts and have made arrangements with many of our subscription customers to either defer collection or to collect a reduced amount, with the expectation of full collection as business activities resume. Based on our interactions and arrangements secured thus far with our subscription customers, we expect the majority to recommence payments once lockdown or shelter-in-place orders are lifted and their businesses can reopen. Our systems are equipped with monthly activation codes, and non-paying customers will not be provided with codes unless overdue balances are cleared, or a repayment arrangement is made with our finance department. However, at this point we are not able to estimate with a high degree of certainty the ultimate negative collection experience tracing to COVID-19, but as a preliminary assessment we have increased our regular allowance for doubtful accounts by $0.6 million specifically to cover such potential write-offs. We will continue our pro-active management of collections and will revisit our estimates during the second quarter of fiscal 2020.</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71" w:right="319" w:bottom="1440" w:gutter="0" w:footer="0" w:header="0"/>
        </w:sectPr>
      </w:pPr>
    </w:p>
    <w:bookmarkStart w:id="31" w:name="page32"/>
    <w:bookmarkEnd w:id="31"/>
    <w:p>
      <w:pPr>
        <w:spacing w:after="0"/>
        <w:rPr>
          <w:sz w:val="20"/>
          <w:szCs w:val="20"/>
          <w:color w:val="auto"/>
        </w:rPr>
      </w:pPr>
      <w:r>
        <w:rPr>
          <w:rFonts w:ascii="Arial" w:cs="Arial" w:eastAsia="Arial" w:hAnsi="Arial"/>
          <w:sz w:val="12"/>
          <w:szCs w:val="12"/>
          <w:b w:val="1"/>
          <w:bCs w:val="1"/>
          <w:color w:val="auto"/>
        </w:rPr>
        <w:t xml:space="preserve">Mitigation efforts. </w:t>
      </w:r>
      <w:r>
        <w:rPr>
          <w:rFonts w:ascii="Arial" w:cs="Arial" w:eastAsia="Arial" w:hAnsi="Arial"/>
          <w:sz w:val="12"/>
          <w:szCs w:val="12"/>
          <w:color w:val="auto"/>
        </w:rPr>
        <w:t>We are focused on mitigating the impacts of the COVID-19 pandemic on our business to the extent possible. Our mitigation efforts include the following:</w:t>
      </w:r>
    </w:p>
    <w:p>
      <w:pPr>
        <w:spacing w:after="0" w:line="154" w:lineRule="exact"/>
        <w:rPr>
          <w:sz w:val="20"/>
          <w:szCs w:val="20"/>
          <w:color w:val="auto"/>
        </w:rPr>
      </w:pPr>
    </w:p>
    <w:p>
      <w:pPr>
        <w:ind w:left="740" w:right="60" w:hanging="379"/>
        <w:spacing w:after="0" w:line="298" w:lineRule="auto"/>
        <w:tabs>
          <w:tab w:leader="none" w:pos="740" w:val="left"/>
        </w:tabs>
        <w:numPr>
          <w:ilvl w:val="0"/>
          <w:numId w:val="10"/>
        </w:numPr>
        <w:rPr>
          <w:rFonts w:ascii="Arial" w:cs="Arial" w:eastAsia="Arial" w:hAnsi="Arial"/>
          <w:sz w:val="11"/>
          <w:szCs w:val="11"/>
          <w:color w:val="auto"/>
        </w:rPr>
      </w:pPr>
      <w:r>
        <w:rPr>
          <w:rFonts w:ascii="Arial" w:cs="Arial" w:eastAsia="Arial" w:hAnsi="Arial"/>
          <w:sz w:val="11"/>
          <w:szCs w:val="11"/>
          <w:i w:val="1"/>
          <w:iCs w:val="1"/>
          <w:color w:val="auto"/>
        </w:rPr>
        <w:t xml:space="preserve">Accounts Receivables Collections Initiatives. </w:t>
      </w:r>
      <w:r>
        <w:rPr>
          <w:rFonts w:ascii="Arial" w:cs="Arial" w:eastAsia="Arial" w:hAnsi="Arial"/>
          <w:sz w:val="11"/>
          <w:szCs w:val="11"/>
          <w:color w:val="auto"/>
        </w:rPr>
        <w:t>We have made arrangements with most of our non-paying subscription customers to collect temporarily reduced monthly payments where possible and/or deferred amounts</w:t>
      </w:r>
      <w:r>
        <w:rPr>
          <w:rFonts w:ascii="Arial" w:cs="Arial" w:eastAsia="Arial" w:hAnsi="Arial"/>
          <w:sz w:val="11"/>
          <w:szCs w:val="11"/>
          <w:i w:val="1"/>
          <w:iCs w:val="1"/>
          <w:color w:val="auto"/>
        </w:rPr>
        <w:t xml:space="preserve"> </w:t>
      </w:r>
      <w:r>
        <w:rPr>
          <w:rFonts w:ascii="Arial" w:cs="Arial" w:eastAsia="Arial" w:hAnsi="Arial"/>
          <w:sz w:val="11"/>
          <w:szCs w:val="11"/>
          <w:color w:val="auto"/>
        </w:rPr>
        <w:t>in expectation of full collection as business activities resume. Based on these arrangements, we expect the majority of our subscription clients to recommence payments once lockdown or shelter in place orders are lifted and their businesses reopen, the timing of which will vary by geography. We cannot assure you that these customers will resume payments under their contracts.</w:t>
      </w:r>
    </w:p>
    <w:p>
      <w:pPr>
        <w:spacing w:after="0" w:line="104" w:lineRule="exact"/>
        <w:rPr>
          <w:rFonts w:ascii="Arial" w:cs="Arial" w:eastAsia="Arial" w:hAnsi="Arial"/>
          <w:sz w:val="11"/>
          <w:szCs w:val="11"/>
          <w:color w:val="auto"/>
        </w:rPr>
      </w:pPr>
    </w:p>
    <w:p>
      <w:pPr>
        <w:ind w:left="740" w:hanging="379"/>
        <w:spacing w:after="0" w:line="280" w:lineRule="auto"/>
        <w:tabs>
          <w:tab w:leader="none" w:pos="740" w:val="left"/>
        </w:tabs>
        <w:numPr>
          <w:ilvl w:val="0"/>
          <w:numId w:val="10"/>
        </w:numPr>
        <w:rPr>
          <w:rFonts w:ascii="Arial" w:cs="Arial" w:eastAsia="Arial" w:hAnsi="Arial"/>
          <w:sz w:val="11"/>
          <w:szCs w:val="11"/>
          <w:color w:val="auto"/>
        </w:rPr>
      </w:pPr>
      <w:r>
        <w:rPr>
          <w:rFonts w:ascii="Arial" w:cs="Arial" w:eastAsia="Arial" w:hAnsi="Arial"/>
          <w:sz w:val="11"/>
          <w:szCs w:val="11"/>
          <w:i w:val="1"/>
          <w:iCs w:val="1"/>
          <w:color w:val="auto"/>
        </w:rPr>
        <w:t xml:space="preserve">Cost reduction initiatives. </w:t>
      </w:r>
      <w:r>
        <w:rPr>
          <w:rFonts w:ascii="Arial" w:cs="Arial" w:eastAsia="Arial" w:hAnsi="Arial"/>
          <w:sz w:val="11"/>
          <w:szCs w:val="11"/>
          <w:color w:val="auto"/>
        </w:rPr>
        <w:t>After the Merger, we focused on improving the profitability of the combined businesses and identified approximately $18.0 million of synergies and cost reductions related to the Merger that we</w:t>
      </w:r>
      <w:r>
        <w:rPr>
          <w:rFonts w:ascii="Arial" w:cs="Arial" w:eastAsia="Arial" w:hAnsi="Arial"/>
          <w:sz w:val="11"/>
          <w:szCs w:val="11"/>
          <w:i w:val="1"/>
          <w:iCs w:val="1"/>
          <w:color w:val="auto"/>
        </w:rPr>
        <w:t xml:space="preserve"> </w:t>
      </w:r>
      <w:r>
        <w:rPr>
          <w:rFonts w:ascii="Arial" w:cs="Arial" w:eastAsia="Arial" w:hAnsi="Arial"/>
          <w:sz w:val="11"/>
          <w:szCs w:val="11"/>
          <w:color w:val="auto"/>
        </w:rPr>
        <w:t>expect to realize over the course of fiscal 2020. In addition, and in response to the challenging business environment in recent months related to COVID-19, we also conducted a full review of our 2020 operating budget. In the first quarter of fiscal 2020, we began implementing a new restructuring program which is expected to contribute to our overall strategy of financial improvement through the elimination of overhead and streamlining of certain enterprise functions. The restructuring program is mainly focused on reduction of payroll costs through a combination of permanent headcount reductions, a hiring freeze, temporary unpaid leave and a reduced work week for certain employees and reduction of discretionary spending across all departments. We expect to realize costs savings of approximately $20.0 million in 2020 and continuing into 2021. Our first quarter results reflect a severance provision of approximately $0.4 million related to approximately 67 employees who were terminated on or about March 31, 2020. We also continue to identify additional cost reduction measures that will be implemented if we experience a prolonged recovery from this pandemic. We cannot assure you that we will be successful in fully realizing synergies and cost reductions related to the Merger or that we will realize additional operating expense reductions in the range of our estimates.</w:t>
      </w:r>
    </w:p>
    <w:p>
      <w:pPr>
        <w:spacing w:after="0" w:line="115" w:lineRule="exact"/>
        <w:rPr>
          <w:rFonts w:ascii="Arial" w:cs="Arial" w:eastAsia="Arial" w:hAnsi="Arial"/>
          <w:sz w:val="11"/>
          <w:szCs w:val="11"/>
          <w:color w:val="auto"/>
        </w:rPr>
      </w:pPr>
    </w:p>
    <w:p>
      <w:pPr>
        <w:ind w:left="740" w:right="160" w:hanging="379"/>
        <w:spacing w:after="0" w:line="263" w:lineRule="auto"/>
        <w:tabs>
          <w:tab w:leader="none" w:pos="740" w:val="left"/>
        </w:tabs>
        <w:numPr>
          <w:ilvl w:val="0"/>
          <w:numId w:val="10"/>
        </w:numPr>
        <w:rPr>
          <w:rFonts w:ascii="Arial" w:cs="Arial" w:eastAsia="Arial" w:hAnsi="Arial"/>
          <w:sz w:val="12"/>
          <w:szCs w:val="12"/>
          <w:color w:val="auto"/>
        </w:rPr>
      </w:pPr>
      <w:r>
        <w:rPr>
          <w:rFonts w:ascii="Arial" w:cs="Arial" w:eastAsia="Arial" w:hAnsi="Arial"/>
          <w:sz w:val="12"/>
          <w:szCs w:val="12"/>
          <w:i w:val="1"/>
          <w:iCs w:val="1"/>
          <w:color w:val="auto"/>
        </w:rPr>
        <w:t xml:space="preserve">Cash Interest Payment Deferral. </w:t>
      </w:r>
      <w:r>
        <w:rPr>
          <w:rFonts w:ascii="Arial" w:cs="Arial" w:eastAsia="Arial" w:hAnsi="Arial"/>
          <w:sz w:val="12"/>
          <w:szCs w:val="12"/>
          <w:color w:val="auto"/>
        </w:rPr>
        <w:t>On April 29, 2020, we entered into an amendment to the Madryn Credit Agreement to (i) require that interest payments for the period beginning January 1, 2020 and ending on, and</w:t>
      </w:r>
      <w:r>
        <w:rPr>
          <w:rFonts w:ascii="Arial" w:cs="Arial" w:eastAsia="Arial" w:hAnsi="Arial"/>
          <w:sz w:val="12"/>
          <w:szCs w:val="12"/>
          <w:i w:val="1"/>
          <w:iCs w:val="1"/>
          <w:color w:val="auto"/>
        </w:rPr>
        <w:t xml:space="preserve"> </w:t>
      </w:r>
      <w:r>
        <w:rPr>
          <w:rFonts w:ascii="Arial" w:cs="Arial" w:eastAsia="Arial" w:hAnsi="Arial"/>
          <w:sz w:val="12"/>
          <w:szCs w:val="12"/>
          <w:color w:val="auto"/>
        </w:rPr>
        <w:t>including, April 29, 2020 (the “PIK Period”), be paid-in-kind, (ii) increase the interest rate from 9.00% per annum to 12.00% per annum during the PIK Period and (iii) require us to provide certain additional financial and other reporting information to the lenders.</w:t>
      </w:r>
    </w:p>
    <w:p>
      <w:pPr>
        <w:spacing w:after="0" w:line="122" w:lineRule="exact"/>
        <w:rPr>
          <w:rFonts w:ascii="Arial" w:cs="Arial" w:eastAsia="Arial" w:hAnsi="Arial"/>
          <w:sz w:val="12"/>
          <w:szCs w:val="12"/>
          <w:color w:val="auto"/>
        </w:rPr>
      </w:pPr>
    </w:p>
    <w:p>
      <w:pPr>
        <w:ind w:left="740" w:right="60" w:hanging="379"/>
        <w:spacing w:after="0" w:line="276" w:lineRule="auto"/>
        <w:tabs>
          <w:tab w:leader="none" w:pos="740" w:val="left"/>
        </w:tabs>
        <w:numPr>
          <w:ilvl w:val="0"/>
          <w:numId w:val="10"/>
        </w:numPr>
        <w:rPr>
          <w:rFonts w:ascii="Arial" w:cs="Arial" w:eastAsia="Arial" w:hAnsi="Arial"/>
          <w:sz w:val="12"/>
          <w:szCs w:val="12"/>
          <w:color w:val="auto"/>
        </w:rPr>
      </w:pPr>
      <w:r>
        <w:rPr>
          <w:rFonts w:ascii="Arial" w:cs="Arial" w:eastAsia="Arial" w:hAnsi="Arial"/>
          <w:sz w:val="12"/>
          <w:szCs w:val="12"/>
          <w:i w:val="1"/>
          <w:iCs w:val="1"/>
          <w:color w:val="auto"/>
        </w:rPr>
        <w:t xml:space="preserve">Paycheck Protection Program Loans. </w:t>
      </w:r>
      <w:r>
        <w:rPr>
          <w:rFonts w:ascii="Arial" w:cs="Arial" w:eastAsia="Arial" w:hAnsi="Arial"/>
          <w:sz w:val="12"/>
          <w:szCs w:val="12"/>
          <w:color w:val="auto"/>
        </w:rPr>
        <w:t>We and one of our subsidiaries received funding in the aggregate principal amount of $4.1 million in two Small Business Loans under the federal Paycheck Protection Program. See</w:t>
      </w:r>
      <w:r>
        <w:rPr>
          <w:rFonts w:ascii="Arial" w:cs="Arial" w:eastAsia="Arial" w:hAnsi="Arial"/>
          <w:sz w:val="12"/>
          <w:szCs w:val="12"/>
          <w:i w:val="1"/>
          <w:iCs w:val="1"/>
          <w:color w:val="auto"/>
        </w:rPr>
        <w:t xml:space="preserve"> </w:t>
      </w:r>
      <w:r>
        <w:rPr>
          <w:rFonts w:ascii="Arial" w:cs="Arial" w:eastAsia="Arial" w:hAnsi="Arial"/>
          <w:sz w:val="12"/>
          <w:szCs w:val="12"/>
          <w:color w:val="auto"/>
        </w:rPr>
        <w:t>‘‘—</w:t>
      </w:r>
      <w:r>
        <w:rPr>
          <w:rFonts w:ascii="Arial" w:cs="Arial" w:eastAsia="Arial" w:hAnsi="Arial"/>
          <w:sz w:val="12"/>
          <w:szCs w:val="12"/>
          <w:i w:val="1"/>
          <w:iCs w:val="1"/>
          <w:color w:val="auto"/>
        </w:rPr>
        <w:t>Liquidity and Capital Resources</w:t>
      </w:r>
      <w:r>
        <w:rPr>
          <w:rFonts w:ascii="Arial" w:cs="Arial" w:eastAsia="Arial" w:hAnsi="Arial"/>
          <w:sz w:val="12"/>
          <w:szCs w:val="12"/>
          <w:color w:val="auto"/>
        </w:rPr>
        <w:t>”.</w:t>
      </w:r>
    </w:p>
    <w:p>
      <w:pPr>
        <w:spacing w:after="0" w:line="115" w:lineRule="exact"/>
        <w:rPr>
          <w:sz w:val="20"/>
          <w:szCs w:val="20"/>
          <w:color w:val="auto"/>
        </w:rPr>
      </w:pPr>
    </w:p>
    <w:p>
      <w:pPr>
        <w:ind w:right="420"/>
        <w:spacing w:after="0" w:line="276" w:lineRule="auto"/>
        <w:rPr>
          <w:sz w:val="20"/>
          <w:szCs w:val="20"/>
          <w:color w:val="auto"/>
        </w:rPr>
      </w:pPr>
      <w:r>
        <w:rPr>
          <w:rFonts w:ascii="Arial" w:cs="Arial" w:eastAsia="Arial" w:hAnsi="Arial"/>
          <w:sz w:val="12"/>
          <w:szCs w:val="12"/>
          <w:color w:val="auto"/>
        </w:rPr>
        <w:t>The extent to which the COVID-19 pandemic may impact our business, operating results, financial condition, or liquidity in the future will depend on future developments, which we cannot predict, including the duration of the pandemic, travel restrictions, business and workforce disruptions, and the effectiveness of actions taken to contain and treat the disease in each of the markets in which we operate.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of Presentation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Revenues</w:t>
      </w:r>
    </w:p>
    <w:p>
      <w:pPr>
        <w:spacing w:after="0" w:line="150" w:lineRule="exact"/>
        <w:rPr>
          <w:sz w:val="20"/>
          <w:szCs w:val="20"/>
          <w:color w:val="auto"/>
        </w:rPr>
      </w:pPr>
    </w:p>
    <w:p>
      <w:pPr>
        <w:ind w:right="380"/>
        <w:spacing w:after="0" w:line="379" w:lineRule="auto"/>
        <w:rPr>
          <w:sz w:val="20"/>
          <w:szCs w:val="20"/>
          <w:color w:val="auto"/>
        </w:rPr>
      </w:pPr>
      <w:r>
        <w:rPr>
          <w:rFonts w:ascii="Arial" w:cs="Arial" w:eastAsia="Arial" w:hAnsi="Arial"/>
          <w:sz w:val="10"/>
          <w:szCs w:val="10"/>
          <w:color w:val="auto"/>
        </w:rPr>
        <w:t>We generate revenue from (1) sales of systems through our subscription model, traditional system sales to customers and distributors, (2) other product revenues from the sale of marketing supplies and kits, consumables and our skincare and hair products and (3) service revenue from the sale of our VeroGrafters™ technician services, our 2two5 internal advertising agency and our extended warranty service contracts provided to existing customers.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System Revenue</w:t>
      </w:r>
    </w:p>
    <w:p>
      <w:pPr>
        <w:spacing w:after="0" w:line="150"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color w:val="auto"/>
        </w:rPr>
        <w:t>For the three months ended March 31, 2020 and 2019, approximately 66% and 72%, respectively, of our system revenues were derived from subscription contracts. Our subscription model is designed to provide a low barrier to ownership of our systems and includes an up-front fee followed by monthly payments, typically over a 36-month period. The up-front fee serves as a deposit. The significantly reduced up-front financial commitment, coupled with less onerous credit and disclosure requirements, is intended to make our subscription-based sales program more appealing and affordable to physicians, including non-traditional providers of aesthetic services such as family practice, general practice, and medical spas. For accounting purposes, these arrangements are considered to be sales-type finance leases, where the present value of all cash flows to be received under the subscription agreement is recognized as revenue upon shipment to the customer and achievement of the required revenue recognition criteria.</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71" w:right="319" w:bottom="1440" w:gutter="0" w:footer="0" w:header="0"/>
        </w:sectPr>
      </w:pPr>
    </w:p>
    <w:bookmarkStart w:id="32" w:name="page33"/>
    <w:bookmarkEnd w:id="32"/>
    <w:p>
      <w:pPr>
        <w:spacing w:after="0" w:line="289" w:lineRule="auto"/>
        <w:rPr>
          <w:sz w:val="20"/>
          <w:szCs w:val="20"/>
          <w:color w:val="auto"/>
        </w:rPr>
      </w:pPr>
      <w:r>
        <w:rPr>
          <w:rFonts w:ascii="Arial" w:cs="Arial" w:eastAsia="Arial" w:hAnsi="Arial"/>
          <w:sz w:val="11"/>
          <w:szCs w:val="11"/>
          <w:color w:val="auto"/>
        </w:rPr>
        <w:t>For the three months ended March 31, 2020 and 2019, approximately 29% and 23%, respectively, of our system revenues were derived from traditional sales. Customers generally demand higher discounts in connection with these types of sales. We recognize revenues from products sold to end customers based on the following five steps: (1) identification of the contract(s) with the customer; (2) identification of the performance obligations in the contract; (3) determine the transaction price; and (4) allocate the transaction price to the separate performance obligations in the contract; and (5) recognize revenue when (or as) the entity satisfies a performance obligation. We do not generally grant rights of return or early termination rights to our end customers. These traditional sales are generally made through our sales team in the countries in which the team operates.</w:t>
      </w:r>
    </w:p>
    <w:p>
      <w:pPr>
        <w:spacing w:after="0" w:line="111" w:lineRule="exact"/>
        <w:rPr>
          <w:sz w:val="20"/>
          <w:szCs w:val="20"/>
          <w:color w:val="auto"/>
        </w:rPr>
      </w:pPr>
    </w:p>
    <w:p>
      <w:pPr>
        <w:jc w:val="both"/>
        <w:ind w:right="40"/>
        <w:spacing w:after="0" w:line="263" w:lineRule="auto"/>
        <w:rPr>
          <w:sz w:val="20"/>
          <w:szCs w:val="20"/>
          <w:color w:val="auto"/>
        </w:rPr>
      </w:pPr>
      <w:r>
        <w:rPr>
          <w:rFonts w:ascii="Arial" w:cs="Arial" w:eastAsia="Arial" w:hAnsi="Arial"/>
          <w:sz w:val="12"/>
          <w:szCs w:val="12"/>
          <w:color w:val="auto"/>
        </w:rPr>
        <w:t>For the three months ended March 31, 2020 and 2019, approximately 5% and 5%, respectively, of our system revenues were derived from distributor sales. Under the traditional distributor relationship, we do not sell directly to the end customer and, accordingly, achieve a lower overall margin on each system sold compared to our direct sales. These sales are non-refundable, non-returnable and without any rights of price protection or stock rotation. Accordingly, we consider distributors as end customers, or the sell-in method.</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Procedure Based Revenue</w:t>
      </w:r>
    </w:p>
    <w:p>
      <w:pPr>
        <w:spacing w:after="0" w:line="150" w:lineRule="exact"/>
        <w:rPr>
          <w:sz w:val="20"/>
          <w:szCs w:val="20"/>
          <w:color w:val="auto"/>
        </w:rPr>
      </w:pPr>
    </w:p>
    <w:p>
      <w:pPr>
        <w:spacing w:after="0" w:line="316" w:lineRule="auto"/>
        <w:rPr>
          <w:sz w:val="20"/>
          <w:szCs w:val="20"/>
          <w:color w:val="auto"/>
        </w:rPr>
      </w:pPr>
      <w:r>
        <w:rPr>
          <w:rFonts w:ascii="Arial" w:cs="Arial" w:eastAsia="Arial" w:hAnsi="Arial"/>
          <w:sz w:val="10"/>
          <w:szCs w:val="10"/>
          <w:color w:val="auto"/>
        </w:rPr>
        <w:t>We generate revenue from our harvesting and site making procedures in hair restoration procedures. The harvesting procedure is an act of activating the needle mechanism of the ARTAS® System and it consists of multiple harvests (each harvested hair follicle is one harvest), which direct customers can purchase at fixed price per harvest (with a minimum of 750 harvests) or a set price per procedure, as agreed upon at the time of system purchase. We also provide one sterile and one non-sterile disposable clinical kit per procedure. On average, each procedure consists of approximately 1,500 harvests. The customer must place an online order with us for the number of procedures desired and make a payment. Upon receipt of the order and the related payment, we release an electronic key that enables the ARTAS® System to perform the number of procedures purchased. Once the procedures are exhausted (or “consumed”), the customer must purchase additional procedures. Harvesting procedures can also be purchased in bulk orders. The site making procedure uses ARTAS® System to create a recipient site (i.e. site making) in the patient’s scalp affected by androgenic alopecia or AGA (or male pattern baldness). The site making procedures generally include one disposable site making kit. The site making procedures are sold to customers in the same manner as the harvesting procedures.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Other Product Revenue</w:t>
      </w:r>
    </w:p>
    <w:p>
      <w:pPr>
        <w:spacing w:after="0" w:line="150"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We also generate revenue from our customer base by selling Glide (a cooling/conductive gel which is required for use with many of our systems), marketing supplies and kits, consumables and disposables, replacement applicators and handpieces, our skincare products (Venus Skin) and hair products, and ARTAS® System training.</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Service Revenue</w:t>
      </w:r>
    </w:p>
    <w:p>
      <w:pPr>
        <w:spacing w:after="0" w:line="150"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We generate ancillary revenue from our existing customers by selling additional services including VeroGrafters™ technician services for hair restoration using our NeoGraft® system, extended warranty service contracts, and services provided by our 2two5 internal advertising agency.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Goods Sold and Gross Profit</w:t>
      </w:r>
    </w:p>
    <w:p>
      <w:pPr>
        <w:spacing w:after="0" w:line="150"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Cost of goods sold consists primarily of costs associated with manufacturing our different systems, including direct product costs from third-party manufacturers, warehousing and storage costs and fulfillment and supply chain costs inclusive of personnel-related costs (primarily salaries, benefits, incentive compensation and stock-based compensation). Cost of goods sold also includes the cost of upgrades, technology amortization, royalty fees, parts, supplies, and cost of product warranties.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Expenses</w:t>
      </w:r>
    </w:p>
    <w:p>
      <w:pPr>
        <w:spacing w:after="0" w:line="146" w:lineRule="exact"/>
        <w:rPr>
          <w:sz w:val="20"/>
          <w:szCs w:val="20"/>
          <w:color w:val="auto"/>
        </w:rPr>
      </w:pPr>
    </w:p>
    <w:p>
      <w:pPr>
        <w:ind w:right="120"/>
        <w:spacing w:after="0" w:line="330" w:lineRule="auto"/>
        <w:rPr>
          <w:sz w:val="20"/>
          <w:szCs w:val="20"/>
          <w:color w:val="auto"/>
        </w:rPr>
      </w:pPr>
      <w:r>
        <w:rPr>
          <w:rFonts w:ascii="Arial" w:cs="Arial" w:eastAsia="Arial" w:hAnsi="Arial"/>
          <w:sz w:val="11"/>
          <w:szCs w:val="11"/>
          <w:b w:val="1"/>
          <w:bCs w:val="1"/>
          <w:i w:val="1"/>
          <w:iCs w:val="1"/>
          <w:color w:val="auto"/>
        </w:rPr>
        <w:t>Selling and Marketing</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We currently sell our products and services using direct sales representatives in North America and in select international markets. Our sales costs primarily consist of salaries, commissions, benefits, incentive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compensation and stock-based compensation. Costs also include expenses for travel and other promotional and sales-related activities. We expect that selling expenses as a percentage of revenue will decline over time.</w:t>
      </w:r>
    </w:p>
    <w:p>
      <w:pPr>
        <w:spacing w:after="0" w:line="88"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Our marketing costs primarily consist of salaries, benefits, incentive compensation and stock-based compensation. They also include expenses for travel, trade shows, and other promotional and marketing activities, including direct and online marketing. Our marketing expenses have increased as we continue to scale up our direct operations across all geographic segments. However, given the fixed cost nature of many of these expenses, we expect that marketing expenses as a percentage of revenue will decline over time.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33" w:name="page34"/>
    <w:bookmarkEnd w:id="33"/>
    <w:p>
      <w:pPr>
        <w:ind w:right="120"/>
        <w:spacing w:after="0" w:line="263" w:lineRule="auto"/>
        <w:rPr>
          <w:sz w:val="20"/>
          <w:szCs w:val="20"/>
          <w:color w:val="auto"/>
        </w:rPr>
      </w:pPr>
      <w:r>
        <w:rPr>
          <w:rFonts w:ascii="Arial" w:cs="Arial" w:eastAsia="Arial" w:hAnsi="Arial"/>
          <w:sz w:val="12"/>
          <w:szCs w:val="12"/>
          <w:b w:val="1"/>
          <w:bCs w:val="1"/>
          <w:i w:val="1"/>
          <w:iCs w:val="1"/>
          <w:color w:val="auto"/>
        </w:rPr>
        <w:t xml:space="preserve">General and Administrative. </w:t>
      </w:r>
      <w:r>
        <w:rPr>
          <w:rFonts w:ascii="Arial" w:cs="Arial" w:eastAsia="Arial" w:hAnsi="Arial"/>
          <w:sz w:val="12"/>
          <w:szCs w:val="12"/>
          <w:color w:val="auto"/>
        </w:rPr>
        <w:t>Our general and administrative costs primarily consist of expenses associated with our executive, accounting and finance, legal, intellectual property and human resource departments. These expenses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consist of personnel-related expenses (primarily salaries, benefits, incentive compensation and stock-based compensation) and allocated facilities costs, audit fees, legal fees, consultants, travel, insurance and bad debt expense. During the normal course of operations, we may incur bad debt expense on accounts receivable balances that are deemed to be uncollectible.</w:t>
      </w:r>
    </w:p>
    <w:p>
      <w:pPr>
        <w:spacing w:after="0" w:line="122" w:lineRule="exact"/>
        <w:rPr>
          <w:sz w:val="20"/>
          <w:szCs w:val="20"/>
          <w:color w:val="auto"/>
        </w:rPr>
      </w:pPr>
    </w:p>
    <w:p>
      <w:pPr>
        <w:ind w:right="420"/>
        <w:spacing w:after="0" w:line="298" w:lineRule="auto"/>
        <w:rPr>
          <w:sz w:val="20"/>
          <w:szCs w:val="20"/>
          <w:color w:val="auto"/>
        </w:rPr>
      </w:pPr>
      <w:r>
        <w:rPr>
          <w:rFonts w:ascii="Arial" w:cs="Arial" w:eastAsia="Arial" w:hAnsi="Arial"/>
          <w:sz w:val="11"/>
          <w:szCs w:val="11"/>
          <w:b w:val="1"/>
          <w:bCs w:val="1"/>
          <w:i w:val="1"/>
          <w:iCs w:val="1"/>
          <w:color w:val="auto"/>
        </w:rPr>
        <w:t xml:space="preserve">Research and Development. </w:t>
      </w:r>
      <w:r>
        <w:rPr>
          <w:rFonts w:ascii="Arial" w:cs="Arial" w:eastAsia="Arial" w:hAnsi="Arial"/>
          <w:sz w:val="11"/>
          <w:szCs w:val="11"/>
          <w:color w:val="auto"/>
        </w:rPr>
        <w:t>Our research and development costs primarily consist of personnel-related costs (primarily salaries, benefits, incentive compensation, and stock-based compensation), material costs, amortization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intangible assets, regulatory affairs, and clinical costs, and facilities costs in our Yokneam, Israel research center. Our ongoing research and development activities are primarily focused on improving and enhancing our current technologies, products, and services, and on expanding our current product offering with the introduction of new products and expanded indications.</w:t>
      </w:r>
    </w:p>
    <w:p>
      <w:pPr>
        <w:spacing w:after="0" w:line="105"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We expense all research and development costs in the periods in which they are incurred. We expect our research and development expenses to increase in absolute dollars as we continue to invest in research, clinical studies, regulatory affairs, and development activities, but to decline as a percentage of revenue as our revenue increases over time.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Finance Expenses</w:t>
      </w:r>
    </w:p>
    <w:p>
      <w:pPr>
        <w:spacing w:after="0" w:line="150"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Finance expenses consists of interest income, interest expense and other banking charges. Interest income consists of interest earned on our cash, cash equivalents and short-term bank deposits. We expect interest income to vary depending on our average investment balances and market interest rates during each reporting period. Interest expense consists of interest on long-term debt and other borrowings. The interest rate on our long-term debt is fixed at 12% as of March 31, 2020 and 9% as of December 31, 2019.</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 Exchange Loss (Income)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Foreign currency exchange loss (income) changes reflect foreign exchange gains or losses related to the change in value of assets and liabilities denominated in currencies other than the U.S. dollar.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 Expense</w:t>
      </w:r>
    </w:p>
    <w:p>
      <w:pPr>
        <w:spacing w:after="0" w:line="150"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We estimate our current and deferred tax liabilities based on current tax laws in the statutory jurisdictions in which we operate. These estimates include judgments about liabilities resulting from temporary differences between assets and liabilities recognized for financial reporting purposes and such amounts recognized for tax purposes. Our most significant temporary difference results from our subscription business. In certain jurisdictions, only the payments invoiced in the current period are subject to tax, but for accounting purposes, the discounted value of the total subscription contract is reported and tax affected. This results in a deferred tax credit which is settled in the future period when the monthly installment payment is issued and settled with the customer. Since our inception, we have not recorded any tax benefits for the net operating losses we have incurred in each year or for the research and development tax credits we generated in the United States. We believe, based upon the weight of available evidence, that it is more likely than not that all of our net operating loss carryforwards and tax credits will not be realized.</w:t>
      </w:r>
    </w:p>
    <w:p>
      <w:pPr>
        <w:spacing w:after="0" w:line="113" w:lineRule="exact"/>
        <w:rPr>
          <w:sz w:val="20"/>
          <w:szCs w:val="20"/>
          <w:color w:val="auto"/>
        </w:rPr>
      </w:pPr>
    </w:p>
    <w:p>
      <w:pPr>
        <w:ind w:right="120"/>
        <w:spacing w:after="0" w:line="323" w:lineRule="auto"/>
        <w:rPr>
          <w:sz w:val="20"/>
          <w:szCs w:val="20"/>
          <w:color w:val="auto"/>
        </w:rPr>
      </w:pPr>
      <w:r>
        <w:rPr>
          <w:rFonts w:ascii="Arial" w:cs="Arial" w:eastAsia="Arial" w:hAnsi="Arial"/>
          <w:sz w:val="11"/>
          <w:szCs w:val="11"/>
          <w:color w:val="auto"/>
        </w:rPr>
        <w:t>Income tax expense is recognized based on the actual income or loss incurred during the three months ended March 31, 2020. Due to the uncertainties as a result of COVID-19, we were unable to determine an annualized effective tax rate and calculate the income tax expense in accordance with such method. The effective tax rate differs from the statutory tax rate due to the recognition of previously unrecognized carried forward tax losses.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Non-Controlling Interests</w:t>
      </w:r>
    </w:p>
    <w:p>
      <w:pPr>
        <w:spacing w:after="0" w:line="150"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In many countries where we have direct operations, we have minority shareholders. For accounting purposes, these minority partners are referred to as non-controlling interests, and we record the non-controlling interests’ share of earnings in our subsidiaries as a separate balance within stockholders’ equity in the consolidated balance sheet and consolidated statement of stockholders’ equity.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Restatement of Comparative Amounts</w:t>
      </w:r>
    </w:p>
    <w:p>
      <w:pPr>
        <w:spacing w:after="0" w:line="150"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For the three months ended March 31, 2019, we previously classified the issuance of common stock and preferred stock as a credit to common stock. In accordance with U.S. GAAP, amounts issued in excess of par value are required to be accounted for in additional paid in capital (APIC). The error is a reclassification from common stock into APIC and has an immaterial impact on the consolidated statement of stockholders’ equity and consolidated balance sheet. Items previously reported have been reclassified to conform to U.S. GAAP and the reclassification did not have any impact on the Company’s consolidated statements of operations, consolidated statements of comprehensive loss, consolidated statements of cash flows and net loss per share calculations.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34" w:name="page35"/>
    <w:bookmarkEnd w:id="34"/>
    <w:p>
      <w:pPr>
        <w:spacing w:after="0"/>
        <w:rPr>
          <w:sz w:val="20"/>
          <w:szCs w:val="20"/>
          <w:color w:val="auto"/>
        </w:rPr>
      </w:pPr>
      <w:r>
        <w:rPr>
          <w:rFonts w:ascii="Arial" w:cs="Arial" w:eastAsia="Arial" w:hAnsi="Arial"/>
          <w:sz w:val="12"/>
          <w:szCs w:val="12"/>
          <w:b w:val="1"/>
          <w:bCs w:val="1"/>
          <w:color w:val="auto"/>
        </w:rPr>
        <w:t>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tables set forth our consolidated results of operations in U.S. dollars and as a percentage of revenues for the periods indicated:</w:t>
      </w:r>
    </w:p>
    <w:p>
      <w:pPr>
        <w:spacing w:after="0" w:line="147" w:lineRule="exact"/>
        <w:rPr>
          <w:sz w:val="20"/>
          <w:szCs w:val="20"/>
          <w:color w:val="auto"/>
        </w:rPr>
      </w:pPr>
    </w:p>
    <w:p>
      <w:pPr>
        <w:jc w:val="center"/>
        <w:ind w:left="5220"/>
        <w:spacing w:after="0"/>
        <w:rPr>
          <w:sz w:val="20"/>
          <w:szCs w:val="20"/>
          <w:color w:val="auto"/>
        </w:rPr>
      </w:pPr>
      <w:r>
        <w:rPr>
          <w:rFonts w:ascii="Arial" w:cs="Arial" w:eastAsia="Arial" w:hAnsi="Arial"/>
          <w:sz w:val="10"/>
          <w:szCs w:val="10"/>
          <w:b w:val="1"/>
          <w:bCs w:val="1"/>
          <w:color w:val="auto"/>
        </w:rPr>
        <w:t>Three Months</w:t>
      </w:r>
    </w:p>
    <w:p>
      <w:pPr>
        <w:jc w:val="center"/>
        <w:ind w:left="5220"/>
        <w:spacing w:after="0" w:line="215" w:lineRule="auto"/>
        <w:rPr>
          <w:sz w:val="20"/>
          <w:szCs w:val="20"/>
          <w:color w:val="auto"/>
        </w:rPr>
      </w:pPr>
      <w:r>
        <w:rPr>
          <w:rFonts w:ascii="Arial" w:cs="Arial" w:eastAsia="Arial" w:hAnsi="Arial"/>
          <w:sz w:val="10"/>
          <w:szCs w:val="10"/>
          <w:b w:val="1"/>
          <w:bCs w:val="1"/>
          <w:color w:val="auto"/>
        </w:rPr>
        <w:t>Ended March 31</w:t>
      </w:r>
    </w:p>
    <w:tbl>
      <w:tblPr>
        <w:tblLayout w:type="fixed"/>
        <w:tblInd w:w="0" w:type="dxa"/>
        <w:tblCellMar>
          <w:top w:w="0" w:type="dxa"/>
          <w:left w:w="0" w:type="dxa"/>
          <w:bottom w:w="0" w:type="dxa"/>
          <w:right w:w="0" w:type="dxa"/>
        </w:tblCellMar>
      </w:tblPr>
      <w:tr>
        <w:trPr>
          <w:trHeight w:val="97"/>
        </w:trPr>
        <w:tc>
          <w:tcPr>
            <w:tcW w:w="5140" w:type="dxa"/>
            <w:vAlign w:val="bottom"/>
            <w:gridSpan w:val="2"/>
            <w:vMerge w:val="restart"/>
          </w:tcPr>
          <w:p>
            <w:pPr>
              <w:ind w:left="1680"/>
              <w:spacing w:after="0"/>
              <w:rPr>
                <w:sz w:val="20"/>
                <w:szCs w:val="20"/>
                <w:color w:val="auto"/>
              </w:rPr>
            </w:pPr>
            <w:r>
              <w:rPr>
                <w:rFonts w:ascii="Arial" w:cs="Arial" w:eastAsia="Arial" w:hAnsi="Arial"/>
                <w:sz w:val="10"/>
                <w:szCs w:val="10"/>
                <w:b w:val="1"/>
                <w:bCs w:val="1"/>
                <w:color w:val="auto"/>
              </w:rPr>
              <w:t>Consolidated Statements of Loss:</w:t>
            </w:r>
          </w:p>
        </w:tc>
        <w:tc>
          <w:tcPr>
            <w:tcW w:w="192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800" w:type="dxa"/>
            <w:vAlign w:val="bottom"/>
            <w:tcBorders>
              <w:top w:val="single" w:sz="8" w:color="auto"/>
              <w:bottom w:val="single" w:sz="8" w:color="auto"/>
            </w:tcBorders>
          </w:tcPr>
          <w:p>
            <w:pPr>
              <w:jc w:val="right"/>
              <w:ind w:right="402"/>
              <w:spacing w:after="0" w:line="97" w:lineRule="exact"/>
              <w:rPr>
                <w:sz w:val="20"/>
                <w:szCs w:val="20"/>
                <w:color w:val="auto"/>
              </w:rPr>
            </w:pPr>
            <w:r>
              <w:rPr>
                <w:rFonts w:ascii="Arial" w:cs="Arial" w:eastAsia="Arial" w:hAnsi="Arial"/>
                <w:sz w:val="10"/>
                <w:szCs w:val="10"/>
                <w:b w:val="1"/>
                <w:bCs w:val="1"/>
                <w:color w:val="auto"/>
              </w:rPr>
              <w:t>2020</w:t>
            </w:r>
          </w:p>
        </w:tc>
        <w:tc>
          <w:tcPr>
            <w:tcW w:w="8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spacing w:after="0"/>
              <w:rPr>
                <w:sz w:val="8"/>
                <w:szCs w:val="8"/>
                <w:color w:val="auto"/>
              </w:rPr>
            </w:pPr>
          </w:p>
        </w:tc>
        <w:tc>
          <w:tcPr>
            <w:tcW w:w="800" w:type="dxa"/>
            <w:vAlign w:val="bottom"/>
            <w:tcBorders>
              <w:top w:val="single" w:sz="8" w:color="auto"/>
              <w:bottom w:val="single" w:sz="8" w:color="auto"/>
            </w:tcBorders>
          </w:tcPr>
          <w:p>
            <w:pPr>
              <w:jc w:val="right"/>
              <w:ind w:right="521"/>
              <w:spacing w:after="0" w:line="97" w:lineRule="exact"/>
              <w:rPr>
                <w:sz w:val="20"/>
                <w:szCs w:val="20"/>
                <w:color w:val="auto"/>
              </w:rPr>
            </w:pPr>
            <w:r>
              <w:rPr>
                <w:rFonts w:ascii="Arial" w:cs="Arial" w:eastAsia="Arial" w:hAnsi="Arial"/>
                <w:sz w:val="10"/>
                <w:szCs w:val="10"/>
                <w:b w:val="1"/>
                <w:bCs w:val="1"/>
                <w:color w:val="auto"/>
                <w:w w:val="89"/>
              </w:rPr>
              <w:t>2019</w:t>
            </w: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5140" w:type="dxa"/>
            <w:vAlign w:val="bottom"/>
            <w:gridSpan w:val="2"/>
            <w:vMerge w:val="continue"/>
          </w:tcPr>
          <w:p>
            <w:pPr>
              <w:spacing w:after="0"/>
              <w:rPr>
                <w:sz w:val="8"/>
                <w:szCs w:val="8"/>
                <w:color w:val="auto"/>
              </w:rPr>
            </w:pPr>
          </w:p>
        </w:tc>
        <w:tc>
          <w:tcPr>
            <w:tcW w:w="19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60" w:type="dxa"/>
            <w:vAlign w:val="bottom"/>
            <w:gridSpan w:val="5"/>
          </w:tcPr>
          <w:p>
            <w:pPr>
              <w:jc w:val="right"/>
              <w:ind w:right="52"/>
              <w:spacing w:after="0" w:line="97" w:lineRule="exact"/>
              <w:rPr>
                <w:sz w:val="20"/>
                <w:szCs w:val="20"/>
                <w:color w:val="auto"/>
              </w:rPr>
            </w:pPr>
            <w:r>
              <w:rPr>
                <w:rFonts w:ascii="Arial" w:cs="Arial" w:eastAsia="Arial" w:hAnsi="Arial"/>
                <w:sz w:val="10"/>
                <w:szCs w:val="10"/>
                <w:b w:val="1"/>
                <w:bCs w:val="1"/>
                <w:i w:val="1"/>
                <w:iCs w:val="1"/>
                <w:color w:val="auto"/>
              </w:rPr>
              <w:t>(dollars in thousands)</w:t>
            </w:r>
          </w:p>
        </w:tc>
        <w:tc>
          <w:tcPr>
            <w:tcW w:w="8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2"/>
                <w:szCs w:val="12"/>
                <w:color w:val="auto"/>
              </w:rPr>
              <w:t>Revenues:</w:t>
            </w:r>
          </w:p>
        </w:tc>
        <w:tc>
          <w:tcPr>
            <w:tcW w:w="19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0" w:type="dxa"/>
            <w:vAlign w:val="bottom"/>
            <w:tcBorders>
              <w:left w:val="single" w:sz="8" w:color="CFF0FC"/>
            </w:tcBorders>
            <w:shd w:val="clear" w:color="auto" w:fill="CFF0FC"/>
          </w:tcPr>
          <w:p>
            <w:pPr>
              <w:spacing w:after="0"/>
              <w:rPr>
                <w:sz w:val="13"/>
                <w:szCs w:val="13"/>
                <w:color w:val="auto"/>
              </w:rPr>
            </w:pPr>
          </w:p>
        </w:tc>
        <w:tc>
          <w:tcPr>
            <w:tcW w:w="800" w:type="dxa"/>
            <w:vAlign w:val="bottom"/>
            <w:tcBorders>
              <w:right w:val="single" w:sz="8" w:color="CFF0FC"/>
            </w:tcBorders>
            <w:shd w:val="clear" w:color="auto" w:fill="CFF0FC"/>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440" w:type="dxa"/>
            <w:vAlign w:val="bottom"/>
          </w:tcPr>
          <w:p>
            <w:pPr>
              <w:ind w:left="160"/>
              <w:spacing w:after="0"/>
              <w:rPr>
                <w:sz w:val="20"/>
                <w:szCs w:val="20"/>
                <w:color w:val="auto"/>
              </w:rPr>
            </w:pPr>
            <w:r>
              <w:rPr>
                <w:rFonts w:ascii="Arial" w:cs="Arial" w:eastAsia="Arial" w:hAnsi="Arial"/>
                <w:sz w:val="12"/>
                <w:szCs w:val="12"/>
                <w:color w:val="auto"/>
              </w:rPr>
              <w:t>Leases</w:t>
            </w:r>
          </w:p>
        </w:tc>
        <w:tc>
          <w:tcPr>
            <w:tcW w:w="20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6,813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29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15,742</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4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Products and services</w:t>
            </w:r>
          </w:p>
        </w:tc>
        <w:tc>
          <w:tcPr>
            <w:tcW w:w="19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7,695</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0" w:type="dxa"/>
            <w:vAlign w:val="bottom"/>
            <w:tcBorders>
              <w:left w:val="single" w:sz="8" w:color="CFF0FC"/>
              <w:bottom w:val="single" w:sz="8" w:color="auto"/>
            </w:tcBorders>
            <w:shd w:val="clear" w:color="auto" w:fill="CFF0FC"/>
          </w:tcPr>
          <w:p>
            <w:pPr>
              <w:spacing w:after="0"/>
              <w:rPr>
                <w:sz w:val="13"/>
                <w:szCs w:val="13"/>
                <w:color w:val="auto"/>
              </w:rPr>
            </w:pPr>
          </w:p>
        </w:tc>
        <w:tc>
          <w:tcPr>
            <w:tcW w:w="800" w:type="dxa"/>
            <w:vAlign w:val="bottom"/>
            <w:tcBorders>
              <w:bottom w:val="single" w:sz="8" w:color="auto"/>
              <w:right w:val="single" w:sz="8" w:color="CFF0FC"/>
            </w:tcBorders>
            <w:shd w:val="clear" w:color="auto" w:fill="CFF0FC"/>
          </w:tcPr>
          <w:p>
            <w:pPr>
              <w:jc w:val="right"/>
              <w:ind w:right="61"/>
              <w:spacing w:after="0"/>
              <w:rPr>
                <w:sz w:val="20"/>
                <w:szCs w:val="20"/>
                <w:color w:val="auto"/>
              </w:rPr>
            </w:pPr>
            <w:r>
              <w:rPr>
                <w:rFonts w:ascii="Arial" w:cs="Arial" w:eastAsia="Arial" w:hAnsi="Arial"/>
                <w:sz w:val="12"/>
                <w:szCs w:val="12"/>
                <w:color w:val="auto"/>
              </w:rPr>
              <w:t>8,838</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40" w:type="dxa"/>
            <w:vAlign w:val="bottom"/>
            <w:gridSpan w:val="2"/>
          </w:tcPr>
          <w:p>
            <w:pPr>
              <w:ind w:left="1680"/>
              <w:spacing w:after="0"/>
              <w:rPr>
                <w:sz w:val="20"/>
                <w:szCs w:val="20"/>
                <w:color w:val="auto"/>
              </w:rPr>
            </w:pPr>
            <w:r>
              <w:rPr>
                <w:rFonts w:ascii="Arial" w:cs="Arial" w:eastAsia="Arial" w:hAnsi="Arial"/>
                <w:sz w:val="12"/>
                <w:szCs w:val="12"/>
                <w:color w:val="auto"/>
              </w:rPr>
              <w:t>Total revenue</w:t>
            </w: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14,508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24,580</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2"/>
                <w:szCs w:val="12"/>
                <w:color w:val="auto"/>
              </w:rPr>
              <w:t>Cost of goods sold</w:t>
            </w:r>
          </w:p>
        </w:tc>
        <w:tc>
          <w:tcPr>
            <w:tcW w:w="19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5,228</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0" w:type="dxa"/>
            <w:vAlign w:val="bottom"/>
            <w:tcBorders>
              <w:left w:val="single" w:sz="8" w:color="CFF0FC"/>
              <w:bottom w:val="single" w:sz="8" w:color="auto"/>
            </w:tcBorders>
            <w:shd w:val="clear" w:color="auto" w:fill="CFF0FC"/>
          </w:tcPr>
          <w:p>
            <w:pPr>
              <w:spacing w:after="0"/>
              <w:rPr>
                <w:sz w:val="13"/>
                <w:szCs w:val="13"/>
                <w:color w:val="auto"/>
              </w:rPr>
            </w:pPr>
          </w:p>
        </w:tc>
        <w:tc>
          <w:tcPr>
            <w:tcW w:w="800" w:type="dxa"/>
            <w:vAlign w:val="bottom"/>
            <w:tcBorders>
              <w:bottom w:val="single" w:sz="8" w:color="auto"/>
              <w:right w:val="single" w:sz="8" w:color="CFF0FC"/>
            </w:tcBorders>
            <w:shd w:val="clear" w:color="auto" w:fill="CFF0FC"/>
          </w:tcPr>
          <w:p>
            <w:pPr>
              <w:jc w:val="right"/>
              <w:ind w:right="61"/>
              <w:spacing w:after="0"/>
              <w:rPr>
                <w:sz w:val="20"/>
                <w:szCs w:val="20"/>
                <w:color w:val="auto"/>
              </w:rPr>
            </w:pPr>
            <w:r>
              <w:rPr>
                <w:rFonts w:ascii="Arial" w:cs="Arial" w:eastAsia="Arial" w:hAnsi="Arial"/>
                <w:sz w:val="12"/>
                <w:szCs w:val="12"/>
                <w:color w:val="auto"/>
              </w:rPr>
              <w:t>6,515</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40" w:type="dxa"/>
            <w:vAlign w:val="bottom"/>
            <w:gridSpan w:val="2"/>
          </w:tcPr>
          <w:p>
            <w:pPr>
              <w:ind w:left="1680"/>
              <w:spacing w:after="0"/>
              <w:rPr>
                <w:sz w:val="20"/>
                <w:szCs w:val="20"/>
                <w:color w:val="auto"/>
              </w:rPr>
            </w:pPr>
            <w:r>
              <w:rPr>
                <w:rFonts w:ascii="Arial" w:cs="Arial" w:eastAsia="Arial" w:hAnsi="Arial"/>
                <w:sz w:val="12"/>
                <w:szCs w:val="12"/>
                <w:color w:val="auto"/>
              </w:rPr>
              <w:t>Gross profit</w:t>
            </w: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9,280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18,065</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2"/>
                <w:szCs w:val="12"/>
                <w:color w:val="auto"/>
              </w:rPr>
              <w:t>Operating expenses:</w:t>
            </w:r>
          </w:p>
        </w:tc>
        <w:tc>
          <w:tcPr>
            <w:tcW w:w="19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0" w:type="dxa"/>
            <w:vAlign w:val="bottom"/>
            <w:tcBorders>
              <w:left w:val="single" w:sz="8" w:color="CFF0FC"/>
            </w:tcBorders>
            <w:shd w:val="clear" w:color="auto" w:fill="CFF0FC"/>
          </w:tcPr>
          <w:p>
            <w:pPr>
              <w:spacing w:after="0"/>
              <w:rPr>
                <w:sz w:val="13"/>
                <w:szCs w:val="13"/>
                <w:color w:val="auto"/>
              </w:rPr>
            </w:pPr>
          </w:p>
        </w:tc>
        <w:tc>
          <w:tcPr>
            <w:tcW w:w="800" w:type="dxa"/>
            <w:vAlign w:val="bottom"/>
            <w:tcBorders>
              <w:right w:val="single" w:sz="8" w:color="CFF0FC"/>
            </w:tcBorders>
            <w:shd w:val="clear" w:color="auto" w:fill="CFF0FC"/>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440" w:type="dxa"/>
            <w:vAlign w:val="bottom"/>
          </w:tcPr>
          <w:p>
            <w:pPr>
              <w:ind w:left="160"/>
              <w:spacing w:after="0"/>
              <w:rPr>
                <w:sz w:val="20"/>
                <w:szCs w:val="20"/>
                <w:color w:val="auto"/>
              </w:rPr>
            </w:pPr>
            <w:r>
              <w:rPr>
                <w:rFonts w:ascii="Arial" w:cs="Arial" w:eastAsia="Arial" w:hAnsi="Arial"/>
                <w:sz w:val="12"/>
                <w:szCs w:val="12"/>
                <w:color w:val="auto"/>
              </w:rPr>
              <w:t>Sales and marketing</w:t>
            </w:r>
          </w:p>
        </w:tc>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8,611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9,532</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4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General and administrative</w:t>
            </w:r>
          </w:p>
        </w:tc>
        <w:tc>
          <w:tcPr>
            <w:tcW w:w="19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14,176</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0" w:type="dxa"/>
            <w:vAlign w:val="bottom"/>
            <w:tcBorders>
              <w:left w:val="single" w:sz="8" w:color="CFF0FC"/>
            </w:tcBorders>
            <w:shd w:val="clear" w:color="auto" w:fill="CFF0FC"/>
          </w:tcPr>
          <w:p>
            <w:pPr>
              <w:spacing w:after="0"/>
              <w:rPr>
                <w:sz w:val="13"/>
                <w:szCs w:val="13"/>
                <w:color w:val="auto"/>
              </w:rPr>
            </w:pPr>
          </w:p>
        </w:tc>
        <w:tc>
          <w:tcPr>
            <w:tcW w:w="800" w:type="dxa"/>
            <w:vAlign w:val="bottom"/>
            <w:tcBorders>
              <w:right w:val="single" w:sz="8" w:color="CFF0FC"/>
            </w:tcBorders>
            <w:shd w:val="clear" w:color="auto" w:fill="CFF0FC"/>
          </w:tcPr>
          <w:p>
            <w:pPr>
              <w:jc w:val="right"/>
              <w:ind w:right="61"/>
              <w:spacing w:after="0"/>
              <w:rPr>
                <w:sz w:val="20"/>
                <w:szCs w:val="20"/>
                <w:color w:val="auto"/>
              </w:rPr>
            </w:pPr>
            <w:r>
              <w:rPr>
                <w:rFonts w:ascii="Arial" w:cs="Arial" w:eastAsia="Arial" w:hAnsi="Arial"/>
                <w:sz w:val="12"/>
                <w:szCs w:val="12"/>
                <w:color w:val="auto"/>
              </w:rPr>
              <w:t>8,340</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440" w:type="dxa"/>
            <w:vAlign w:val="bottom"/>
          </w:tcPr>
          <w:p>
            <w:pPr>
              <w:ind w:left="160"/>
              <w:spacing w:after="0"/>
              <w:rPr>
                <w:sz w:val="20"/>
                <w:szCs w:val="20"/>
                <w:color w:val="auto"/>
              </w:rPr>
            </w:pPr>
            <w:r>
              <w:rPr>
                <w:rFonts w:ascii="Arial" w:cs="Arial" w:eastAsia="Arial" w:hAnsi="Arial"/>
                <w:sz w:val="12"/>
                <w:szCs w:val="12"/>
                <w:color w:val="auto"/>
              </w:rPr>
              <w:t>Research and development</w:t>
            </w:r>
          </w:p>
        </w:tc>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2,624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2,061</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4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Goodwill impairment</w:t>
            </w:r>
          </w:p>
        </w:tc>
        <w:tc>
          <w:tcPr>
            <w:tcW w:w="19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27,450</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0" w:type="dxa"/>
            <w:vAlign w:val="bottom"/>
            <w:tcBorders>
              <w:left w:val="single" w:sz="8" w:color="CFF0FC"/>
            </w:tcBorders>
            <w:shd w:val="clear" w:color="auto" w:fill="CFF0FC"/>
          </w:tcPr>
          <w:p>
            <w:pPr>
              <w:spacing w:after="0"/>
              <w:rPr>
                <w:sz w:val="13"/>
                <w:szCs w:val="13"/>
                <w:color w:val="auto"/>
              </w:rPr>
            </w:pPr>
          </w:p>
        </w:tc>
        <w:tc>
          <w:tcPr>
            <w:tcW w:w="800" w:type="dxa"/>
            <w:vAlign w:val="bottom"/>
            <w:tcBorders>
              <w:right w:val="single" w:sz="8" w:color="CFF0FC"/>
            </w:tcBorders>
            <w:shd w:val="clear" w:color="auto" w:fill="CFF0FC"/>
          </w:tcPr>
          <w:p>
            <w:pPr>
              <w:jc w:val="right"/>
              <w:ind w:right="61"/>
              <w:spacing w:after="0"/>
              <w:rPr>
                <w:sz w:val="20"/>
                <w:szCs w:val="20"/>
                <w:color w:val="auto"/>
              </w:rPr>
            </w:pPr>
            <w:r>
              <w:rPr>
                <w:rFonts w:ascii="Arial" w:cs="Arial" w:eastAsia="Arial" w:hAnsi="Arial"/>
                <w:sz w:val="12"/>
                <w:szCs w:val="12"/>
                <w:color w:val="auto"/>
              </w:rPr>
              <w:t>—</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40" w:type="dxa"/>
            <w:vAlign w:val="bottom"/>
            <w:gridSpan w:val="2"/>
          </w:tcPr>
          <w:p>
            <w:pPr>
              <w:ind w:left="1680"/>
              <w:spacing w:after="0"/>
              <w:rPr>
                <w:sz w:val="20"/>
                <w:szCs w:val="20"/>
                <w:color w:val="auto"/>
              </w:rPr>
            </w:pPr>
            <w:r>
              <w:rPr>
                <w:rFonts w:ascii="Arial" w:cs="Arial" w:eastAsia="Arial" w:hAnsi="Arial"/>
                <w:sz w:val="12"/>
                <w:szCs w:val="12"/>
                <w:color w:val="auto"/>
              </w:rPr>
              <w:t>Total operating expenses</w:t>
            </w:r>
          </w:p>
        </w:tc>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52,861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19,933</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4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Loss from operations</w:t>
            </w:r>
          </w:p>
        </w:tc>
        <w:tc>
          <w:tcPr>
            <w:tcW w:w="19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CFF0FC"/>
            </w:tcBorders>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00" w:type="dxa"/>
            <w:vAlign w:val="bottom"/>
          </w:tcPr>
          <w:p>
            <w:pPr>
              <w:spacing w:after="0"/>
              <w:rPr>
                <w:sz w:val="12"/>
                <w:szCs w:val="12"/>
                <w:color w:val="auto"/>
              </w:rPr>
            </w:pPr>
          </w:p>
        </w:tc>
        <w:tc>
          <w:tcPr>
            <w:tcW w:w="3440" w:type="dxa"/>
            <w:vAlign w:val="bottom"/>
            <w:vMerge w:val="continue"/>
            <w:shd w:val="clear" w:color="auto" w:fill="CFF0FC"/>
          </w:tcPr>
          <w:p>
            <w:pPr>
              <w:spacing w:after="0"/>
              <w:rPr>
                <w:sz w:val="12"/>
                <w:szCs w:val="12"/>
                <w:color w:val="auto"/>
              </w:rPr>
            </w:pPr>
          </w:p>
        </w:tc>
        <w:tc>
          <w:tcPr>
            <w:tcW w:w="1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(43,581)</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tcBorders>
              <w:left w:val="single" w:sz="8" w:color="CFF0FC"/>
            </w:tcBorders>
            <w:shd w:val="clear" w:color="auto" w:fill="CFF0FC"/>
          </w:tcPr>
          <w:p>
            <w:pPr>
              <w:spacing w:after="0"/>
              <w:rPr>
                <w:sz w:val="12"/>
                <w:szCs w:val="12"/>
                <w:color w:val="auto"/>
              </w:rPr>
            </w:pPr>
          </w:p>
        </w:tc>
        <w:tc>
          <w:tcPr>
            <w:tcW w:w="800" w:type="dxa"/>
            <w:vAlign w:val="bottom"/>
            <w:tcBorders>
              <w:right w:val="single" w:sz="8" w:color="CFF0FC"/>
            </w:tcBorders>
            <w:shd w:val="clear" w:color="auto" w:fill="CFF0FC"/>
          </w:tcPr>
          <w:p>
            <w:pPr>
              <w:jc w:val="right"/>
              <w:ind w:right="21"/>
              <w:spacing w:after="0"/>
              <w:rPr>
                <w:sz w:val="20"/>
                <w:szCs w:val="20"/>
                <w:color w:val="auto"/>
              </w:rPr>
            </w:pPr>
            <w:r>
              <w:rPr>
                <w:rFonts w:ascii="Arial" w:cs="Arial" w:eastAsia="Arial" w:hAnsi="Arial"/>
                <w:sz w:val="12"/>
                <w:szCs w:val="12"/>
                <w:color w:val="auto"/>
              </w:rPr>
              <w:t>(1,868)</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140" w:type="dxa"/>
            <w:vAlign w:val="bottom"/>
            <w:gridSpan w:val="2"/>
          </w:tcPr>
          <w:p>
            <w:pPr>
              <w:ind w:left="1680"/>
              <w:spacing w:after="0"/>
              <w:rPr>
                <w:sz w:val="20"/>
                <w:szCs w:val="20"/>
                <w:color w:val="auto"/>
              </w:rPr>
            </w:pPr>
            <w:r>
              <w:rPr>
                <w:rFonts w:ascii="Arial" w:cs="Arial" w:eastAsia="Arial" w:hAnsi="Arial"/>
                <w:sz w:val="12"/>
                <w:szCs w:val="12"/>
                <w:color w:val="auto"/>
              </w:rPr>
              <w:t>Other expenses:</w:t>
            </w:r>
          </w:p>
        </w:tc>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4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Foreign exchange loss</w:t>
            </w:r>
          </w:p>
        </w:tc>
        <w:tc>
          <w:tcPr>
            <w:tcW w:w="19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4,279</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0" w:type="dxa"/>
            <w:vAlign w:val="bottom"/>
            <w:tcBorders>
              <w:left w:val="single" w:sz="8" w:color="CFF0FC"/>
            </w:tcBorders>
            <w:shd w:val="clear" w:color="auto" w:fill="CFF0FC"/>
          </w:tcPr>
          <w:p>
            <w:pPr>
              <w:spacing w:after="0"/>
              <w:rPr>
                <w:sz w:val="13"/>
                <w:szCs w:val="13"/>
                <w:color w:val="auto"/>
              </w:rPr>
            </w:pPr>
          </w:p>
        </w:tc>
        <w:tc>
          <w:tcPr>
            <w:tcW w:w="800" w:type="dxa"/>
            <w:vAlign w:val="bottom"/>
            <w:tcBorders>
              <w:right w:val="single" w:sz="8" w:color="CFF0FC"/>
            </w:tcBorders>
            <w:shd w:val="clear" w:color="auto" w:fill="CFF0FC"/>
          </w:tcPr>
          <w:p>
            <w:pPr>
              <w:jc w:val="right"/>
              <w:ind w:right="61"/>
              <w:spacing w:after="0"/>
              <w:rPr>
                <w:sz w:val="20"/>
                <w:szCs w:val="20"/>
                <w:color w:val="auto"/>
              </w:rPr>
            </w:pPr>
            <w:r>
              <w:rPr>
                <w:rFonts w:ascii="Arial" w:cs="Arial" w:eastAsia="Arial" w:hAnsi="Arial"/>
                <w:sz w:val="12"/>
                <w:szCs w:val="12"/>
                <w:color w:val="auto"/>
              </w:rPr>
              <w:t>697</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44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Finance expenses</w:t>
            </w:r>
          </w:p>
        </w:tc>
        <w:tc>
          <w:tcPr>
            <w:tcW w:w="19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2,254</w:t>
            </w: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1,654</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2"/>
                <w:szCs w:val="12"/>
                <w:color w:val="auto"/>
              </w:rPr>
              <w:t>Loss before income taxes</w:t>
            </w:r>
          </w:p>
        </w:tc>
        <w:tc>
          <w:tcPr>
            <w:tcW w:w="1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(50,114)</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tcBorders>
              <w:left w:val="single" w:sz="8" w:color="CFF0FC"/>
            </w:tcBorders>
            <w:shd w:val="clear" w:color="auto" w:fill="CFF0FC"/>
          </w:tcPr>
          <w:p>
            <w:pPr>
              <w:spacing w:after="0"/>
              <w:rPr>
                <w:sz w:val="12"/>
                <w:szCs w:val="12"/>
                <w:color w:val="auto"/>
              </w:rPr>
            </w:pPr>
          </w:p>
        </w:tc>
        <w:tc>
          <w:tcPr>
            <w:tcW w:w="800" w:type="dxa"/>
            <w:vAlign w:val="bottom"/>
            <w:tcBorders>
              <w:right w:val="single" w:sz="8" w:color="CFF0FC"/>
            </w:tcBorders>
            <w:shd w:val="clear" w:color="auto" w:fill="CFF0FC"/>
          </w:tcPr>
          <w:p>
            <w:pPr>
              <w:jc w:val="right"/>
              <w:ind w:right="21"/>
              <w:spacing w:after="0"/>
              <w:rPr>
                <w:sz w:val="20"/>
                <w:szCs w:val="20"/>
                <w:color w:val="auto"/>
              </w:rPr>
            </w:pPr>
            <w:r>
              <w:rPr>
                <w:rFonts w:ascii="Arial" w:cs="Arial" w:eastAsia="Arial" w:hAnsi="Arial"/>
                <w:sz w:val="12"/>
                <w:szCs w:val="12"/>
                <w:color w:val="auto"/>
              </w:rPr>
              <w:t>(4,219)</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140" w:type="dxa"/>
            <w:vAlign w:val="bottom"/>
            <w:gridSpan w:val="2"/>
          </w:tcPr>
          <w:p>
            <w:pPr>
              <w:ind w:left="1680"/>
              <w:spacing w:after="0"/>
              <w:rPr>
                <w:sz w:val="20"/>
                <w:szCs w:val="20"/>
                <w:color w:val="auto"/>
              </w:rPr>
            </w:pPr>
            <w:r>
              <w:rPr>
                <w:rFonts w:ascii="Arial" w:cs="Arial" w:eastAsia="Arial" w:hAnsi="Arial"/>
                <w:sz w:val="12"/>
                <w:szCs w:val="12"/>
                <w:color w:val="auto"/>
              </w:rPr>
              <w:t>Provision for income taxes</w:t>
            </w:r>
          </w:p>
        </w:tc>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589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886</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3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Net loss</w:t>
            </w:r>
          </w:p>
        </w:tc>
        <w:tc>
          <w:tcPr>
            <w:tcW w:w="192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(50,703)</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400" w:type="dxa"/>
            <w:vAlign w:val="bottom"/>
            <w:tcBorders>
              <w:top w:val="single" w:sz="8" w:color="auto"/>
              <w:left w:val="single" w:sz="8" w:color="CFF0FC"/>
              <w:bottom w:val="single" w:sz="8" w:color="auto"/>
            </w:tcBorders>
            <w:shd w:val="clear" w:color="auto" w:fill="CFF0FC"/>
          </w:tcPr>
          <w:p>
            <w:pPr>
              <w:jc w:val="right"/>
              <w:ind w:right="292"/>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right w:val="single" w:sz="8" w:color="CFF0FC"/>
            </w:tcBorders>
            <w:shd w:val="clear" w:color="auto" w:fill="CFF0FC"/>
          </w:tcPr>
          <w:p>
            <w:pPr>
              <w:jc w:val="right"/>
              <w:ind w:right="61"/>
              <w:spacing w:after="0"/>
              <w:rPr>
                <w:sz w:val="20"/>
                <w:szCs w:val="20"/>
                <w:color w:val="auto"/>
              </w:rPr>
            </w:pPr>
            <w:r>
              <w:rPr>
                <w:rFonts w:ascii="Arial" w:cs="Arial" w:eastAsia="Arial" w:hAnsi="Arial"/>
                <w:sz w:val="12"/>
                <w:szCs w:val="12"/>
                <w:b w:val="1"/>
                <w:bCs w:val="1"/>
                <w:color w:val="auto"/>
              </w:rPr>
              <w:t>(5,105)</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140" w:type="dxa"/>
            <w:vAlign w:val="bottom"/>
            <w:gridSpan w:val="2"/>
          </w:tcPr>
          <w:p>
            <w:pPr>
              <w:ind w:left="1680"/>
              <w:spacing w:after="0"/>
              <w:rPr>
                <w:sz w:val="20"/>
                <w:szCs w:val="20"/>
                <w:color w:val="auto"/>
              </w:rPr>
            </w:pPr>
            <w:r>
              <w:rPr>
                <w:rFonts w:ascii="Arial" w:cs="Arial" w:eastAsia="Arial" w:hAnsi="Arial"/>
                <w:sz w:val="12"/>
                <w:szCs w:val="12"/>
                <w:color w:val="auto"/>
              </w:rPr>
              <w:t>Net loss attributable to the Company</w:t>
            </w: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2"/>
                <w:szCs w:val="12"/>
                <w:color w:val="auto"/>
              </w:rPr>
              <w:t>(50,190)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(5,273)</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2"/>
                <w:szCs w:val="12"/>
                <w:color w:val="auto"/>
              </w:rPr>
              <w:t>Net (loss) income attributable to noncontrolling interest</w:t>
            </w:r>
          </w:p>
        </w:tc>
        <w:tc>
          <w:tcPr>
            <w:tcW w:w="19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(513)</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0" w:type="dxa"/>
            <w:vAlign w:val="bottom"/>
            <w:tcBorders>
              <w:left w:val="single" w:sz="8" w:color="CFF0FC"/>
            </w:tcBorders>
            <w:shd w:val="clear" w:color="auto" w:fill="CFF0FC"/>
          </w:tcPr>
          <w:p>
            <w:pPr>
              <w:spacing w:after="0"/>
              <w:rPr>
                <w:sz w:val="13"/>
                <w:szCs w:val="13"/>
                <w:color w:val="auto"/>
              </w:rPr>
            </w:pPr>
          </w:p>
        </w:tc>
        <w:tc>
          <w:tcPr>
            <w:tcW w:w="800" w:type="dxa"/>
            <w:vAlign w:val="bottom"/>
            <w:tcBorders>
              <w:right w:val="single" w:sz="8" w:color="CFF0FC"/>
            </w:tcBorders>
            <w:shd w:val="clear" w:color="auto" w:fill="CFF0FC"/>
          </w:tcPr>
          <w:p>
            <w:pPr>
              <w:jc w:val="right"/>
              <w:ind w:right="61"/>
              <w:spacing w:after="0"/>
              <w:rPr>
                <w:sz w:val="20"/>
                <w:szCs w:val="20"/>
                <w:color w:val="auto"/>
              </w:rPr>
            </w:pPr>
            <w:r>
              <w:rPr>
                <w:rFonts w:ascii="Arial" w:cs="Arial" w:eastAsia="Arial" w:hAnsi="Arial"/>
                <w:sz w:val="12"/>
                <w:szCs w:val="12"/>
                <w:color w:val="auto"/>
              </w:rPr>
              <w:t>168</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gridSpan w:val="2"/>
          </w:tcPr>
          <w:p>
            <w:pPr>
              <w:ind w:left="1680"/>
              <w:spacing w:after="0"/>
              <w:rPr>
                <w:sz w:val="20"/>
                <w:szCs w:val="20"/>
                <w:color w:val="auto"/>
              </w:rPr>
            </w:pPr>
            <w:r>
              <w:rPr>
                <w:rFonts w:ascii="Arial" w:cs="Arial" w:eastAsia="Arial" w:hAnsi="Arial"/>
                <w:sz w:val="12"/>
                <w:szCs w:val="12"/>
                <w:b w:val="1"/>
                <w:bCs w:val="1"/>
                <w:color w:val="auto"/>
              </w:rPr>
              <w:t>Net loss</w:t>
            </w:r>
          </w:p>
        </w:tc>
        <w:tc>
          <w:tcPr>
            <w:tcW w:w="19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(50,703)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tcBorders>
          </w:tcPr>
          <w:p>
            <w:pPr>
              <w:jc w:val="right"/>
              <w:ind w:right="292"/>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b w:val="1"/>
                <w:bCs w:val="1"/>
                <w:color w:val="auto"/>
              </w:rPr>
              <w:t>(5,105)</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As a % of revenue:</w:t>
            </w:r>
          </w:p>
        </w:tc>
        <w:tc>
          <w:tcPr>
            <w:tcW w:w="19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400" w:type="dxa"/>
            <w:vAlign w:val="bottom"/>
            <w:tcBorders>
              <w:top w:val="single" w:sz="8" w:color="auto"/>
              <w:left w:val="single" w:sz="8" w:color="CFF0FC"/>
            </w:tcBorders>
            <w:shd w:val="clear" w:color="auto" w:fill="CFF0FC"/>
          </w:tcPr>
          <w:p>
            <w:pPr>
              <w:spacing w:after="0"/>
              <w:rPr>
                <w:sz w:val="13"/>
                <w:szCs w:val="13"/>
                <w:color w:val="auto"/>
              </w:rPr>
            </w:pPr>
          </w:p>
        </w:tc>
        <w:tc>
          <w:tcPr>
            <w:tcW w:w="800" w:type="dxa"/>
            <w:vAlign w:val="bottom"/>
            <w:tcBorders>
              <w:top w:val="single" w:sz="8" w:color="auto"/>
              <w:right w:val="single" w:sz="8" w:color="CFF0FC"/>
            </w:tcBorders>
            <w:shd w:val="clear" w:color="auto" w:fill="CFF0FC"/>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40" w:type="dxa"/>
            <w:vAlign w:val="bottom"/>
            <w:gridSpan w:val="2"/>
          </w:tcPr>
          <w:p>
            <w:pPr>
              <w:ind w:left="1680"/>
              <w:spacing w:after="0"/>
              <w:rPr>
                <w:sz w:val="20"/>
                <w:szCs w:val="20"/>
                <w:color w:val="auto"/>
              </w:rPr>
            </w:pPr>
            <w:r>
              <w:rPr>
                <w:rFonts w:ascii="Arial" w:cs="Arial" w:eastAsia="Arial" w:hAnsi="Arial"/>
                <w:sz w:val="12"/>
                <w:szCs w:val="12"/>
                <w:color w:val="auto"/>
              </w:rPr>
              <w:t>Revenues</w:t>
            </w:r>
          </w:p>
        </w:tc>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2"/>
                <w:szCs w:val="12"/>
                <w:color w:val="auto"/>
              </w:rPr>
              <w:t>100%</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100%</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2"/>
                <w:szCs w:val="12"/>
                <w:color w:val="auto"/>
              </w:rPr>
              <w:t>Cost of goods sold</w:t>
            </w:r>
          </w:p>
        </w:tc>
        <w:tc>
          <w:tcPr>
            <w:tcW w:w="19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36.0</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0" w:type="dxa"/>
            <w:vAlign w:val="bottom"/>
            <w:tcBorders>
              <w:left w:val="single" w:sz="8" w:color="CFF0FC"/>
              <w:bottom w:val="single" w:sz="8" w:color="auto"/>
            </w:tcBorders>
            <w:shd w:val="clear" w:color="auto" w:fill="CFF0FC"/>
          </w:tcPr>
          <w:p>
            <w:pPr>
              <w:spacing w:after="0"/>
              <w:rPr>
                <w:sz w:val="13"/>
                <w:szCs w:val="13"/>
                <w:color w:val="auto"/>
              </w:rPr>
            </w:pPr>
          </w:p>
        </w:tc>
        <w:tc>
          <w:tcPr>
            <w:tcW w:w="800" w:type="dxa"/>
            <w:vAlign w:val="bottom"/>
            <w:tcBorders>
              <w:bottom w:val="single" w:sz="8" w:color="auto"/>
              <w:right w:val="single" w:sz="8" w:color="CFF0FC"/>
            </w:tcBorders>
            <w:shd w:val="clear" w:color="auto" w:fill="CFF0FC"/>
          </w:tcPr>
          <w:p>
            <w:pPr>
              <w:jc w:val="right"/>
              <w:ind w:right="61"/>
              <w:spacing w:after="0"/>
              <w:rPr>
                <w:sz w:val="20"/>
                <w:szCs w:val="20"/>
                <w:color w:val="auto"/>
              </w:rPr>
            </w:pPr>
            <w:r>
              <w:rPr>
                <w:rFonts w:ascii="Arial" w:cs="Arial" w:eastAsia="Arial" w:hAnsi="Arial"/>
                <w:sz w:val="12"/>
                <w:szCs w:val="12"/>
                <w:color w:val="auto"/>
              </w:rPr>
              <w:t>26.5</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40" w:type="dxa"/>
            <w:vAlign w:val="bottom"/>
            <w:gridSpan w:val="2"/>
          </w:tcPr>
          <w:p>
            <w:pPr>
              <w:ind w:left="1680"/>
              <w:spacing w:after="0"/>
              <w:rPr>
                <w:sz w:val="20"/>
                <w:szCs w:val="20"/>
                <w:color w:val="auto"/>
              </w:rPr>
            </w:pPr>
            <w:r>
              <w:rPr>
                <w:rFonts w:ascii="Arial" w:cs="Arial" w:eastAsia="Arial" w:hAnsi="Arial"/>
                <w:sz w:val="12"/>
                <w:szCs w:val="12"/>
                <w:color w:val="auto"/>
              </w:rPr>
              <w:t>Gross profit</w:t>
            </w: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64.0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73.5</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Operating expenses:</w:t>
            </w:r>
          </w:p>
        </w:tc>
        <w:tc>
          <w:tcPr>
            <w:tcW w:w="19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left w:val="single" w:sz="8" w:color="CFF0FC"/>
            </w:tcBorders>
            <w:shd w:val="clear" w:color="auto" w:fill="CFF0FC"/>
          </w:tcPr>
          <w:p>
            <w:pPr>
              <w:spacing w:after="0"/>
              <w:rPr>
                <w:sz w:val="12"/>
                <w:szCs w:val="12"/>
                <w:color w:val="auto"/>
              </w:rPr>
            </w:pPr>
          </w:p>
        </w:tc>
        <w:tc>
          <w:tcPr>
            <w:tcW w:w="800" w:type="dxa"/>
            <w:vAlign w:val="bottom"/>
            <w:tcBorders>
              <w:top w:val="single" w:sz="8" w:color="auto"/>
              <w:right w:val="single" w:sz="8" w:color="CFF0FC"/>
            </w:tcBorders>
            <w:shd w:val="clear" w:color="auto" w:fill="CFF0FC"/>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440" w:type="dxa"/>
            <w:vAlign w:val="bottom"/>
          </w:tcPr>
          <w:p>
            <w:pPr>
              <w:ind w:left="160"/>
              <w:spacing w:after="0"/>
              <w:rPr>
                <w:sz w:val="20"/>
                <w:szCs w:val="20"/>
                <w:color w:val="auto"/>
              </w:rPr>
            </w:pPr>
            <w:r>
              <w:rPr>
                <w:rFonts w:ascii="Arial" w:cs="Arial" w:eastAsia="Arial" w:hAnsi="Arial"/>
                <w:sz w:val="12"/>
                <w:szCs w:val="12"/>
                <w:color w:val="auto"/>
              </w:rPr>
              <w:t>Selling and marketing</w:t>
            </w:r>
          </w:p>
        </w:tc>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59.4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38.8</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4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General and administrative</w:t>
            </w:r>
          </w:p>
        </w:tc>
        <w:tc>
          <w:tcPr>
            <w:tcW w:w="19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97.7</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0" w:type="dxa"/>
            <w:vAlign w:val="bottom"/>
            <w:tcBorders>
              <w:left w:val="single" w:sz="8" w:color="CFF0FC"/>
            </w:tcBorders>
            <w:shd w:val="clear" w:color="auto" w:fill="CFF0FC"/>
          </w:tcPr>
          <w:p>
            <w:pPr>
              <w:spacing w:after="0"/>
              <w:rPr>
                <w:sz w:val="13"/>
                <w:szCs w:val="13"/>
                <w:color w:val="auto"/>
              </w:rPr>
            </w:pPr>
          </w:p>
        </w:tc>
        <w:tc>
          <w:tcPr>
            <w:tcW w:w="800" w:type="dxa"/>
            <w:vAlign w:val="bottom"/>
            <w:tcBorders>
              <w:right w:val="single" w:sz="8" w:color="CFF0FC"/>
            </w:tcBorders>
            <w:shd w:val="clear" w:color="auto" w:fill="CFF0FC"/>
          </w:tcPr>
          <w:p>
            <w:pPr>
              <w:jc w:val="right"/>
              <w:ind w:right="61"/>
              <w:spacing w:after="0"/>
              <w:rPr>
                <w:sz w:val="20"/>
                <w:szCs w:val="20"/>
                <w:color w:val="auto"/>
              </w:rPr>
            </w:pPr>
            <w:r>
              <w:rPr>
                <w:rFonts w:ascii="Arial" w:cs="Arial" w:eastAsia="Arial" w:hAnsi="Arial"/>
                <w:sz w:val="12"/>
                <w:szCs w:val="12"/>
                <w:color w:val="auto"/>
              </w:rPr>
              <w:t>33.9</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440" w:type="dxa"/>
            <w:vAlign w:val="bottom"/>
          </w:tcPr>
          <w:p>
            <w:pPr>
              <w:ind w:left="160"/>
              <w:spacing w:after="0"/>
              <w:rPr>
                <w:sz w:val="20"/>
                <w:szCs w:val="20"/>
                <w:color w:val="auto"/>
              </w:rPr>
            </w:pPr>
            <w:r>
              <w:rPr>
                <w:rFonts w:ascii="Arial" w:cs="Arial" w:eastAsia="Arial" w:hAnsi="Arial"/>
                <w:sz w:val="12"/>
                <w:szCs w:val="12"/>
                <w:color w:val="auto"/>
              </w:rPr>
              <w:t>Research and development</w:t>
            </w:r>
          </w:p>
        </w:tc>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18.1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8.4</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4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Goodwill impairment</w:t>
            </w:r>
          </w:p>
        </w:tc>
        <w:tc>
          <w:tcPr>
            <w:tcW w:w="19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189.2</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0" w:type="dxa"/>
            <w:vAlign w:val="bottom"/>
            <w:tcBorders>
              <w:left w:val="single" w:sz="8" w:color="CFF0FC"/>
            </w:tcBorders>
            <w:shd w:val="clear" w:color="auto" w:fill="CFF0FC"/>
          </w:tcPr>
          <w:p>
            <w:pPr>
              <w:spacing w:after="0"/>
              <w:rPr>
                <w:sz w:val="13"/>
                <w:szCs w:val="13"/>
                <w:color w:val="auto"/>
              </w:rPr>
            </w:pPr>
          </w:p>
        </w:tc>
        <w:tc>
          <w:tcPr>
            <w:tcW w:w="800" w:type="dxa"/>
            <w:vAlign w:val="bottom"/>
            <w:tcBorders>
              <w:right w:val="single" w:sz="8" w:color="CFF0FC"/>
            </w:tcBorders>
            <w:shd w:val="clear" w:color="auto" w:fill="CFF0FC"/>
          </w:tcPr>
          <w:p>
            <w:pPr>
              <w:jc w:val="right"/>
              <w:ind w:right="61"/>
              <w:spacing w:after="0"/>
              <w:rPr>
                <w:sz w:val="20"/>
                <w:szCs w:val="20"/>
                <w:color w:val="auto"/>
              </w:rPr>
            </w:pPr>
            <w:r>
              <w:rPr>
                <w:rFonts w:ascii="Arial" w:cs="Arial" w:eastAsia="Arial" w:hAnsi="Arial"/>
                <w:sz w:val="12"/>
                <w:szCs w:val="12"/>
                <w:color w:val="auto"/>
              </w:rPr>
              <w:t>—</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40" w:type="dxa"/>
            <w:vAlign w:val="bottom"/>
            <w:gridSpan w:val="2"/>
          </w:tcPr>
          <w:p>
            <w:pPr>
              <w:ind w:left="1680"/>
              <w:spacing w:after="0"/>
              <w:rPr>
                <w:sz w:val="20"/>
                <w:szCs w:val="20"/>
                <w:color w:val="auto"/>
              </w:rPr>
            </w:pPr>
            <w:r>
              <w:rPr>
                <w:rFonts w:ascii="Arial" w:cs="Arial" w:eastAsia="Arial" w:hAnsi="Arial"/>
                <w:sz w:val="12"/>
                <w:szCs w:val="12"/>
                <w:color w:val="auto"/>
              </w:rPr>
              <w:t>Total operating expenses</w:t>
            </w:r>
          </w:p>
        </w:tc>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364.4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81.1</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2"/>
                <w:szCs w:val="12"/>
                <w:color w:val="auto"/>
              </w:rPr>
              <w:t>Loss from operations</w:t>
            </w:r>
          </w:p>
        </w:tc>
        <w:tc>
          <w:tcPr>
            <w:tcW w:w="19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(300.4)</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0" w:type="dxa"/>
            <w:vAlign w:val="bottom"/>
            <w:tcBorders>
              <w:left w:val="single" w:sz="8" w:color="CFF0FC"/>
            </w:tcBorders>
            <w:shd w:val="clear" w:color="auto" w:fill="CFF0FC"/>
          </w:tcPr>
          <w:p>
            <w:pPr>
              <w:spacing w:after="0"/>
              <w:rPr>
                <w:sz w:val="13"/>
                <w:szCs w:val="13"/>
                <w:color w:val="auto"/>
              </w:rPr>
            </w:pPr>
          </w:p>
        </w:tc>
        <w:tc>
          <w:tcPr>
            <w:tcW w:w="800" w:type="dxa"/>
            <w:vAlign w:val="bottom"/>
            <w:tcBorders>
              <w:right w:val="single" w:sz="8" w:color="CFF0FC"/>
            </w:tcBorders>
            <w:shd w:val="clear" w:color="auto" w:fill="CFF0FC"/>
          </w:tcPr>
          <w:p>
            <w:pPr>
              <w:jc w:val="right"/>
              <w:ind w:right="21"/>
              <w:spacing w:after="0"/>
              <w:rPr>
                <w:sz w:val="20"/>
                <w:szCs w:val="20"/>
                <w:color w:val="auto"/>
              </w:rPr>
            </w:pPr>
            <w:r>
              <w:rPr>
                <w:rFonts w:ascii="Arial" w:cs="Arial" w:eastAsia="Arial" w:hAnsi="Arial"/>
                <w:sz w:val="12"/>
                <w:szCs w:val="12"/>
                <w:color w:val="auto"/>
              </w:rPr>
              <w:t>(7.6)</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40" w:type="dxa"/>
            <w:vAlign w:val="bottom"/>
            <w:gridSpan w:val="2"/>
          </w:tcPr>
          <w:p>
            <w:pPr>
              <w:ind w:left="1680"/>
              <w:spacing w:after="0"/>
              <w:rPr>
                <w:sz w:val="20"/>
                <w:szCs w:val="20"/>
                <w:color w:val="auto"/>
              </w:rPr>
            </w:pPr>
            <w:r>
              <w:rPr>
                <w:rFonts w:ascii="Arial" w:cs="Arial" w:eastAsia="Arial" w:hAnsi="Arial"/>
                <w:sz w:val="12"/>
                <w:szCs w:val="12"/>
                <w:color w:val="auto"/>
              </w:rPr>
              <w:t>Foreign exchange loss</w:t>
            </w:r>
          </w:p>
        </w:tc>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29.5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2.8</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2"/>
                <w:szCs w:val="12"/>
                <w:color w:val="auto"/>
              </w:rPr>
              <w:t>Finance expenses</w:t>
            </w:r>
          </w:p>
        </w:tc>
        <w:tc>
          <w:tcPr>
            <w:tcW w:w="19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15.5</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0" w:type="dxa"/>
            <w:vAlign w:val="bottom"/>
            <w:tcBorders>
              <w:left w:val="single" w:sz="8" w:color="CFF0FC"/>
              <w:bottom w:val="single" w:sz="8" w:color="auto"/>
            </w:tcBorders>
            <w:shd w:val="clear" w:color="auto" w:fill="CFF0FC"/>
          </w:tcPr>
          <w:p>
            <w:pPr>
              <w:spacing w:after="0"/>
              <w:rPr>
                <w:sz w:val="13"/>
                <w:szCs w:val="13"/>
                <w:color w:val="auto"/>
              </w:rPr>
            </w:pPr>
          </w:p>
        </w:tc>
        <w:tc>
          <w:tcPr>
            <w:tcW w:w="800" w:type="dxa"/>
            <w:vAlign w:val="bottom"/>
            <w:tcBorders>
              <w:bottom w:val="single" w:sz="8" w:color="auto"/>
              <w:right w:val="single" w:sz="8" w:color="CFF0FC"/>
            </w:tcBorders>
            <w:shd w:val="clear" w:color="auto" w:fill="CFF0FC"/>
          </w:tcPr>
          <w:p>
            <w:pPr>
              <w:jc w:val="right"/>
              <w:ind w:right="61"/>
              <w:spacing w:after="0"/>
              <w:rPr>
                <w:sz w:val="20"/>
                <w:szCs w:val="20"/>
                <w:color w:val="auto"/>
              </w:rPr>
            </w:pPr>
            <w:r>
              <w:rPr>
                <w:rFonts w:ascii="Arial" w:cs="Arial" w:eastAsia="Arial" w:hAnsi="Arial"/>
                <w:sz w:val="12"/>
                <w:szCs w:val="12"/>
                <w:color w:val="auto"/>
              </w:rPr>
              <w:t>6.7</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40" w:type="dxa"/>
            <w:vAlign w:val="bottom"/>
            <w:gridSpan w:val="2"/>
          </w:tcPr>
          <w:p>
            <w:pPr>
              <w:ind w:left="1680"/>
              <w:spacing w:after="0"/>
              <w:rPr>
                <w:sz w:val="20"/>
                <w:szCs w:val="20"/>
                <w:color w:val="auto"/>
              </w:rPr>
            </w:pPr>
            <w:r>
              <w:rPr>
                <w:rFonts w:ascii="Arial" w:cs="Arial" w:eastAsia="Arial" w:hAnsi="Arial"/>
                <w:sz w:val="12"/>
                <w:szCs w:val="12"/>
                <w:color w:val="auto"/>
              </w:rPr>
              <w:t>Loss before income taxes</w:t>
            </w: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2"/>
                <w:szCs w:val="12"/>
                <w:color w:val="auto"/>
              </w:rPr>
              <w:t>(345.4)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(17.2)</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0"/>
        </w:trPr>
        <w:tc>
          <w:tcPr>
            <w:tcW w:w="5140" w:type="dxa"/>
            <w:vAlign w:val="bottom"/>
            <w:gridSpan w:val="2"/>
          </w:tcPr>
          <w:p>
            <w:pPr>
              <w:spacing w:after="0"/>
              <w:rPr>
                <w:sz w:val="20"/>
                <w:szCs w:val="20"/>
                <w:color w:val="auto"/>
              </w:rPr>
            </w:pPr>
            <w:r>
              <w:rPr>
                <w:rFonts w:ascii="Arial" w:cs="Arial" w:eastAsia="Arial" w:hAnsi="Arial"/>
                <w:sz w:val="12"/>
                <w:szCs w:val="12"/>
                <w:color w:val="auto"/>
                <w:w w:val="99"/>
              </w:rPr>
              <w:t>The following tables set forth our revenue by region and by product type for the periods indicated:</w:t>
            </w:r>
          </w:p>
        </w:tc>
        <w:tc>
          <w:tcPr>
            <w:tcW w:w="19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5"/>
          </w:tcPr>
          <w:p>
            <w:pPr>
              <w:jc w:val="center"/>
              <w:ind w:left="462"/>
              <w:spacing w:after="0"/>
              <w:rPr>
                <w:sz w:val="20"/>
                <w:szCs w:val="20"/>
                <w:color w:val="auto"/>
              </w:rPr>
            </w:pPr>
            <w:r>
              <w:rPr>
                <w:rFonts w:ascii="Arial" w:cs="Arial" w:eastAsia="Arial" w:hAnsi="Arial"/>
                <w:sz w:val="10"/>
                <w:szCs w:val="10"/>
                <w:b w:val="1"/>
                <w:bCs w:val="1"/>
                <w:color w:val="auto"/>
                <w:w w:val="88"/>
              </w:rPr>
              <w:t>Three Months</w:t>
            </w:r>
          </w:p>
        </w:tc>
        <w:tc>
          <w:tcPr>
            <w:tcW w:w="8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170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gridSpan w:val="5"/>
          </w:tcPr>
          <w:p>
            <w:pPr>
              <w:jc w:val="center"/>
              <w:ind w:left="442"/>
              <w:spacing w:after="0" w:line="114" w:lineRule="exact"/>
              <w:rPr>
                <w:sz w:val="20"/>
                <w:szCs w:val="20"/>
                <w:color w:val="auto"/>
              </w:rPr>
            </w:pPr>
            <w:r>
              <w:rPr>
                <w:rFonts w:ascii="Arial" w:cs="Arial" w:eastAsia="Arial" w:hAnsi="Arial"/>
                <w:sz w:val="10"/>
                <w:szCs w:val="10"/>
                <w:b w:val="1"/>
                <w:bCs w:val="1"/>
                <w:color w:val="auto"/>
                <w:w w:val="88"/>
              </w:rPr>
              <w:t>Ended March 31</w:t>
            </w:r>
          </w:p>
        </w:tc>
        <w:tc>
          <w:tcPr>
            <w:tcW w:w="800" w:type="dxa"/>
            <w:vAlign w:val="bottom"/>
            <w:tcBorders>
              <w:bottom w:val="single" w:sz="8" w:color="auto"/>
            </w:tcBorders>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7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322"/>
              <w:spacing w:after="0" w:line="97"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461"/>
              <w:spacing w:after="0" w:line="97" w:lineRule="exact"/>
              <w:rPr>
                <w:sz w:val="20"/>
                <w:szCs w:val="20"/>
                <w:color w:val="auto"/>
              </w:rPr>
            </w:pPr>
            <w:r>
              <w:rPr>
                <w:rFonts w:ascii="Arial" w:cs="Arial" w:eastAsia="Arial" w:hAnsi="Arial"/>
                <w:sz w:val="10"/>
                <w:szCs w:val="10"/>
                <w:b w:val="1"/>
                <w:bCs w:val="1"/>
                <w:color w:val="auto"/>
              </w:rPr>
              <w:t>2019</w:t>
            </w: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7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60" w:type="dxa"/>
            <w:vAlign w:val="bottom"/>
            <w:gridSpan w:val="5"/>
          </w:tcPr>
          <w:p>
            <w:pPr>
              <w:jc w:val="center"/>
              <w:ind w:left="462"/>
              <w:spacing w:after="0" w:line="97" w:lineRule="exact"/>
              <w:rPr>
                <w:sz w:val="20"/>
                <w:szCs w:val="20"/>
                <w:color w:val="auto"/>
              </w:rPr>
            </w:pPr>
            <w:r>
              <w:rPr>
                <w:rFonts w:ascii="Arial" w:cs="Arial" w:eastAsia="Arial" w:hAnsi="Arial"/>
                <w:sz w:val="10"/>
                <w:szCs w:val="10"/>
                <w:b w:val="1"/>
                <w:bCs w:val="1"/>
                <w:i w:val="1"/>
                <w:iCs w:val="1"/>
                <w:color w:val="auto"/>
                <w:w w:val="82"/>
              </w:rPr>
              <w:t>(dollars in thousands)</w:t>
            </w:r>
          </w:p>
        </w:tc>
        <w:tc>
          <w:tcPr>
            <w:tcW w:w="8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Revenues by region:</w:t>
            </w:r>
          </w:p>
        </w:tc>
        <w:tc>
          <w:tcPr>
            <w:tcW w:w="19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0" w:type="dxa"/>
            <w:vAlign w:val="bottom"/>
            <w:tcBorders>
              <w:left w:val="single" w:sz="8" w:color="CFF0FC"/>
            </w:tcBorders>
            <w:shd w:val="clear" w:color="auto" w:fill="CFF0FC"/>
          </w:tcPr>
          <w:p>
            <w:pPr>
              <w:spacing w:after="0"/>
              <w:rPr>
                <w:sz w:val="13"/>
                <w:szCs w:val="13"/>
                <w:color w:val="auto"/>
              </w:rPr>
            </w:pPr>
          </w:p>
        </w:tc>
        <w:tc>
          <w:tcPr>
            <w:tcW w:w="800" w:type="dxa"/>
            <w:vAlign w:val="bottom"/>
            <w:tcBorders>
              <w:right w:val="single" w:sz="8" w:color="CFF0FC"/>
            </w:tcBorders>
            <w:shd w:val="clear" w:color="auto" w:fill="CFF0FC"/>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40" w:type="dxa"/>
            <w:vAlign w:val="bottom"/>
            <w:gridSpan w:val="2"/>
          </w:tcPr>
          <w:p>
            <w:pPr>
              <w:ind w:left="1680"/>
              <w:spacing w:after="0"/>
              <w:rPr>
                <w:sz w:val="20"/>
                <w:szCs w:val="20"/>
                <w:color w:val="auto"/>
              </w:rPr>
            </w:pPr>
            <w:r>
              <w:rPr>
                <w:rFonts w:ascii="Arial" w:cs="Arial" w:eastAsia="Arial" w:hAnsi="Arial"/>
                <w:sz w:val="12"/>
                <w:szCs w:val="12"/>
                <w:color w:val="auto"/>
              </w:rPr>
              <w:t>United States</w:t>
            </w:r>
          </w:p>
        </w:tc>
        <w:tc>
          <w:tcPr>
            <w:tcW w:w="220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5,640</w:t>
            </w:r>
          </w:p>
        </w:tc>
        <w:tc>
          <w:tcPr>
            <w:tcW w:w="100" w:type="dxa"/>
            <w:vAlign w:val="bottom"/>
          </w:tcPr>
          <w:p>
            <w:pPr>
              <w:spacing w:after="0"/>
              <w:rPr>
                <w:sz w:val="13"/>
                <w:szCs w:val="13"/>
                <w:color w:val="auto"/>
              </w:rPr>
            </w:pPr>
          </w:p>
        </w:tc>
        <w:tc>
          <w:tcPr>
            <w:tcW w:w="480" w:type="dxa"/>
            <w:vAlign w:val="bottom"/>
            <w:gridSpan w:val="2"/>
          </w:tcPr>
          <w:p>
            <w:pPr>
              <w:jc w:val="right"/>
              <w:ind w:right="27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9,539</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2"/>
                <w:szCs w:val="12"/>
                <w:color w:val="auto"/>
              </w:rPr>
              <w:t>International</w:t>
            </w:r>
          </w:p>
        </w:tc>
        <w:tc>
          <w:tcPr>
            <w:tcW w:w="19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8,868</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0" w:type="dxa"/>
            <w:vAlign w:val="bottom"/>
            <w:tcBorders>
              <w:left w:val="single" w:sz="8" w:color="CFF0FC"/>
              <w:bottom w:val="single" w:sz="8" w:color="auto"/>
            </w:tcBorders>
            <w:shd w:val="clear" w:color="auto" w:fill="CFF0FC"/>
          </w:tcPr>
          <w:p>
            <w:pPr>
              <w:spacing w:after="0"/>
              <w:rPr>
                <w:sz w:val="13"/>
                <w:szCs w:val="13"/>
                <w:color w:val="auto"/>
              </w:rPr>
            </w:pPr>
          </w:p>
        </w:tc>
        <w:tc>
          <w:tcPr>
            <w:tcW w:w="800" w:type="dxa"/>
            <w:vAlign w:val="bottom"/>
            <w:tcBorders>
              <w:bottom w:val="single" w:sz="8" w:color="auto"/>
              <w:right w:val="single" w:sz="8" w:color="CFF0FC"/>
            </w:tcBorders>
            <w:shd w:val="clear" w:color="auto" w:fill="CFF0FC"/>
          </w:tcPr>
          <w:p>
            <w:pPr>
              <w:jc w:val="right"/>
              <w:ind w:right="21"/>
              <w:spacing w:after="0"/>
              <w:rPr>
                <w:sz w:val="20"/>
                <w:szCs w:val="20"/>
                <w:color w:val="auto"/>
              </w:rPr>
            </w:pPr>
            <w:r>
              <w:rPr>
                <w:rFonts w:ascii="Arial" w:cs="Arial" w:eastAsia="Arial" w:hAnsi="Arial"/>
                <w:sz w:val="12"/>
                <w:szCs w:val="12"/>
                <w:color w:val="auto"/>
              </w:rPr>
              <w:t>15,041</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440" w:type="dxa"/>
            <w:vAlign w:val="bottom"/>
          </w:tcPr>
          <w:p>
            <w:pPr>
              <w:ind w:left="80"/>
              <w:spacing w:after="0"/>
              <w:rPr>
                <w:sz w:val="20"/>
                <w:szCs w:val="20"/>
                <w:color w:val="auto"/>
              </w:rPr>
            </w:pPr>
            <w:r>
              <w:rPr>
                <w:rFonts w:ascii="Arial" w:cs="Arial" w:eastAsia="Arial" w:hAnsi="Arial"/>
                <w:sz w:val="12"/>
                <w:szCs w:val="12"/>
                <w:color w:val="auto"/>
              </w:rPr>
              <w:t>Total revenue</w:t>
            </w:r>
          </w:p>
        </w:tc>
        <w:tc>
          <w:tcPr>
            <w:tcW w:w="220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14,508</w:t>
            </w:r>
          </w:p>
        </w:tc>
        <w:tc>
          <w:tcPr>
            <w:tcW w:w="100" w:type="dxa"/>
            <w:vAlign w:val="bottom"/>
          </w:tcPr>
          <w:p>
            <w:pPr>
              <w:spacing w:after="0"/>
              <w:rPr>
                <w:sz w:val="12"/>
                <w:szCs w:val="12"/>
                <w:color w:val="auto"/>
              </w:rPr>
            </w:pPr>
          </w:p>
        </w:tc>
        <w:tc>
          <w:tcPr>
            <w:tcW w:w="480" w:type="dxa"/>
            <w:vAlign w:val="bottom"/>
            <w:gridSpan w:val="2"/>
          </w:tcPr>
          <w:p>
            <w:pPr>
              <w:jc w:val="right"/>
              <w:ind w:right="27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24,580</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17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920" w:type="dxa"/>
            <w:vAlign w:val="bottom"/>
          </w:tcPr>
          <w:p>
            <w:pPr>
              <w:jc w:val="right"/>
              <w:ind w:right="1300"/>
              <w:spacing w:after="0"/>
              <w:rPr>
                <w:sz w:val="20"/>
                <w:szCs w:val="20"/>
                <w:color w:val="auto"/>
              </w:rPr>
            </w:pPr>
            <w:r>
              <w:rPr>
                <w:rFonts w:ascii="Arial" w:cs="Arial" w:eastAsia="Arial" w:hAnsi="Arial"/>
                <w:sz w:val="12"/>
                <w:szCs w:val="12"/>
                <w:color w:val="auto"/>
              </w:rPr>
              <w:t>34</w:t>
            </w: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700" w:type="dxa"/>
            <w:vAlign w:val="bottom"/>
            <w:tcBorders>
              <w:bottom w:val="single" w:sz="8" w:color="9A9A9A"/>
            </w:tcBorders>
          </w:tcPr>
          <w:p>
            <w:pPr>
              <w:spacing w:after="0"/>
              <w:rPr>
                <w:sz w:val="6"/>
                <w:szCs w:val="6"/>
                <w:color w:val="auto"/>
              </w:rPr>
            </w:pPr>
          </w:p>
        </w:tc>
        <w:tc>
          <w:tcPr>
            <w:tcW w:w="3440" w:type="dxa"/>
            <w:vAlign w:val="bottom"/>
            <w:tcBorders>
              <w:bottom w:val="single" w:sz="8" w:color="9A9A9A"/>
            </w:tcBorders>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71" w:right="279" w:bottom="1440" w:gutter="0" w:footer="0" w:header="0"/>
        </w:sectPr>
      </w:pPr>
    </w:p>
    <w:bookmarkStart w:id="35" w:name="page36"/>
    <w:bookmarkEnd w:id="35"/>
    <w:p>
      <w:pPr>
        <w:jc w:val="center"/>
        <w:ind w:left="5340"/>
        <w:spacing w:after="0"/>
        <w:rPr>
          <w:sz w:val="20"/>
          <w:szCs w:val="20"/>
          <w:color w:val="auto"/>
        </w:rPr>
      </w:pPr>
      <w:r>
        <w:rPr>
          <w:rFonts w:ascii="Arial" w:cs="Arial" w:eastAsia="Arial" w:hAnsi="Arial"/>
          <w:sz w:val="10"/>
          <w:szCs w:val="10"/>
          <w:b w:val="1"/>
          <w:bCs w:val="1"/>
          <w:color w:val="auto"/>
        </w:rPr>
        <w:t>Three Months</w:t>
      </w:r>
    </w:p>
    <w:p>
      <w:pPr>
        <w:jc w:val="center"/>
        <w:ind w:left="5340"/>
        <w:spacing w:after="0" w:line="215" w:lineRule="auto"/>
        <w:rPr>
          <w:sz w:val="20"/>
          <w:szCs w:val="20"/>
          <w:color w:val="auto"/>
        </w:rPr>
      </w:pPr>
      <w:r>
        <w:rPr>
          <w:rFonts w:ascii="Arial" w:cs="Arial" w:eastAsia="Arial" w:hAnsi="Arial"/>
          <w:sz w:val="10"/>
          <w:szCs w:val="10"/>
          <w:b w:val="1"/>
          <w:bCs w:val="1"/>
          <w:color w:val="auto"/>
        </w:rPr>
        <w:t>Ended March 31</w:t>
      </w:r>
    </w:p>
    <w:tbl>
      <w:tblPr>
        <w:tblLayout w:type="fixed"/>
        <w:tblInd w:w="1688" w:type="dxa"/>
        <w:tblCellMar>
          <w:top w:w="0" w:type="dxa"/>
          <w:left w:w="0" w:type="dxa"/>
          <w:bottom w:w="0" w:type="dxa"/>
          <w:right w:w="0" w:type="dxa"/>
        </w:tblCellMar>
      </w:tblPr>
      <w:tr>
        <w:trPr>
          <w:trHeight w:val="97"/>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680" w:type="dxa"/>
            <w:vAlign w:val="bottom"/>
            <w:tcBorders>
              <w:top w:val="single" w:sz="8" w:color="auto"/>
              <w:bottom w:val="single" w:sz="8" w:color="auto"/>
            </w:tcBorders>
          </w:tcPr>
          <w:p>
            <w:pPr>
              <w:jc w:val="right"/>
              <w:ind w:right="12"/>
              <w:spacing w:after="0" w:line="97" w:lineRule="exact"/>
              <w:rPr>
                <w:sz w:val="20"/>
                <w:szCs w:val="20"/>
                <w:color w:val="auto"/>
              </w:rPr>
            </w:pPr>
            <w:r>
              <w:rPr>
                <w:rFonts w:ascii="Arial" w:cs="Arial" w:eastAsia="Arial" w:hAnsi="Arial"/>
                <w:sz w:val="10"/>
                <w:szCs w:val="10"/>
                <w:b w:val="1"/>
                <w:bCs w:val="1"/>
                <w:color w:val="auto"/>
              </w:rPr>
              <w:t>2020</w:t>
            </w:r>
          </w:p>
        </w:tc>
        <w:tc>
          <w:tcPr>
            <w:tcW w:w="400" w:type="dxa"/>
            <w:vAlign w:val="bottom"/>
            <w:tcBorders>
              <w:top w:val="single" w:sz="8" w:color="auto"/>
              <w:bottom w:val="single" w:sz="8" w:color="auto"/>
            </w:tcBorders>
          </w:tcPr>
          <w:p>
            <w:pPr>
              <w:spacing w:after="0"/>
              <w:rPr>
                <w:sz w:val="8"/>
                <w:szCs w:val="8"/>
                <w:color w:val="auto"/>
              </w:rPr>
            </w:pPr>
          </w:p>
        </w:tc>
        <w:tc>
          <w:tcPr>
            <w:tcW w:w="22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spacing w:after="0"/>
              <w:rPr>
                <w:sz w:val="8"/>
                <w:szCs w:val="8"/>
                <w:color w:val="auto"/>
              </w:rPr>
            </w:pPr>
          </w:p>
        </w:tc>
        <w:tc>
          <w:tcPr>
            <w:tcW w:w="720" w:type="dxa"/>
            <w:vAlign w:val="bottom"/>
            <w:tcBorders>
              <w:top w:val="single" w:sz="8" w:color="auto"/>
              <w:bottom w:val="single" w:sz="8" w:color="auto"/>
            </w:tcBorders>
          </w:tcPr>
          <w:p>
            <w:pPr>
              <w:jc w:val="right"/>
              <w:ind w:right="402"/>
              <w:spacing w:after="0" w:line="97" w:lineRule="exact"/>
              <w:rPr>
                <w:sz w:val="20"/>
                <w:szCs w:val="20"/>
                <w:color w:val="auto"/>
              </w:rPr>
            </w:pPr>
            <w:r>
              <w:rPr>
                <w:rFonts w:ascii="Arial" w:cs="Arial" w:eastAsia="Arial" w:hAnsi="Arial"/>
                <w:sz w:val="10"/>
                <w:szCs w:val="10"/>
                <w:b w:val="1"/>
                <w:bCs w:val="1"/>
                <w:color w:val="auto"/>
              </w:rPr>
              <w:t>2019</w:t>
            </w:r>
          </w:p>
        </w:tc>
        <w:tc>
          <w:tcPr>
            <w:tcW w:w="60" w:type="dxa"/>
            <w:vAlign w:val="bottom"/>
          </w:tcPr>
          <w:p>
            <w:pPr>
              <w:spacing w:after="0"/>
              <w:rPr>
                <w:sz w:val="8"/>
                <w:szCs w:val="8"/>
                <w:color w:val="auto"/>
              </w:rPr>
            </w:pPr>
          </w:p>
        </w:tc>
      </w:tr>
      <w:tr>
        <w:trPr>
          <w:trHeight w:val="97"/>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gridSpan w:val="3"/>
          </w:tcPr>
          <w:p>
            <w:pPr>
              <w:jc w:val="right"/>
              <w:ind w:right="36"/>
              <w:spacing w:after="0" w:line="97" w:lineRule="exact"/>
              <w:rPr>
                <w:sz w:val="20"/>
                <w:szCs w:val="20"/>
                <w:color w:val="auto"/>
              </w:rPr>
            </w:pPr>
            <w:r>
              <w:rPr>
                <w:rFonts w:ascii="Arial" w:cs="Arial" w:eastAsia="Arial" w:hAnsi="Arial"/>
                <w:sz w:val="10"/>
                <w:szCs w:val="10"/>
                <w:b w:val="1"/>
                <w:bCs w:val="1"/>
                <w:i w:val="1"/>
                <w:iCs w:val="1"/>
                <w:color w:val="auto"/>
                <w:w w:val="88"/>
              </w:rPr>
              <w:t>(dollars in thousands)</w:t>
            </w: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53"/>
        </w:trPr>
        <w:tc>
          <w:tcPr>
            <w:tcW w:w="20" w:type="dxa"/>
            <w:vAlign w:val="bottom"/>
          </w:tcPr>
          <w:p>
            <w:pPr>
              <w:spacing w:after="0"/>
              <w:rPr>
                <w:sz w:val="13"/>
                <w:szCs w:val="13"/>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Revenues by product:</w:t>
            </w:r>
          </w:p>
        </w:tc>
        <w:tc>
          <w:tcPr>
            <w:tcW w:w="2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53"/>
        </w:trPr>
        <w:tc>
          <w:tcPr>
            <w:tcW w:w="3300" w:type="dxa"/>
            <w:vAlign w:val="bottom"/>
            <w:gridSpan w:val="2"/>
          </w:tcPr>
          <w:p>
            <w:pPr>
              <w:spacing w:after="0"/>
              <w:rPr>
                <w:sz w:val="20"/>
                <w:szCs w:val="20"/>
                <w:color w:val="auto"/>
              </w:rPr>
            </w:pPr>
            <w:r>
              <w:rPr>
                <w:rFonts w:ascii="Arial" w:cs="Arial" w:eastAsia="Arial" w:hAnsi="Arial"/>
                <w:sz w:val="12"/>
                <w:szCs w:val="12"/>
                <w:color w:val="auto"/>
              </w:rPr>
              <w:t>Subscription—Systems</w:t>
            </w:r>
          </w:p>
        </w:tc>
        <w:tc>
          <w:tcPr>
            <w:tcW w:w="2840" w:type="dxa"/>
            <w:vAlign w:val="bottom"/>
            <w:gridSpan w:val="2"/>
          </w:tcPr>
          <w:p>
            <w:pPr>
              <w:jc w:val="right"/>
              <w:ind w:right="572"/>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6,813</w:t>
            </w:r>
          </w:p>
        </w:tc>
        <w:tc>
          <w:tcPr>
            <w:tcW w:w="220" w:type="dxa"/>
            <w:vAlign w:val="bottom"/>
          </w:tcPr>
          <w:p>
            <w:pPr>
              <w:spacing w:after="0"/>
              <w:rPr>
                <w:sz w:val="13"/>
                <w:szCs w:val="13"/>
                <w:color w:val="auto"/>
              </w:rPr>
            </w:pPr>
          </w:p>
        </w:tc>
        <w:tc>
          <w:tcPr>
            <w:tcW w:w="380" w:type="dxa"/>
            <w:vAlign w:val="bottom"/>
          </w:tcPr>
          <w:p>
            <w:pPr>
              <w:jc w:val="right"/>
              <w:ind w:right="316"/>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15,742</w:t>
            </w:r>
          </w:p>
        </w:tc>
        <w:tc>
          <w:tcPr>
            <w:tcW w:w="6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2"/>
                <w:szCs w:val="12"/>
                <w:color w:val="auto"/>
              </w:rPr>
              <w:t>Products—Systems</w:t>
            </w:r>
          </w:p>
        </w:tc>
        <w:tc>
          <w:tcPr>
            <w:tcW w:w="2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3,498</w:t>
            </w:r>
          </w:p>
        </w:tc>
        <w:tc>
          <w:tcPr>
            <w:tcW w:w="220" w:type="dxa"/>
            <w:vAlign w:val="bottom"/>
            <w:tcBorders>
              <w:right w:val="single" w:sz="8" w:color="CFF0FC"/>
            </w:tcBorders>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6,315</w:t>
            </w:r>
          </w:p>
        </w:tc>
        <w:tc>
          <w:tcPr>
            <w:tcW w:w="60" w:type="dxa"/>
            <w:vAlign w:val="bottom"/>
            <w:shd w:val="clear" w:color="auto" w:fill="CFF0FC"/>
          </w:tcPr>
          <w:p>
            <w:pPr>
              <w:spacing w:after="0"/>
              <w:rPr>
                <w:sz w:val="13"/>
                <w:szCs w:val="13"/>
                <w:color w:val="auto"/>
              </w:rPr>
            </w:pPr>
          </w:p>
        </w:tc>
      </w:tr>
      <w:tr>
        <w:trPr>
          <w:trHeight w:val="153"/>
        </w:trPr>
        <w:tc>
          <w:tcPr>
            <w:tcW w:w="3300" w:type="dxa"/>
            <w:vAlign w:val="bottom"/>
            <w:gridSpan w:val="2"/>
          </w:tcPr>
          <w:p>
            <w:pPr>
              <w:spacing w:after="0"/>
              <w:rPr>
                <w:sz w:val="20"/>
                <w:szCs w:val="20"/>
                <w:color w:val="auto"/>
              </w:rPr>
            </w:pPr>
            <w:r>
              <w:rPr>
                <w:rFonts w:ascii="Arial" w:cs="Arial" w:eastAsia="Arial" w:hAnsi="Arial"/>
                <w:sz w:val="12"/>
                <w:szCs w:val="12"/>
                <w:color w:val="auto"/>
              </w:rPr>
              <w:t>Products—Other (1)</w:t>
            </w:r>
          </w:p>
        </w:tc>
        <w:tc>
          <w:tcPr>
            <w:tcW w:w="2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1,510</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1,328</w:t>
            </w:r>
          </w:p>
        </w:tc>
        <w:tc>
          <w:tcPr>
            <w:tcW w:w="6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2"/>
                <w:szCs w:val="12"/>
                <w:color w:val="auto"/>
              </w:rPr>
              <w:t>Services (2)</w:t>
            </w:r>
          </w:p>
        </w:tc>
        <w:tc>
          <w:tcPr>
            <w:tcW w:w="2160" w:type="dxa"/>
            <w:vAlign w:val="bottom"/>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2,687</w:t>
            </w:r>
          </w:p>
        </w:tc>
        <w:tc>
          <w:tcPr>
            <w:tcW w:w="220" w:type="dxa"/>
            <w:vAlign w:val="bottom"/>
            <w:tcBorders>
              <w:right w:val="single" w:sz="8" w:color="CFF0FC"/>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1,195</w:t>
            </w:r>
          </w:p>
        </w:tc>
        <w:tc>
          <w:tcPr>
            <w:tcW w:w="60" w:type="dxa"/>
            <w:vAlign w:val="bottom"/>
            <w:shd w:val="clear" w:color="auto" w:fill="CFF0FC"/>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280" w:type="dxa"/>
            <w:vAlign w:val="bottom"/>
          </w:tcPr>
          <w:p>
            <w:pPr>
              <w:ind w:left="80"/>
              <w:spacing w:after="0"/>
              <w:rPr>
                <w:sz w:val="20"/>
                <w:szCs w:val="20"/>
                <w:color w:val="auto"/>
              </w:rPr>
            </w:pPr>
            <w:r>
              <w:rPr>
                <w:rFonts w:ascii="Arial" w:cs="Arial" w:eastAsia="Arial" w:hAnsi="Arial"/>
                <w:sz w:val="12"/>
                <w:szCs w:val="12"/>
                <w:color w:val="auto"/>
              </w:rPr>
              <w:t>Total revenue</w:t>
            </w:r>
          </w:p>
        </w:tc>
        <w:tc>
          <w:tcPr>
            <w:tcW w:w="2840" w:type="dxa"/>
            <w:vAlign w:val="bottom"/>
            <w:gridSpan w:val="2"/>
          </w:tcPr>
          <w:p>
            <w:pPr>
              <w:jc w:val="right"/>
              <w:ind w:right="572"/>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14,508</w:t>
            </w:r>
          </w:p>
        </w:tc>
        <w:tc>
          <w:tcPr>
            <w:tcW w:w="220" w:type="dxa"/>
            <w:vAlign w:val="bottom"/>
          </w:tcPr>
          <w:p>
            <w:pPr>
              <w:spacing w:after="0"/>
              <w:rPr>
                <w:sz w:val="12"/>
                <w:szCs w:val="12"/>
                <w:color w:val="auto"/>
              </w:rPr>
            </w:pPr>
          </w:p>
        </w:tc>
        <w:tc>
          <w:tcPr>
            <w:tcW w:w="380" w:type="dxa"/>
            <w:vAlign w:val="bottom"/>
          </w:tcPr>
          <w:p>
            <w:pPr>
              <w:jc w:val="right"/>
              <w:ind w:right="316"/>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24,580</w:t>
            </w:r>
          </w:p>
        </w:tc>
        <w:tc>
          <w:tcPr>
            <w:tcW w:w="60" w:type="dxa"/>
            <w:vAlign w:val="bottom"/>
          </w:tcPr>
          <w:p>
            <w:pPr>
              <w:spacing w:after="0"/>
              <w:rPr>
                <w:sz w:val="12"/>
                <w:szCs w:val="12"/>
                <w:color w:val="auto"/>
              </w:rPr>
            </w:pPr>
          </w:p>
        </w:tc>
      </w:tr>
      <w:tr>
        <w:trPr>
          <w:trHeight w:val="27"/>
        </w:trPr>
        <w:tc>
          <w:tcPr>
            <w:tcW w:w="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35" w:lineRule="exact"/>
        <w:rPr>
          <w:sz w:val="20"/>
          <w:szCs w:val="20"/>
          <w:color w:val="auto"/>
        </w:rPr>
      </w:pPr>
    </w:p>
    <w:p>
      <w:pPr>
        <w:ind w:left="368" w:hanging="368"/>
        <w:spacing w:after="0"/>
        <w:tabs>
          <w:tab w:leader="none" w:pos="368" w:val="left"/>
        </w:tabs>
        <w:numPr>
          <w:ilvl w:val="0"/>
          <w:numId w:val="11"/>
        </w:numPr>
        <w:rPr>
          <w:rFonts w:ascii="Arial" w:cs="Arial" w:eastAsia="Arial" w:hAnsi="Arial"/>
          <w:sz w:val="12"/>
          <w:szCs w:val="12"/>
          <w:color w:val="231F20"/>
        </w:rPr>
      </w:pPr>
      <w:r>
        <w:rPr>
          <w:rFonts w:ascii="Arial" w:cs="Arial" w:eastAsia="Arial" w:hAnsi="Arial"/>
          <w:sz w:val="12"/>
          <w:szCs w:val="12"/>
          <w:color w:val="231F20"/>
        </w:rPr>
        <w:t>Products other include ARTAS procedure kits, Venus Concept’s Venus Skin and hair products, and other consumables.</w:t>
      </w:r>
    </w:p>
    <w:p>
      <w:pPr>
        <w:spacing w:after="0" w:line="14" w:lineRule="exact"/>
        <w:rPr>
          <w:rFonts w:ascii="Arial" w:cs="Arial" w:eastAsia="Arial" w:hAnsi="Arial"/>
          <w:sz w:val="12"/>
          <w:szCs w:val="12"/>
          <w:color w:val="231F20"/>
        </w:rPr>
      </w:pPr>
    </w:p>
    <w:p>
      <w:pPr>
        <w:ind w:left="368" w:hanging="368"/>
        <w:spacing w:after="0"/>
        <w:tabs>
          <w:tab w:leader="none" w:pos="368" w:val="left"/>
        </w:tabs>
        <w:numPr>
          <w:ilvl w:val="0"/>
          <w:numId w:val="11"/>
        </w:numPr>
        <w:rPr>
          <w:rFonts w:ascii="Arial" w:cs="Arial" w:eastAsia="Arial" w:hAnsi="Arial"/>
          <w:sz w:val="12"/>
          <w:szCs w:val="12"/>
          <w:color w:val="231F20"/>
        </w:rPr>
      </w:pPr>
      <w:r>
        <w:rPr>
          <w:rFonts w:ascii="Arial" w:cs="Arial" w:eastAsia="Arial" w:hAnsi="Arial"/>
          <w:sz w:val="12"/>
          <w:szCs w:val="12"/>
          <w:color w:val="231F20"/>
        </w:rPr>
        <w:t xml:space="preserve">Services include </w:t>
      </w:r>
      <w:r>
        <w:rPr>
          <w:rFonts w:ascii="Arial" w:cs="Arial" w:eastAsia="Arial" w:hAnsi="Arial"/>
          <w:sz w:val="12"/>
          <w:szCs w:val="12"/>
          <w:color w:val="000000"/>
        </w:rPr>
        <w:t>VeroGrafters</w:t>
      </w:r>
      <w:r>
        <w:rPr>
          <w:rFonts w:ascii="Arial" w:cs="Arial" w:eastAsia="Arial" w:hAnsi="Arial"/>
          <w:sz w:val="12"/>
          <w:szCs w:val="12"/>
          <w:color w:val="3C4043"/>
        </w:rPr>
        <w:t>™</w:t>
      </w:r>
      <w:r>
        <w:rPr>
          <w:rFonts w:ascii="Arial" w:cs="Arial" w:eastAsia="Arial" w:hAnsi="Arial"/>
          <w:sz w:val="12"/>
          <w:szCs w:val="12"/>
          <w:color w:val="231F20"/>
        </w:rPr>
        <w:t xml:space="preserve"> technician services, 2two5 ad agency services and extended warranty sales.</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231F20"/>
        </w:rPr>
        <w:t>Comparison of the Three Months Ended March 31, 2020 and 2019</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Revenues</w:t>
      </w:r>
    </w:p>
    <w:p>
      <w:pPr>
        <w:spacing w:after="0" w:line="197" w:lineRule="exact"/>
        <w:rPr>
          <w:sz w:val="20"/>
          <w:szCs w:val="20"/>
          <w:color w:val="auto"/>
        </w:rPr>
      </w:pPr>
    </w:p>
    <w:tbl>
      <w:tblPr>
        <w:tblLayout w:type="fixed"/>
        <w:tblInd w:w="1688"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0"/>
                <w:szCs w:val="10"/>
                <w:b w:val="1"/>
                <w:bCs w:val="1"/>
                <w:color w:val="auto"/>
                <w:w w:val="97"/>
              </w:rPr>
              <w:t>Three Months March 31,</w:t>
            </w:r>
          </w:p>
        </w:tc>
        <w:tc>
          <w:tcPr>
            <w:tcW w:w="5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3"/>
            <w:vMerge w:val="restart"/>
          </w:tcPr>
          <w:p>
            <w:pPr>
              <w:ind w:left="400"/>
              <w:spacing w:after="0"/>
              <w:rPr>
                <w:sz w:val="20"/>
                <w:szCs w:val="20"/>
                <w:color w:val="auto"/>
              </w:rPr>
            </w:pPr>
            <w:r>
              <w:rPr>
                <w:rFonts w:ascii="Arial" w:cs="Arial" w:eastAsia="Arial" w:hAnsi="Arial"/>
                <w:sz w:val="10"/>
                <w:szCs w:val="10"/>
                <w:b w:val="1"/>
                <w:bCs w:val="1"/>
                <w:color w:val="auto"/>
              </w:rPr>
              <w:t>Change</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3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thousands, except percentages)</w:t>
            </w:r>
          </w:p>
        </w:tc>
        <w:tc>
          <w:tcPr>
            <w:tcW w:w="9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jc w:val="right"/>
              <w:ind w:right="40"/>
              <w:spacing w:after="0" w:line="97" w:lineRule="exact"/>
              <w:rPr>
                <w:sz w:val="20"/>
                <w:szCs w:val="20"/>
                <w:color w:val="auto"/>
              </w:rPr>
            </w:pPr>
            <w:r>
              <w:rPr>
                <w:rFonts w:ascii="Arial" w:cs="Arial" w:eastAsia="Arial" w:hAnsi="Arial"/>
                <w:sz w:val="10"/>
                <w:szCs w:val="10"/>
                <w:b w:val="1"/>
                <w:bCs w:val="1"/>
                <w:color w:val="auto"/>
              </w:rPr>
              <w:t>2020</w:t>
            </w: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jc w:val="right"/>
              <w:ind w:right="40"/>
              <w:spacing w:after="0" w:line="97" w:lineRule="exact"/>
              <w:rPr>
                <w:sz w:val="20"/>
                <w:szCs w:val="20"/>
                <w:color w:val="auto"/>
              </w:rPr>
            </w:pPr>
            <w:r>
              <w:rPr>
                <w:rFonts w:ascii="Arial" w:cs="Arial" w:eastAsia="Arial" w:hAnsi="Arial"/>
                <w:sz w:val="10"/>
                <w:szCs w:val="10"/>
                <w:b w:val="1"/>
                <w:bCs w:val="1"/>
                <w:color w:val="auto"/>
              </w:rPr>
              <w:t>2019</w:t>
            </w: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3"/>
            <w:vMerge w:val="continue"/>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360" w:type="dxa"/>
            <w:vAlign w:val="bottom"/>
            <w:gridSpan w:val="2"/>
            <w:vMerge w:val="continue"/>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jc w:val="right"/>
              <w:ind w:right="243"/>
              <w:spacing w:after="0" w:line="97" w:lineRule="exact"/>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8"/>
                <w:szCs w:val="8"/>
                <w:color w:val="auto"/>
              </w:rPr>
            </w:pPr>
          </w:p>
        </w:tc>
        <w:tc>
          <w:tcPr>
            <w:tcW w:w="580" w:type="dxa"/>
            <w:vAlign w:val="bottom"/>
          </w:tcPr>
          <w:p>
            <w:pPr>
              <w:jc w:val="right"/>
              <w:ind w:right="63"/>
              <w:spacing w:after="0" w:line="97" w:lineRule="exact"/>
              <w:rPr>
                <w:sz w:val="20"/>
                <w:szCs w:val="20"/>
                <w:color w:val="auto"/>
              </w:rPr>
            </w:pPr>
            <w:r>
              <w:rPr>
                <w:rFonts w:ascii="Arial" w:cs="Arial" w:eastAsia="Arial" w:hAnsi="Arial"/>
                <w:sz w:val="10"/>
                <w:szCs w:val="10"/>
                <w:b w:val="1"/>
                <w:bCs w:val="1"/>
                <w:color w:val="auto"/>
                <w:w w:val="91"/>
              </w:rPr>
              <w:t>% of Total</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jc w:val="right"/>
              <w:ind w:right="243"/>
              <w:spacing w:after="0" w:line="97" w:lineRule="exact"/>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8"/>
                <w:szCs w:val="8"/>
                <w:color w:val="auto"/>
              </w:rPr>
            </w:pPr>
          </w:p>
        </w:tc>
        <w:tc>
          <w:tcPr>
            <w:tcW w:w="580" w:type="dxa"/>
            <w:vAlign w:val="bottom"/>
          </w:tcPr>
          <w:p>
            <w:pPr>
              <w:jc w:val="right"/>
              <w:ind w:right="42"/>
              <w:spacing w:after="0" w:line="97" w:lineRule="exact"/>
              <w:rPr>
                <w:sz w:val="20"/>
                <w:szCs w:val="20"/>
                <w:color w:val="auto"/>
              </w:rPr>
            </w:pPr>
            <w:r>
              <w:rPr>
                <w:rFonts w:ascii="Arial" w:cs="Arial" w:eastAsia="Arial" w:hAnsi="Arial"/>
                <w:sz w:val="10"/>
                <w:szCs w:val="10"/>
                <w:b w:val="1"/>
                <w:bCs w:val="1"/>
                <w:color w:val="auto"/>
                <w:w w:val="96"/>
              </w:rPr>
              <w:t>% of Total</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jc w:val="right"/>
              <w:ind w:right="243"/>
              <w:spacing w:after="0" w:line="97" w:lineRule="exact"/>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jc w:val="right"/>
              <w:ind w:right="222"/>
              <w:spacing w:after="0" w:line="97" w:lineRule="exact"/>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20"/>
                <w:szCs w:val="20"/>
                <w:color w:val="auto"/>
              </w:rPr>
            </w:pPr>
            <w:r>
              <w:rPr>
                <w:rFonts w:ascii="Arial" w:cs="Arial" w:eastAsia="Arial" w:hAnsi="Arial"/>
                <w:sz w:val="12"/>
                <w:szCs w:val="12"/>
                <w:color w:val="auto"/>
              </w:rPr>
              <w:t>Revenues:</w:t>
            </w:r>
          </w:p>
        </w:tc>
        <w:tc>
          <w:tcPr>
            <w:tcW w:w="9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00" w:type="dxa"/>
            <w:vAlign w:val="bottom"/>
            <w:tcBorders>
              <w:right w:val="single" w:sz="8" w:color="CFF0FC"/>
            </w:tcBorders>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00" w:type="dxa"/>
            <w:vAlign w:val="bottom"/>
            <w:tcBorders>
              <w:right w:val="single" w:sz="8" w:color="CFF0FC"/>
            </w:tcBorders>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40" w:type="dxa"/>
            <w:vAlign w:val="bottom"/>
          </w:tcPr>
          <w:p>
            <w:pPr>
              <w:ind w:left="80"/>
              <w:spacing w:after="0"/>
              <w:rPr>
                <w:sz w:val="20"/>
                <w:szCs w:val="20"/>
                <w:color w:val="auto"/>
              </w:rPr>
            </w:pPr>
            <w:r>
              <w:rPr>
                <w:rFonts w:ascii="Arial" w:cs="Arial" w:eastAsia="Arial" w:hAnsi="Arial"/>
                <w:sz w:val="12"/>
                <w:szCs w:val="12"/>
                <w:color w:val="auto"/>
              </w:rPr>
              <w:t>Subscription—Systems</w:t>
            </w:r>
          </w:p>
        </w:tc>
        <w:tc>
          <w:tcPr>
            <w:tcW w:w="1120" w:type="dxa"/>
            <w:vAlign w:val="bottom"/>
            <w:gridSpan w:val="2"/>
          </w:tcPr>
          <w:p>
            <w:pPr>
              <w:jc w:val="right"/>
              <w:ind w:right="72"/>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6,813</w:t>
            </w: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47.0</w:t>
            </w:r>
          </w:p>
        </w:tc>
        <w:tc>
          <w:tcPr>
            <w:tcW w:w="3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15,742</w:t>
            </w: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64.0</w:t>
            </w:r>
          </w:p>
        </w:tc>
        <w:tc>
          <w:tcPr>
            <w:tcW w:w="3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(8,929)</w:t>
            </w:r>
          </w:p>
        </w:tc>
        <w:tc>
          <w:tcPr>
            <w:tcW w:w="1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(56.7)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40" w:type="dxa"/>
            <w:vAlign w:val="bottom"/>
            <w:shd w:val="clear" w:color="auto" w:fill="CFF0FC"/>
          </w:tcPr>
          <w:p>
            <w:pPr>
              <w:ind w:left="80"/>
              <w:spacing w:after="0"/>
              <w:rPr>
                <w:sz w:val="20"/>
                <w:szCs w:val="20"/>
                <w:color w:val="auto"/>
              </w:rPr>
            </w:pPr>
            <w:r>
              <w:rPr>
                <w:rFonts w:ascii="Arial" w:cs="Arial" w:eastAsia="Arial" w:hAnsi="Arial"/>
                <w:sz w:val="12"/>
                <w:szCs w:val="12"/>
                <w:color w:val="auto"/>
              </w:rPr>
              <w:t>Products—Systems</w:t>
            </w:r>
          </w:p>
        </w:tc>
        <w:tc>
          <w:tcPr>
            <w:tcW w:w="9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3,498</w:t>
            </w:r>
          </w:p>
        </w:tc>
        <w:tc>
          <w:tcPr>
            <w:tcW w:w="200" w:type="dxa"/>
            <w:vAlign w:val="bottom"/>
            <w:tcBorders>
              <w:right w:val="single" w:sz="8" w:color="CFF0FC"/>
            </w:tcBorders>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24.1</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6,315</w:t>
            </w:r>
          </w:p>
        </w:tc>
        <w:tc>
          <w:tcPr>
            <w:tcW w:w="200" w:type="dxa"/>
            <w:vAlign w:val="bottom"/>
            <w:tcBorders>
              <w:right w:val="single" w:sz="8" w:color="CFF0FC"/>
            </w:tcBorders>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25.7</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(2,817)</w:t>
            </w:r>
          </w:p>
        </w:tc>
        <w:tc>
          <w:tcPr>
            <w:tcW w:w="18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(44.6)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40" w:type="dxa"/>
            <w:vAlign w:val="bottom"/>
          </w:tcPr>
          <w:p>
            <w:pPr>
              <w:ind w:left="80"/>
              <w:spacing w:after="0"/>
              <w:rPr>
                <w:sz w:val="20"/>
                <w:szCs w:val="20"/>
                <w:color w:val="auto"/>
              </w:rPr>
            </w:pPr>
            <w:r>
              <w:rPr>
                <w:rFonts w:ascii="Arial" w:cs="Arial" w:eastAsia="Arial" w:hAnsi="Arial"/>
                <w:sz w:val="12"/>
                <w:szCs w:val="12"/>
                <w:color w:val="auto"/>
              </w:rPr>
              <w:t>Products other</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1,510</w:t>
            </w: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1,328</w:t>
            </w: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182</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13.7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40" w:type="dxa"/>
            <w:vAlign w:val="bottom"/>
            <w:shd w:val="clear" w:color="auto" w:fill="CFF0FC"/>
          </w:tcPr>
          <w:p>
            <w:pPr>
              <w:ind w:left="80"/>
              <w:spacing w:after="0"/>
              <w:rPr>
                <w:sz w:val="20"/>
                <w:szCs w:val="20"/>
                <w:color w:val="auto"/>
              </w:rPr>
            </w:pPr>
            <w:r>
              <w:rPr>
                <w:rFonts w:ascii="Arial" w:cs="Arial" w:eastAsia="Arial" w:hAnsi="Arial"/>
                <w:sz w:val="12"/>
                <w:szCs w:val="12"/>
                <w:color w:val="auto"/>
              </w:rPr>
              <w:t>Services</w:t>
            </w:r>
          </w:p>
        </w:tc>
        <w:tc>
          <w:tcPr>
            <w:tcW w:w="9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2,687</w:t>
            </w:r>
          </w:p>
        </w:tc>
        <w:tc>
          <w:tcPr>
            <w:tcW w:w="200" w:type="dxa"/>
            <w:vAlign w:val="bottom"/>
            <w:tcBorders>
              <w:right w:val="single" w:sz="8" w:color="CFF0FC"/>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18.5</w:t>
            </w:r>
          </w:p>
        </w:tc>
        <w:tc>
          <w:tcPr>
            <w:tcW w:w="14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1,195</w:t>
            </w:r>
          </w:p>
        </w:tc>
        <w:tc>
          <w:tcPr>
            <w:tcW w:w="200" w:type="dxa"/>
            <w:vAlign w:val="bottom"/>
            <w:tcBorders>
              <w:right w:val="single" w:sz="8" w:color="CFF0FC"/>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4.9</w:t>
            </w:r>
          </w:p>
        </w:tc>
        <w:tc>
          <w:tcPr>
            <w:tcW w:w="14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1,492</w:t>
            </w:r>
          </w:p>
        </w:tc>
        <w:tc>
          <w:tcPr>
            <w:tcW w:w="1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124.9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ind w:left="80"/>
              <w:spacing w:after="0"/>
              <w:rPr>
                <w:sz w:val="20"/>
                <w:szCs w:val="20"/>
                <w:color w:val="auto"/>
              </w:rPr>
            </w:pPr>
            <w:r>
              <w:rPr>
                <w:rFonts w:ascii="Arial" w:cs="Arial" w:eastAsia="Arial" w:hAnsi="Arial"/>
                <w:sz w:val="12"/>
                <w:szCs w:val="12"/>
                <w:color w:val="auto"/>
              </w:rPr>
              <w:t>Total</w:t>
            </w:r>
          </w:p>
        </w:tc>
        <w:tc>
          <w:tcPr>
            <w:tcW w:w="940" w:type="dxa"/>
            <w:vAlign w:val="bottom"/>
          </w:tcPr>
          <w:p>
            <w:pPr>
              <w:spacing w:after="0"/>
              <w:rPr>
                <w:sz w:val="12"/>
                <w:szCs w:val="12"/>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14,508</w:t>
            </w:r>
          </w:p>
        </w:tc>
        <w:tc>
          <w:tcPr>
            <w:tcW w:w="2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100.0</w:t>
            </w:r>
          </w:p>
        </w:tc>
        <w:tc>
          <w:tcPr>
            <w:tcW w:w="3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24,580</w:t>
            </w:r>
          </w:p>
        </w:tc>
        <w:tc>
          <w:tcPr>
            <w:tcW w:w="2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100.0</w:t>
            </w:r>
          </w:p>
        </w:tc>
        <w:tc>
          <w:tcPr>
            <w:tcW w:w="3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(10,072)</w:t>
            </w:r>
          </w:p>
        </w:tc>
        <w:tc>
          <w:tcPr>
            <w:tcW w:w="1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(41.0)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8"/>
        <w:spacing w:after="0" w:line="255" w:lineRule="auto"/>
        <w:rPr>
          <w:sz w:val="20"/>
          <w:szCs w:val="20"/>
          <w:color w:val="auto"/>
        </w:rPr>
      </w:pPr>
      <w:r>
        <w:rPr>
          <w:rFonts w:ascii="Arial" w:cs="Arial" w:eastAsia="Arial" w:hAnsi="Arial"/>
          <w:sz w:val="12"/>
          <w:szCs w:val="12"/>
          <w:color w:val="auto"/>
        </w:rPr>
        <w:t>Total revenue decreased by $10.1 million, or 41.0%, to $14.5 million for the three months ended March 31, 2020 from $24.6 million for the three months ended March 31, 2019. The decrease in revenue was a result of decreased revenue in the United States of $3.9 million and decreased revenue in international markets of $6.2 million. The decrease in revenue in the United States was driven by COVID-19 related lockdown restrictions and shelter-in-place orders imposed by federal and state governments. The decrease in revenue in international markets is largely due to disruptions in supply chain caused by restrictions imposed by the Chinese government due to the COVID-19 pandemic in January and February of 2020 followed by lockdown restrictions and shelter-in-place orders imposed subsequently by federal and local governments in other countries and markets in which we operate. In both the United States and international markets, the business closures and the resultant uncertainty negatively impacted our ability to access and sell into our customary channels. Where accessibility was possible, selling efforts were hampered by target customer concerns over economic uncertainty.</w:t>
      </w:r>
    </w:p>
    <w:p>
      <w:pPr>
        <w:spacing w:after="0" w:line="128" w:lineRule="exact"/>
        <w:rPr>
          <w:sz w:val="20"/>
          <w:szCs w:val="20"/>
          <w:color w:val="auto"/>
        </w:rPr>
      </w:pPr>
    </w:p>
    <w:p>
      <w:pPr>
        <w:ind w:left="8" w:right="80"/>
        <w:spacing w:after="0" w:line="276" w:lineRule="auto"/>
        <w:rPr>
          <w:sz w:val="20"/>
          <w:szCs w:val="20"/>
          <w:color w:val="auto"/>
        </w:rPr>
      </w:pPr>
      <w:r>
        <w:rPr>
          <w:rFonts w:ascii="Arial" w:cs="Arial" w:eastAsia="Arial" w:hAnsi="Arial"/>
          <w:sz w:val="12"/>
          <w:szCs w:val="12"/>
          <w:color w:val="auto"/>
        </w:rPr>
        <w:t>We sold an aggregate of 237 systems in the three months ended March 31, 2020 compared to 542 in the three months ended March 31, 2019. The percentage of systems revenue derived from our subscription model was approximately 66% in the three months ended March 31, 2020 compared to 72% in the three months ended March 31, 2019.</w:t>
      </w:r>
    </w:p>
    <w:p>
      <w:pPr>
        <w:spacing w:after="0" w:line="115"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Other product revenue increased by $0.2 million, or 13.7%, to $1.5 million in the three months ended March 31, 2020 from $1.3 million in the three months ended March 31, 2019. The increase was driven by sales of ARTAS procedure kits, while other product revenue remained flat year-over-year.</w:t>
      </w:r>
    </w:p>
    <w:p>
      <w:pPr>
        <w:spacing w:after="0" w:line="115" w:lineRule="exact"/>
        <w:rPr>
          <w:sz w:val="20"/>
          <w:szCs w:val="20"/>
          <w:color w:val="auto"/>
        </w:rPr>
      </w:pPr>
    </w:p>
    <w:p>
      <w:pPr>
        <w:ind w:left="8" w:right="520"/>
        <w:spacing w:after="0" w:line="276" w:lineRule="auto"/>
        <w:rPr>
          <w:sz w:val="20"/>
          <w:szCs w:val="20"/>
          <w:color w:val="auto"/>
        </w:rPr>
      </w:pPr>
      <w:r>
        <w:rPr>
          <w:rFonts w:ascii="Arial" w:cs="Arial" w:eastAsia="Arial" w:hAnsi="Arial"/>
          <w:sz w:val="12"/>
          <w:szCs w:val="12"/>
          <w:color w:val="auto"/>
        </w:rPr>
        <w:t>Services revenue increased by $1.5 million, or 124.9%, to $2.7 million in the three months ended March 31, 2020 from $1.2 million in the three months ended March 31, 2019. This increase was driven by an expansion of the VeroGrafters™ technician services and additional warranty revenue on ARTAS® systems.</w:t>
      </w:r>
    </w:p>
    <w:p>
      <w:pPr>
        <w:spacing w:after="0" w:line="25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89470" cy="11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8"/>
          </w:cols>
          <w:pgMar w:left="292" w:top="416" w:right="319" w:bottom="1440" w:gutter="0" w:footer="0" w:header="0"/>
        </w:sectPr>
      </w:pPr>
    </w:p>
    <w:bookmarkStart w:id="36" w:name="page37"/>
    <w:bookmarkEnd w:id="36"/>
    <w:p>
      <w:pPr>
        <w:spacing w:after="0"/>
        <w:rPr>
          <w:sz w:val="20"/>
          <w:szCs w:val="20"/>
          <w:color w:val="auto"/>
        </w:rPr>
      </w:pPr>
      <w:r>
        <w:rPr>
          <w:rFonts w:ascii="Arial" w:cs="Arial" w:eastAsia="Arial" w:hAnsi="Arial"/>
          <w:sz w:val="12"/>
          <w:szCs w:val="12"/>
          <w:i w:val="1"/>
          <w:iCs w:val="1"/>
          <w:color w:val="auto"/>
        </w:rPr>
        <w:t>Cost of Goods Sold and Gross Profit</w:t>
      </w:r>
    </w:p>
    <w:p>
      <w:pPr>
        <w:spacing w:after="0" w:line="150"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Cost of goods sold decreased by $1.3 million, or 20.2%, to $5.2 million in the three months ended March 31, 2020, from $6.5 million in the three months ended March 31, 2019. Gross profit decreased by $8.8 million, or 48.5%, to $9.3 million in the three months ended March 31, 2020, as compared to $18.1 million in the three months ended March 31, 2019. The decrease in gross profit is primarily due to disruptions in supply chain due to COVID-19 followed by lockdown restrictions and shelter-in-place orders imposed by federal and local governments in countries and markets we operate. Gross margin was 64.0% of revenue in the three months ended March 31, 2020, compared to 73.5% of revenue in the three months ended March 31, 2019. The decrease in gross profit percentage is primarily due to excess manufacturing costs related to the ARTAS® system, as a result of lower than expected production, and inventory fair value adjustments recognized on the business combination with Venus Concept Ltd. expensed through cost of goods sold during the three months ended March 31, 2020.</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Operating expenses</w:t>
      </w:r>
    </w:p>
    <w:p>
      <w:pPr>
        <w:spacing w:after="0" w:line="215"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0"/>
                <w:szCs w:val="10"/>
                <w:b w:val="1"/>
                <w:bCs w:val="1"/>
                <w:color w:val="auto"/>
                <w:w w:val="96"/>
              </w:rPr>
              <w:t>Three Months Ended March 31,</w:t>
            </w:r>
          </w:p>
        </w:tc>
        <w:tc>
          <w:tcPr>
            <w:tcW w:w="7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97"/>
        </w:trPr>
        <w:tc>
          <w:tcPr>
            <w:tcW w:w="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3"/>
          </w:tcPr>
          <w:p>
            <w:pPr>
              <w:jc w:val="right"/>
              <w:ind w:right="80"/>
              <w:spacing w:after="0" w:line="97" w:lineRule="exact"/>
              <w:rPr>
                <w:sz w:val="20"/>
                <w:szCs w:val="20"/>
                <w:color w:val="auto"/>
              </w:rPr>
            </w:pPr>
            <w:r>
              <w:rPr>
                <w:rFonts w:ascii="Arial" w:cs="Arial" w:eastAsia="Arial" w:hAnsi="Arial"/>
                <w:sz w:val="10"/>
                <w:szCs w:val="10"/>
                <w:b w:val="1"/>
                <w:bCs w:val="1"/>
                <w:color w:val="auto"/>
              </w:rPr>
              <w:t>2020</w:t>
            </w: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3"/>
          </w:tcPr>
          <w:p>
            <w:pPr>
              <w:jc w:val="right"/>
              <w:ind w:right="100"/>
              <w:spacing w:after="0" w:line="97" w:lineRule="exact"/>
              <w:rPr>
                <w:sz w:val="20"/>
                <w:szCs w:val="20"/>
                <w:color w:val="auto"/>
              </w:rPr>
            </w:pPr>
            <w:r>
              <w:rPr>
                <w:rFonts w:ascii="Arial" w:cs="Arial" w:eastAsia="Arial" w:hAnsi="Arial"/>
                <w:sz w:val="10"/>
                <w:szCs w:val="10"/>
                <w:b w:val="1"/>
                <w:bCs w:val="1"/>
                <w:color w:val="auto"/>
              </w:rPr>
              <w:t>2019</w:t>
            </w: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3"/>
          </w:tcPr>
          <w:p>
            <w:pPr>
              <w:ind w:left="520"/>
              <w:spacing w:after="0" w:line="97" w:lineRule="exact"/>
              <w:rPr>
                <w:sz w:val="20"/>
                <w:szCs w:val="20"/>
                <w:color w:val="auto"/>
              </w:rPr>
            </w:pPr>
            <w:r>
              <w:rPr>
                <w:rFonts w:ascii="Arial" w:cs="Arial" w:eastAsia="Arial" w:hAnsi="Arial"/>
                <w:sz w:val="10"/>
                <w:szCs w:val="10"/>
                <w:b w:val="1"/>
                <w:bCs w:val="1"/>
                <w:color w:val="auto"/>
              </w:rPr>
              <w:t>Change</w:t>
            </w: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83"/>
        </w:trPr>
        <w:tc>
          <w:tcPr>
            <w:tcW w:w="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jc w:val="right"/>
              <w:ind w:right="245"/>
              <w:spacing w:after="0" w:line="83" w:lineRule="exact"/>
              <w:rPr>
                <w:sz w:val="20"/>
                <w:szCs w:val="20"/>
                <w:color w:val="auto"/>
              </w:rPr>
            </w:pPr>
            <w:r>
              <w:rPr>
                <w:rFonts w:ascii="Arial" w:cs="Arial" w:eastAsia="Arial" w:hAnsi="Arial"/>
                <w:sz w:val="8"/>
                <w:szCs w:val="8"/>
                <w:b w:val="1"/>
                <w:bCs w:val="1"/>
                <w:color w:val="auto"/>
              </w:rPr>
              <w:t>% of</w:t>
            </w: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jc w:val="right"/>
              <w:ind w:right="244"/>
              <w:spacing w:after="0" w:line="83" w:lineRule="exact"/>
              <w:rPr>
                <w:sz w:val="20"/>
                <w:szCs w:val="20"/>
                <w:color w:val="auto"/>
              </w:rPr>
            </w:pPr>
            <w:r>
              <w:rPr>
                <w:rFonts w:ascii="Arial" w:cs="Arial" w:eastAsia="Arial" w:hAnsi="Arial"/>
                <w:sz w:val="8"/>
                <w:szCs w:val="8"/>
                <w:b w:val="1"/>
                <w:bCs w:val="1"/>
                <w:color w:val="auto"/>
              </w:rPr>
              <w:t>% of</w:t>
            </w: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113"/>
        </w:trPr>
        <w:tc>
          <w:tcPr>
            <w:tcW w:w="182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(in thousands, except percentages)</w:t>
            </w: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jc w:val="right"/>
              <w:ind w:right="323"/>
              <w:spacing w:after="0" w:line="114" w:lineRule="exact"/>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ind w:right="165"/>
              <w:spacing w:after="0" w:line="114" w:lineRule="exact"/>
              <w:rPr>
                <w:sz w:val="20"/>
                <w:szCs w:val="20"/>
                <w:color w:val="auto"/>
              </w:rPr>
            </w:pPr>
            <w:r>
              <w:rPr>
                <w:rFonts w:ascii="Arial" w:cs="Arial" w:eastAsia="Arial" w:hAnsi="Arial"/>
                <w:sz w:val="10"/>
                <w:szCs w:val="10"/>
                <w:b w:val="1"/>
                <w:bCs w:val="1"/>
                <w:color w:val="auto"/>
                <w:w w:val="97"/>
              </w:rPr>
              <w:t>Revenues</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jc w:val="right"/>
              <w:ind w:right="323"/>
              <w:spacing w:after="0" w:line="114" w:lineRule="exact"/>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ind w:right="164"/>
              <w:spacing w:after="0" w:line="114" w:lineRule="exact"/>
              <w:rPr>
                <w:sz w:val="20"/>
                <w:szCs w:val="20"/>
                <w:color w:val="auto"/>
              </w:rPr>
            </w:pPr>
            <w:r>
              <w:rPr>
                <w:rFonts w:ascii="Arial" w:cs="Arial" w:eastAsia="Arial" w:hAnsi="Arial"/>
                <w:sz w:val="10"/>
                <w:szCs w:val="10"/>
                <w:b w:val="1"/>
                <w:bCs w:val="1"/>
                <w:color w:val="auto"/>
                <w:w w:val="97"/>
              </w:rPr>
              <w:t>Revenues</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jc w:val="right"/>
              <w:ind w:right="343"/>
              <w:spacing w:after="0" w:line="114" w:lineRule="exact"/>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jc w:val="right"/>
              <w:ind w:right="322"/>
              <w:spacing w:after="0" w:line="114" w:lineRule="exact"/>
              <w:rPr>
                <w:sz w:val="20"/>
                <w:szCs w:val="20"/>
                <w:color w:val="auto"/>
              </w:rPr>
            </w:pPr>
            <w:r>
              <w:rPr>
                <w:rFonts w:ascii="Arial" w:cs="Arial" w:eastAsia="Arial" w:hAnsi="Arial"/>
                <w:sz w:val="10"/>
                <w:szCs w:val="10"/>
                <w:b w:val="1"/>
                <w:bCs w:val="1"/>
                <w:color w:val="auto"/>
              </w:rPr>
              <w:t>%</w:t>
            </w:r>
          </w:p>
        </w:tc>
        <w:tc>
          <w:tcPr>
            <w:tcW w:w="60" w:type="dxa"/>
            <w:vAlign w:val="bottom"/>
          </w:tcPr>
          <w:p>
            <w:pPr>
              <w:spacing w:after="0"/>
              <w:rPr>
                <w:sz w:val="9"/>
                <w:szCs w:val="9"/>
                <w:color w:val="auto"/>
              </w:rPr>
            </w:pPr>
          </w:p>
        </w:tc>
      </w:tr>
      <w:tr>
        <w:trPr>
          <w:trHeight w:val="153"/>
        </w:trPr>
        <w:tc>
          <w:tcPr>
            <w:tcW w:w="20" w:type="dxa"/>
            <w:vAlign w:val="bottom"/>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2"/>
                <w:szCs w:val="12"/>
                <w:color w:val="auto"/>
              </w:rPr>
              <w:t>Operating expenses:</w:t>
            </w:r>
          </w:p>
        </w:tc>
        <w:tc>
          <w:tcPr>
            <w:tcW w:w="4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1800" w:type="dxa"/>
            <w:vAlign w:val="bottom"/>
          </w:tcPr>
          <w:p>
            <w:pPr>
              <w:ind w:left="80"/>
              <w:spacing w:after="0"/>
              <w:rPr>
                <w:sz w:val="20"/>
                <w:szCs w:val="20"/>
                <w:color w:val="auto"/>
              </w:rPr>
            </w:pPr>
            <w:r>
              <w:rPr>
                <w:rFonts w:ascii="Arial" w:cs="Arial" w:eastAsia="Arial" w:hAnsi="Arial"/>
                <w:sz w:val="12"/>
                <w:szCs w:val="12"/>
                <w:color w:val="auto"/>
              </w:rPr>
              <w:t>Selling and marketing</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8,611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59.4</w:t>
            </w:r>
          </w:p>
        </w:tc>
        <w:tc>
          <w:tcPr>
            <w:tcW w:w="3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9,532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38.8</w:t>
            </w:r>
          </w:p>
        </w:tc>
        <w:tc>
          <w:tcPr>
            <w:tcW w:w="3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(921)</w:t>
            </w:r>
          </w:p>
        </w:tc>
        <w:tc>
          <w:tcPr>
            <w:tcW w:w="2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(9.7)</w:t>
            </w:r>
          </w:p>
        </w:tc>
      </w:tr>
      <w:tr>
        <w:trPr>
          <w:trHeight w:val="153"/>
        </w:trPr>
        <w:tc>
          <w:tcPr>
            <w:tcW w:w="20" w:type="dxa"/>
            <w:vAlign w:val="bottom"/>
          </w:tcPr>
          <w:p>
            <w:pPr>
              <w:spacing w:after="0"/>
              <w:rPr>
                <w:sz w:val="13"/>
                <w:szCs w:val="13"/>
                <w:color w:val="auto"/>
              </w:rPr>
            </w:pPr>
          </w:p>
        </w:tc>
        <w:tc>
          <w:tcPr>
            <w:tcW w:w="1800" w:type="dxa"/>
            <w:vAlign w:val="bottom"/>
            <w:shd w:val="clear" w:color="auto" w:fill="CFF0FC"/>
          </w:tcPr>
          <w:p>
            <w:pPr>
              <w:ind w:left="80"/>
              <w:spacing w:after="0"/>
              <w:rPr>
                <w:sz w:val="20"/>
                <w:szCs w:val="20"/>
                <w:color w:val="auto"/>
              </w:rPr>
            </w:pPr>
            <w:r>
              <w:rPr>
                <w:rFonts w:ascii="Arial" w:cs="Arial" w:eastAsia="Arial" w:hAnsi="Arial"/>
                <w:sz w:val="12"/>
                <w:szCs w:val="12"/>
                <w:color w:val="auto"/>
              </w:rPr>
              <w:t>General and administrative</w:t>
            </w:r>
          </w:p>
        </w:tc>
        <w:tc>
          <w:tcPr>
            <w:tcW w:w="4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14,176</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97.7</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8,340</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33.9</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5,836</w:t>
            </w:r>
          </w:p>
        </w:tc>
        <w:tc>
          <w:tcPr>
            <w:tcW w:w="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70.0</w:t>
            </w:r>
          </w:p>
        </w:tc>
        <w:tc>
          <w:tcPr>
            <w:tcW w:w="60" w:type="dxa"/>
            <w:vAlign w:val="bottom"/>
            <w:shd w:val="clear" w:color="auto" w:fill="CFF0FC"/>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1800" w:type="dxa"/>
            <w:vAlign w:val="bottom"/>
          </w:tcPr>
          <w:p>
            <w:pPr>
              <w:ind w:left="80"/>
              <w:spacing w:after="0"/>
              <w:rPr>
                <w:sz w:val="20"/>
                <w:szCs w:val="20"/>
                <w:color w:val="auto"/>
              </w:rPr>
            </w:pPr>
            <w:r>
              <w:rPr>
                <w:rFonts w:ascii="Arial" w:cs="Arial" w:eastAsia="Arial" w:hAnsi="Arial"/>
                <w:sz w:val="12"/>
                <w:szCs w:val="12"/>
                <w:color w:val="auto"/>
              </w:rPr>
              <w:t>Research and development</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2,624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18.1</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2,061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8.4</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563</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27.3</w:t>
            </w:r>
          </w:p>
        </w:tc>
        <w:tc>
          <w:tcPr>
            <w:tcW w:w="6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1800" w:type="dxa"/>
            <w:vAlign w:val="bottom"/>
            <w:shd w:val="clear" w:color="auto" w:fill="CFF0FC"/>
          </w:tcPr>
          <w:p>
            <w:pPr>
              <w:ind w:left="80"/>
              <w:spacing w:after="0"/>
              <w:rPr>
                <w:sz w:val="20"/>
                <w:szCs w:val="20"/>
                <w:color w:val="auto"/>
              </w:rPr>
            </w:pPr>
            <w:r>
              <w:rPr>
                <w:rFonts w:ascii="Arial" w:cs="Arial" w:eastAsia="Arial" w:hAnsi="Arial"/>
                <w:sz w:val="12"/>
                <w:szCs w:val="12"/>
                <w:color w:val="auto"/>
              </w:rPr>
              <w:t>Goodwill impairment</w:t>
            </w:r>
          </w:p>
        </w:tc>
        <w:tc>
          <w:tcPr>
            <w:tcW w:w="42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27,450</w:t>
            </w:r>
          </w:p>
        </w:tc>
        <w:tc>
          <w:tcPr>
            <w:tcW w:w="1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189.2</w:t>
            </w:r>
          </w:p>
        </w:tc>
        <w:tc>
          <w:tcPr>
            <w:tcW w:w="1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27,450</w:t>
            </w:r>
          </w:p>
        </w:tc>
        <w:tc>
          <w:tcPr>
            <w:tcW w:w="16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100.0</w:t>
            </w:r>
          </w:p>
        </w:tc>
        <w:tc>
          <w:tcPr>
            <w:tcW w:w="60" w:type="dxa"/>
            <w:vAlign w:val="bottom"/>
            <w:shd w:val="clear" w:color="auto" w:fill="CFF0FC"/>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1800" w:type="dxa"/>
            <w:vAlign w:val="bottom"/>
          </w:tcPr>
          <w:p>
            <w:pPr>
              <w:ind w:left="80"/>
              <w:spacing w:after="0"/>
              <w:rPr>
                <w:sz w:val="20"/>
                <w:szCs w:val="20"/>
                <w:color w:val="auto"/>
              </w:rPr>
            </w:pPr>
            <w:r>
              <w:rPr>
                <w:rFonts w:ascii="Arial" w:cs="Arial" w:eastAsia="Arial" w:hAnsi="Arial"/>
                <w:sz w:val="12"/>
                <w:szCs w:val="12"/>
                <w:color w:val="auto"/>
              </w:rPr>
              <w:t>Total operating expenses</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52,861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364.4</w:t>
            </w:r>
          </w:p>
        </w:tc>
        <w:tc>
          <w:tcPr>
            <w:tcW w:w="3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19,933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81.1</w:t>
            </w:r>
          </w:p>
        </w:tc>
        <w:tc>
          <w:tcPr>
            <w:tcW w:w="3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32,928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165.2</w:t>
            </w:r>
          </w:p>
        </w:tc>
        <w:tc>
          <w:tcPr>
            <w:tcW w:w="60" w:type="dxa"/>
            <w:vAlign w:val="bottom"/>
          </w:tcPr>
          <w:p>
            <w:pPr>
              <w:spacing w:after="0"/>
              <w:rPr>
                <w:sz w:val="12"/>
                <w:szCs w:val="12"/>
                <w:color w:val="auto"/>
              </w:rPr>
            </w:pPr>
          </w:p>
        </w:tc>
      </w:tr>
      <w:tr>
        <w:trPr>
          <w:trHeight w:val="27"/>
        </w:trPr>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35"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i w:val="1"/>
          <w:iCs w:val="1"/>
          <w:color w:val="auto"/>
        </w:rPr>
        <w:t>Selling and Marketing</w:t>
      </w:r>
      <w:r>
        <w:rPr>
          <w:rFonts w:ascii="Arial" w:cs="Arial" w:eastAsia="Arial" w:hAnsi="Arial"/>
          <w:sz w:val="12"/>
          <w:szCs w:val="12"/>
          <w:color w:val="auto"/>
        </w:rPr>
        <w:t>. Selling and marketing expenses decreased by 9.7% in the three months ended March 31, 2020 compared to the three months ended March 31, 2019. This decrease was primarily due to reduced selling</w:t>
      </w:r>
      <w:r>
        <w:rPr>
          <w:rFonts w:ascii="Arial" w:cs="Arial" w:eastAsia="Arial" w:hAnsi="Arial"/>
          <w:sz w:val="12"/>
          <w:szCs w:val="12"/>
          <w:i w:val="1"/>
          <w:iCs w:val="1"/>
          <w:color w:val="auto"/>
        </w:rPr>
        <w:t xml:space="preserve"> </w:t>
      </w:r>
      <w:r>
        <w:rPr>
          <w:rFonts w:ascii="Arial" w:cs="Arial" w:eastAsia="Arial" w:hAnsi="Arial"/>
          <w:sz w:val="12"/>
          <w:szCs w:val="12"/>
          <w:color w:val="auto"/>
        </w:rPr>
        <w:t>commissions as a result of lower sales in the first quarter of 2020. As a percentage of total revenues, our selling and marketing expenses increased by 20.6%, from 38.8% in the three months ended March 31, 2019 to 59.4% in the three months ended March 31, 2020. We expect selling and marketing expenses to decrease as a percentage of sales in the future.</w:t>
      </w:r>
    </w:p>
    <w:p>
      <w:pPr>
        <w:spacing w:after="0" w:line="122" w:lineRule="exact"/>
        <w:rPr>
          <w:sz w:val="20"/>
          <w:szCs w:val="20"/>
          <w:color w:val="auto"/>
        </w:rPr>
      </w:pPr>
    </w:p>
    <w:p>
      <w:pPr>
        <w:jc w:val="both"/>
        <w:spacing w:after="0" w:line="289" w:lineRule="auto"/>
        <w:rPr>
          <w:sz w:val="20"/>
          <w:szCs w:val="20"/>
          <w:color w:val="auto"/>
        </w:rPr>
      </w:pPr>
      <w:r>
        <w:rPr>
          <w:rFonts w:ascii="Arial" w:cs="Arial" w:eastAsia="Arial" w:hAnsi="Arial"/>
          <w:sz w:val="11"/>
          <w:szCs w:val="11"/>
          <w:i w:val="1"/>
          <w:iCs w:val="1"/>
          <w:color w:val="auto"/>
        </w:rPr>
        <w:t>General and Administrative</w:t>
      </w:r>
      <w:r>
        <w:rPr>
          <w:rFonts w:ascii="Arial" w:cs="Arial" w:eastAsia="Arial" w:hAnsi="Arial"/>
          <w:sz w:val="11"/>
          <w:szCs w:val="11"/>
          <w:color w:val="auto"/>
        </w:rPr>
        <w:t>. General and administrative expenses increased by 70.0% in the three months ended March 31, 2020 compared to the three months ended March 31, 2019, reflecting costs related to increased legal, audit and</w:t>
      </w:r>
      <w:r>
        <w:rPr>
          <w:rFonts w:ascii="Arial" w:cs="Arial" w:eastAsia="Arial" w:hAnsi="Arial"/>
          <w:sz w:val="11"/>
          <w:szCs w:val="11"/>
          <w:i w:val="1"/>
          <w:iCs w:val="1"/>
          <w:color w:val="auto"/>
        </w:rPr>
        <w:t xml:space="preserve"> </w:t>
      </w:r>
      <w:r>
        <w:rPr>
          <w:rFonts w:ascii="Arial" w:cs="Arial" w:eastAsia="Arial" w:hAnsi="Arial"/>
          <w:sz w:val="11"/>
          <w:szCs w:val="11"/>
          <w:color w:val="auto"/>
        </w:rPr>
        <w:t>regulatory expenses primarily related to public company reporting obligations, an increase in bad debt expense as a result of COVID-19 related lockdown restrictions and shelter-in-place orders, and additional amortization of intangible assets recognized on the business combination with Venus Concept Ltd. As a percentage of total revenues, our general and administrative expenses increased by 63.8%, from 33.9% in the three months ended March 31, 2019, to 97.7% in the three months ended March 31, 2020, primarily due to expenses related to public company reporting obligations and due to lower revenues in the first quarter of 2020.</w:t>
      </w:r>
    </w:p>
    <w:p>
      <w:pPr>
        <w:spacing w:after="0" w:line="111" w:lineRule="exact"/>
        <w:rPr>
          <w:sz w:val="20"/>
          <w:szCs w:val="20"/>
          <w:color w:val="auto"/>
        </w:rPr>
      </w:pPr>
    </w:p>
    <w:p>
      <w:pPr>
        <w:jc w:val="both"/>
        <w:ind w:right="40"/>
        <w:spacing w:after="0" w:line="263" w:lineRule="auto"/>
        <w:rPr>
          <w:sz w:val="20"/>
          <w:szCs w:val="20"/>
          <w:color w:val="auto"/>
        </w:rPr>
      </w:pPr>
      <w:r>
        <w:rPr>
          <w:rFonts w:ascii="Arial" w:cs="Arial" w:eastAsia="Arial" w:hAnsi="Arial"/>
          <w:sz w:val="12"/>
          <w:szCs w:val="12"/>
          <w:i w:val="1"/>
          <w:iCs w:val="1"/>
          <w:color w:val="auto"/>
        </w:rPr>
        <w:t>Research and Development</w:t>
      </w:r>
      <w:r>
        <w:rPr>
          <w:rFonts w:ascii="Arial" w:cs="Arial" w:eastAsia="Arial" w:hAnsi="Arial"/>
          <w:sz w:val="12"/>
          <w:szCs w:val="12"/>
          <w:color w:val="auto"/>
        </w:rPr>
        <w:t>. Research and development expenses increased by 27.3% in the three months ended March 31, 2020 compared to the three months ended March 31, 2019. As a percentage of total revenues, our research and</w:t>
      </w:r>
      <w:r>
        <w:rPr>
          <w:rFonts w:ascii="Arial" w:cs="Arial" w:eastAsia="Arial" w:hAnsi="Arial"/>
          <w:sz w:val="12"/>
          <w:szCs w:val="12"/>
          <w:i w:val="1"/>
          <w:iCs w:val="1"/>
          <w:color w:val="auto"/>
        </w:rPr>
        <w:t xml:space="preserve"> </w:t>
      </w:r>
      <w:r>
        <w:rPr>
          <w:rFonts w:ascii="Arial" w:cs="Arial" w:eastAsia="Arial" w:hAnsi="Arial"/>
          <w:sz w:val="12"/>
          <w:szCs w:val="12"/>
          <w:color w:val="auto"/>
        </w:rPr>
        <w:t>development expenses increased by 9.7%, from 8.4% in the three months ended March 31, 2019, to 18.1% in the three months ended March 31, 2020. The increase in the research and development expense is attributable to the ARTAS iX™ System research and development program we acquired through the Merger in November of 2019.</w:t>
      </w:r>
    </w:p>
    <w:p>
      <w:pPr>
        <w:spacing w:after="0" w:line="122" w:lineRule="exact"/>
        <w:rPr>
          <w:sz w:val="20"/>
          <w:szCs w:val="20"/>
          <w:color w:val="auto"/>
        </w:rPr>
      </w:pPr>
    </w:p>
    <w:p>
      <w:pPr>
        <w:jc w:val="both"/>
        <w:ind w:right="400"/>
        <w:spacing w:after="0" w:line="263" w:lineRule="auto"/>
        <w:rPr>
          <w:sz w:val="20"/>
          <w:szCs w:val="20"/>
          <w:color w:val="auto"/>
        </w:rPr>
      </w:pPr>
      <w:r>
        <w:rPr>
          <w:rFonts w:ascii="Arial" w:cs="Arial" w:eastAsia="Arial" w:hAnsi="Arial"/>
          <w:sz w:val="12"/>
          <w:szCs w:val="12"/>
          <w:i w:val="1"/>
          <w:iCs w:val="1"/>
          <w:color w:val="auto"/>
        </w:rPr>
        <w:t xml:space="preserve">Goodwill impairment. </w:t>
      </w:r>
      <w:r>
        <w:rPr>
          <w:rFonts w:ascii="Arial" w:cs="Arial" w:eastAsia="Arial" w:hAnsi="Arial"/>
          <w:sz w:val="12"/>
          <w:szCs w:val="12"/>
          <w:color w:val="auto"/>
        </w:rPr>
        <w:t>We considered a substantial decline in our equity value and worsening macroeconomic factors due to COVID-19 as triggering events that caused analysis of potential impairment of our goodwill and other</w:t>
      </w:r>
      <w:r>
        <w:rPr>
          <w:rFonts w:ascii="Arial" w:cs="Arial" w:eastAsia="Arial" w:hAnsi="Arial"/>
          <w:sz w:val="12"/>
          <w:szCs w:val="12"/>
          <w:i w:val="1"/>
          <w:iCs w:val="1"/>
          <w:color w:val="auto"/>
        </w:rPr>
        <w:t xml:space="preserve"> </w:t>
      </w:r>
      <w:r>
        <w:rPr>
          <w:rFonts w:ascii="Arial" w:cs="Arial" w:eastAsia="Arial" w:hAnsi="Arial"/>
          <w:sz w:val="12"/>
          <w:szCs w:val="12"/>
          <w:color w:val="auto"/>
        </w:rPr>
        <w:t>intangible assets as of March 31, 2020. The quantitative impairment analysis resulted in goodwill impairment of $27.5 million driven primarily by lower than expected actual sales, as well as lower projected sales and decreased profitability because of COVID-19.</w:t>
      </w:r>
    </w:p>
    <w:p>
      <w:pPr>
        <w:spacing w:after="0" w:line="122"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i w:val="1"/>
          <w:iCs w:val="1"/>
          <w:color w:val="auto"/>
        </w:rPr>
        <w:t xml:space="preserve">Foreign exchange loss. </w:t>
      </w:r>
      <w:r>
        <w:rPr>
          <w:rFonts w:ascii="Arial" w:cs="Arial" w:eastAsia="Arial" w:hAnsi="Arial"/>
          <w:sz w:val="12"/>
          <w:szCs w:val="12"/>
          <w:color w:val="auto"/>
        </w:rPr>
        <w:t>We had a foreign exchange loss of $4.3 million in the three months ended March 31, 2020 and foreign exchange loss of $0.7 million in the three months ended March 31, 2019. Changes in foreign exchange in</w:t>
      </w:r>
      <w:r>
        <w:rPr>
          <w:rFonts w:ascii="Arial" w:cs="Arial" w:eastAsia="Arial" w:hAnsi="Arial"/>
          <w:sz w:val="12"/>
          <w:szCs w:val="12"/>
          <w:i w:val="1"/>
          <w:iCs w:val="1"/>
          <w:color w:val="auto"/>
        </w:rPr>
        <w:t xml:space="preserve"> </w:t>
      </w:r>
      <w:r>
        <w:rPr>
          <w:rFonts w:ascii="Arial" w:cs="Arial" w:eastAsia="Arial" w:hAnsi="Arial"/>
          <w:sz w:val="12"/>
          <w:szCs w:val="12"/>
          <w:color w:val="auto"/>
        </w:rPr>
        <w:t>the three months ended March 31, 2020 are driven mainly by foreign exchange effect on accounts receivable balances denominated in currencies other than the US dollar with the larger impact for Mexico, Canada and Australia which currencies declined as a result of the collapse in world oil prices in March 2020. We do not currently hedge against foreign currency risk.</w:t>
      </w:r>
    </w:p>
    <w:p>
      <w:pPr>
        <w:spacing w:after="0" w:line="122"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i w:val="1"/>
          <w:iCs w:val="1"/>
          <w:color w:val="auto"/>
        </w:rPr>
        <w:t>Finance Expenses</w:t>
      </w:r>
      <w:r>
        <w:rPr>
          <w:rFonts w:ascii="Arial" w:cs="Arial" w:eastAsia="Arial" w:hAnsi="Arial"/>
          <w:sz w:val="12"/>
          <w:szCs w:val="12"/>
          <w:color w:val="auto"/>
        </w:rPr>
        <w:t>. Finance expenses increased by $0.6 million, from $1.7 million in the three months ended March 31, 2019, to $2.3 million in the three month ended March 31, 2020, mostly due to increase in the annual interest rate</w:t>
      </w:r>
      <w:r>
        <w:rPr>
          <w:rFonts w:ascii="Arial" w:cs="Arial" w:eastAsia="Arial" w:hAnsi="Arial"/>
          <w:sz w:val="12"/>
          <w:szCs w:val="12"/>
          <w:i w:val="1"/>
          <w:iCs w:val="1"/>
          <w:color w:val="auto"/>
        </w:rPr>
        <w:t xml:space="preserve"> </w:t>
      </w:r>
      <w:r>
        <w:rPr>
          <w:rFonts w:ascii="Arial" w:cs="Arial" w:eastAsia="Arial" w:hAnsi="Arial"/>
          <w:sz w:val="12"/>
          <w:szCs w:val="12"/>
          <w:color w:val="auto"/>
        </w:rPr>
        <w:t>from 9.00% to 12.00% during the PIK Period under the Madryn Credit Agreement. See “—Liquidity and Capital Resources” below.</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37" w:name="page38"/>
    <w:bookmarkEnd w:id="37"/>
    <w:p>
      <w:pPr>
        <w:ind w:left="8" w:right="280"/>
        <w:spacing w:after="0" w:line="323" w:lineRule="auto"/>
        <w:rPr>
          <w:sz w:val="20"/>
          <w:szCs w:val="20"/>
          <w:color w:val="auto"/>
        </w:rPr>
      </w:pPr>
      <w:r>
        <w:rPr>
          <w:rFonts w:ascii="Arial" w:cs="Arial" w:eastAsia="Arial" w:hAnsi="Arial"/>
          <w:sz w:val="11"/>
          <w:szCs w:val="11"/>
          <w:i w:val="1"/>
          <w:iCs w:val="1"/>
          <w:color w:val="auto"/>
        </w:rPr>
        <w:t xml:space="preserve">Income Taxes Expense. </w:t>
      </w:r>
      <w:r>
        <w:rPr>
          <w:rFonts w:ascii="Arial" w:cs="Arial" w:eastAsia="Arial" w:hAnsi="Arial"/>
          <w:sz w:val="11"/>
          <w:szCs w:val="11"/>
          <w:color w:val="auto"/>
        </w:rPr>
        <w:t>Income taxes expense decreased to $0.6 million in the three months ended March 31, 2020 from a $0.9 million income tax expense in the three months ended March 31, 2019. The tax provision is driven by</w:t>
      </w:r>
      <w:r>
        <w:rPr>
          <w:rFonts w:ascii="Arial" w:cs="Arial" w:eastAsia="Arial" w:hAnsi="Arial"/>
          <w:sz w:val="11"/>
          <w:szCs w:val="11"/>
          <w:i w:val="1"/>
          <w:iCs w:val="1"/>
          <w:color w:val="auto"/>
        </w:rPr>
        <w:t xml:space="preserve"> </w:t>
      </w:r>
      <w:r>
        <w:rPr>
          <w:rFonts w:ascii="Arial" w:cs="Arial" w:eastAsia="Arial" w:hAnsi="Arial"/>
          <w:sz w:val="11"/>
          <w:szCs w:val="11"/>
          <w:color w:val="auto"/>
        </w:rPr>
        <w:t>profitable sales and the actual effective tax rates where the sale took place. In the first quarter of 2020, we had a combination of less profitable sales and an increase in sales in lower rate tax jurisdictions.</w:t>
      </w:r>
    </w:p>
    <w:p>
      <w:pPr>
        <w:spacing w:after="0" w:line="8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231F20"/>
        </w:rPr>
        <w:t>Liquidity and Capital Resources</w:t>
      </w:r>
    </w:p>
    <w:p>
      <w:pPr>
        <w:spacing w:after="0" w:line="154" w:lineRule="exact"/>
        <w:rPr>
          <w:sz w:val="20"/>
          <w:szCs w:val="20"/>
          <w:color w:val="auto"/>
        </w:rPr>
      </w:pPr>
    </w:p>
    <w:p>
      <w:pPr>
        <w:ind w:left="8" w:right="20"/>
        <w:spacing w:after="0" w:line="259" w:lineRule="auto"/>
        <w:rPr>
          <w:sz w:val="20"/>
          <w:szCs w:val="20"/>
          <w:color w:val="auto"/>
        </w:rPr>
      </w:pPr>
      <w:r>
        <w:rPr>
          <w:rFonts w:ascii="Arial" w:cs="Arial" w:eastAsia="Arial" w:hAnsi="Arial"/>
          <w:sz w:val="12"/>
          <w:szCs w:val="12"/>
          <w:color w:val="auto"/>
        </w:rPr>
        <w:t xml:space="preserve">We had $20.6 million and $15.7 million of cash and cash equivalents as of March 31, 2020, and December 31, 2019, respectively. We have funded our operations with cash generated from operating activities, through the sale of equity securities to investors in private placements and through debt financing. During the three months ended March 31, 2020, we drew $0.4 million on our credit facility with City National Bank of Florida and completed an equity financing that generated $22.3 million of gross proceeds . See </w:t>
      </w:r>
      <w:r>
        <w:rPr>
          <w:rFonts w:ascii="Arial" w:cs="Arial" w:eastAsia="Arial" w:hAnsi="Arial"/>
          <w:sz w:val="12"/>
          <w:szCs w:val="12"/>
          <w:i w:val="1"/>
          <w:iCs w:val="1"/>
          <w:color w:val="auto"/>
        </w:rPr>
        <w:t>“—The 2020 Private Placement</w:t>
      </w:r>
      <w:r>
        <w:rPr>
          <w:rFonts w:ascii="Arial" w:cs="Arial" w:eastAsia="Arial" w:hAnsi="Arial"/>
          <w:sz w:val="12"/>
          <w:szCs w:val="12"/>
          <w:color w:val="auto"/>
        </w:rPr>
        <w:t>” above. We had total debt obligations of approximately $71.5 million as of March 31, 2020, including line of credit borrowings of $8.2 million, compared to total debt obligations of approximately $69.0 million at December 31, 2019, including line of credit borrowings of $7.8 million.</w:t>
      </w:r>
    </w:p>
    <w:p>
      <w:pPr>
        <w:spacing w:after="0" w:line="124" w:lineRule="exact"/>
        <w:rPr>
          <w:sz w:val="20"/>
          <w:szCs w:val="20"/>
          <w:color w:val="auto"/>
        </w:rPr>
      </w:pPr>
    </w:p>
    <w:p>
      <w:pPr>
        <w:ind w:left="8" w:right="40"/>
        <w:spacing w:after="0" w:line="289" w:lineRule="auto"/>
        <w:rPr>
          <w:sz w:val="20"/>
          <w:szCs w:val="20"/>
          <w:color w:val="auto"/>
        </w:rPr>
      </w:pPr>
      <w:r>
        <w:rPr>
          <w:rFonts w:ascii="Arial" w:cs="Arial" w:eastAsia="Arial" w:hAnsi="Arial"/>
          <w:sz w:val="11"/>
          <w:szCs w:val="11"/>
          <w:color w:val="auto"/>
        </w:rPr>
        <w:t>Our working capital requirements reflect the growth of our business over the last few years, in particular, the shift from a traditional sales model to a subscription model. Working capital is primarily impacted by growth in our subscription sales which also impacts accounts receivable. Our overall growth also requires higher inventory levels to meet demand and to accommodate the increased number of technology platforms offered. We had a split of subscription sales revenue to traditional sales revenue at a ratio of approximately 66:34 in the three months ended March 31, 2020, compared to 75:25 in the three months ended March 31, 2019. We are directing more effort to securing traditional sales in order to improve cash flow. We expect inventory to continue to increase in the short term, but at a lower rate than the rate of revenue growth.</w:t>
      </w:r>
    </w:p>
    <w:p>
      <w:pPr>
        <w:spacing w:after="0" w:line="111" w:lineRule="exact"/>
        <w:rPr>
          <w:sz w:val="20"/>
          <w:szCs w:val="20"/>
          <w:color w:val="auto"/>
        </w:rPr>
      </w:pPr>
    </w:p>
    <w:p>
      <w:pPr>
        <w:ind w:left="8" w:right="240"/>
        <w:spacing w:after="0" w:line="276" w:lineRule="auto"/>
        <w:rPr>
          <w:sz w:val="20"/>
          <w:szCs w:val="20"/>
          <w:color w:val="auto"/>
        </w:rPr>
      </w:pPr>
      <w:r>
        <w:rPr>
          <w:rFonts w:ascii="Arial" w:cs="Arial" w:eastAsia="Arial" w:hAnsi="Arial"/>
          <w:sz w:val="12"/>
          <w:szCs w:val="12"/>
          <w:color w:val="auto"/>
        </w:rPr>
        <w:t>We also require modest funding for capital expenditures. Our capital expenditures relate primarily to our research and development facilities in Yokneam, Israel. In addition, our capital investments have included improvements and expansion of our subsidiaries’ operations to support our growth.</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Madryn Credit Agreement</w:t>
      </w:r>
    </w:p>
    <w:p>
      <w:pPr>
        <w:spacing w:after="0" w:line="150" w:lineRule="exact"/>
        <w:rPr>
          <w:sz w:val="20"/>
          <w:szCs w:val="20"/>
          <w:color w:val="auto"/>
        </w:rPr>
      </w:pPr>
    </w:p>
    <w:p>
      <w:pPr>
        <w:ind w:left="8"/>
        <w:spacing w:after="0" w:line="285" w:lineRule="auto"/>
        <w:rPr>
          <w:sz w:val="20"/>
          <w:szCs w:val="20"/>
          <w:color w:val="auto"/>
        </w:rPr>
      </w:pPr>
      <w:r>
        <w:rPr>
          <w:rFonts w:ascii="Arial" w:cs="Arial" w:eastAsia="Arial" w:hAnsi="Arial"/>
          <w:sz w:val="11"/>
          <w:szCs w:val="11"/>
          <w:color w:val="auto"/>
        </w:rPr>
        <w:t>On October 11, 2016, Venus Concept Ltd. entered into a credit agreement as a guarantor with Madryn Health Partners, LP, as administrative agent, and certain of its affiliates as lenders (collectively, “Madryn”), as amended, (the “Madryn Credit Agreement”), pursuant to which Madryn agreed to make certain loans to certain of Venus Concept Ltd.’s subsidiaries (the “Subsidiary Obligors”). The Madryn Credit Agreement is comprised of four tranches of debt aggregating $70.0 million. As of March 31, 2020, and December 31, 2019, the Subsidiary Obligors had borrowed $60.0 million under the term A-1 and A-2 and B tranches of the Madryn Credit Agreement. Term C borrowings of $10.0 million were undrawn and are no longer available. On the 24th payment date, which is September 30, 2022, the aggregate outstanding principal amount of the loans, together with any accrued and unpaid interest thereon and all other amounts due and owing under the loan agreement will become due and payable in full. Borrowings under the Madryn Credit Agreement are secured by substantially all of our assets and the assets of the Subsidiary Obligors.</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1"/>
          <w:szCs w:val="11"/>
          <w:color w:val="auto"/>
        </w:rPr>
        <w:t>In connection with the Merger, we entered into an amendment to the Madryn Credit Agreement, dated as of November 7, 2019, (the “Amendment”), pursuant to which we joined as (i) a guarantor to the Madryn Credit Agreement and</w:t>
      </w:r>
    </w:p>
    <w:p>
      <w:pPr>
        <w:spacing w:after="0" w:line="26" w:lineRule="exact"/>
        <w:rPr>
          <w:sz w:val="20"/>
          <w:szCs w:val="20"/>
          <w:color w:val="auto"/>
        </w:rPr>
      </w:pPr>
    </w:p>
    <w:p>
      <w:pPr>
        <w:jc w:val="both"/>
        <w:ind w:left="8" w:right="120" w:hanging="8"/>
        <w:spacing w:after="0" w:line="253" w:lineRule="auto"/>
        <w:tabs>
          <w:tab w:leader="none" w:pos="185" w:val="left"/>
        </w:tabs>
        <w:numPr>
          <w:ilvl w:val="0"/>
          <w:numId w:val="12"/>
        </w:numPr>
        <w:rPr>
          <w:rFonts w:ascii="Arial" w:cs="Arial" w:eastAsia="Arial" w:hAnsi="Arial"/>
          <w:sz w:val="12"/>
          <w:szCs w:val="12"/>
          <w:color w:val="auto"/>
        </w:rPr>
      </w:pPr>
      <w:r>
        <w:rPr>
          <w:rFonts w:ascii="Arial" w:cs="Arial" w:eastAsia="Arial" w:hAnsi="Arial"/>
          <w:sz w:val="12"/>
          <w:szCs w:val="12"/>
          <w:color w:val="auto"/>
        </w:rPr>
        <w:t>a grantor to the certain security agreement, dated October 11, 2016, (as amended, restated, supplemented or otherwise modified from time to time), by and among the grantors from time to time party thereto and the administrative agent (the “U.S. Security Agreement”). As a guarantor under the Madryn Credit Agreement, we are jointly and severally liable for the obligations (as defined in the Madryn Credit Agreement) thereunder and to secure our obligations thereunder, we have granted the administrative agent a lien on all of our assets pursuant to the terms of the U.S. Security Agreement. In the event of default under the Madryn Credit Agreement, Madryn may accelerate the obligations and foreclose on the collateral granted by us and Venus Concept Ltd. under the U.S. Security Agreement to satisfy the obligations.</w:t>
      </w:r>
    </w:p>
    <w:p>
      <w:pPr>
        <w:spacing w:after="0" w:line="129" w:lineRule="exact"/>
        <w:rPr>
          <w:sz w:val="20"/>
          <w:szCs w:val="20"/>
          <w:color w:val="auto"/>
        </w:rPr>
      </w:pPr>
    </w:p>
    <w:p>
      <w:pPr>
        <w:ind w:left="8" w:right="40"/>
        <w:spacing w:after="0" w:line="323" w:lineRule="auto"/>
        <w:rPr>
          <w:sz w:val="20"/>
          <w:szCs w:val="20"/>
          <w:color w:val="auto"/>
        </w:rPr>
      </w:pPr>
      <w:r>
        <w:rPr>
          <w:rFonts w:ascii="Arial" w:cs="Arial" w:eastAsia="Arial" w:hAnsi="Arial"/>
          <w:sz w:val="11"/>
          <w:szCs w:val="11"/>
          <w:color w:val="auto"/>
        </w:rPr>
        <w:t>Effective August 14, 2018, interest on the Madryn loan is 9%, payable quarterly. Previously, interest was payable quarterly, at Venus Concept Ltd.’s option, as follows: cash interest 9% during the interest only period, which was 3 years or 12 principal payments after closing, plus an additional 4% rate, paid in kind (“PIK”). We have the option of settling the PIK interest in cash or adding the owed interest to the principal amount of the loan.</w:t>
      </w:r>
    </w:p>
    <w:p>
      <w:pPr>
        <w:spacing w:after="0" w:line="92" w:lineRule="exact"/>
        <w:rPr>
          <w:sz w:val="20"/>
          <w:szCs w:val="20"/>
          <w:color w:val="auto"/>
        </w:rPr>
      </w:pPr>
    </w:p>
    <w:p>
      <w:pPr>
        <w:ind w:left="8" w:right="200"/>
        <w:spacing w:after="0" w:line="323" w:lineRule="auto"/>
        <w:rPr>
          <w:sz w:val="20"/>
          <w:szCs w:val="20"/>
          <w:color w:val="auto"/>
        </w:rPr>
      </w:pPr>
      <w:r>
        <w:rPr>
          <w:rFonts w:ascii="Arial" w:cs="Arial" w:eastAsia="Arial" w:hAnsi="Arial"/>
          <w:sz w:val="11"/>
          <w:szCs w:val="11"/>
          <w:color w:val="auto"/>
        </w:rPr>
        <w:t>On April 29, 2020, we entered into an amendment to the Madryn Credit Agreement that (i) require that interest payments for the period beginning January 1, 2020 and ending on, and including, April 29, 2020 (the “PIK Period”), be paid-in-kind, (ii) increase the interest rate from 9.00% per annum to 12.00% per annum during the PIK Period and (iii) require us to provide certain additional financial and other reporting information to the lenders.</w:t>
      </w:r>
    </w:p>
    <w:p>
      <w:pPr>
        <w:spacing w:after="0" w:line="92"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89470" cy="11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8"/>
          </w:cols>
          <w:pgMar w:left="292" w:top="419" w:right="319" w:bottom="1440" w:gutter="0" w:footer="0" w:header="0"/>
        </w:sectPr>
      </w:pPr>
    </w:p>
    <w:bookmarkStart w:id="38" w:name="page39"/>
    <w:bookmarkEnd w:id="38"/>
    <w:p>
      <w:pPr>
        <w:jc w:val="both"/>
        <w:ind w:right="20"/>
        <w:spacing w:after="0" w:line="263" w:lineRule="auto"/>
        <w:rPr>
          <w:sz w:val="20"/>
          <w:szCs w:val="20"/>
          <w:color w:val="auto"/>
        </w:rPr>
      </w:pPr>
      <w:r>
        <w:rPr>
          <w:rFonts w:ascii="Arial" w:cs="Arial" w:eastAsia="Arial" w:hAnsi="Arial"/>
          <w:sz w:val="12"/>
          <w:szCs w:val="12"/>
          <w:color w:val="auto"/>
        </w:rPr>
        <w:t>Pursuant to the terms of the Madryn Credit Agreement, if all or any portion of the loans are prepaid, then a prepayment premium must be paid equal to: (i) 8.00% of the loans prepaid if prepaid on or prior to August 31, 2019, (ii) 6.50% if prepaid after August 31, 2019 but on or prior to August 31, 2020, (iii) 5.00% if prepaid after August 31, 2020 but on or prior to February 28, 2021, (iv) 4.00% if prepaid after February 28, 2021, but on or prior to August 31, 2021, (v) 3.00% if prepaid after August 31, 2021, but on or prior to February 28, 2022, and (vi) 2.00% if prepaid after February 28, 2022.</w:t>
      </w:r>
    </w:p>
    <w:p>
      <w:pPr>
        <w:spacing w:after="0" w:line="122"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The Madryn Credit Agreement contains certain covenants that require us together with our subsidiaries to achieve certain minimum revenue and liquidity thresholds. The minimum revenue and liquidity covenants require that we and our subsidiaries, on a consolidated basis, achieve (i) minimum reported revenue targets for any four consecutive fiscal quarter period of an amount equal to the greater of (A) $100.0 million and (B) one hundred and fifty percent (150%) of the aggregate outstanding amount of the loans as of the last day of such four consecutive fiscal quarter period, (ii) minimum levels of cash held in deposit accounts controlled by Madryn to be no less than $2.0 million and (iii) minimum levels of cash held in all deposit accounts, plus availability under the CNB Credit Facility (as defined below), to be no less than $5.0 million.</w:t>
      </w:r>
    </w:p>
    <w:p>
      <w:pPr>
        <w:spacing w:after="0" w:line="124" w:lineRule="exact"/>
        <w:rPr>
          <w:sz w:val="20"/>
          <w:szCs w:val="20"/>
          <w:color w:val="auto"/>
        </w:rPr>
      </w:pPr>
    </w:p>
    <w:p>
      <w:pPr>
        <w:spacing w:after="0"/>
        <w:rPr>
          <w:sz w:val="20"/>
          <w:szCs w:val="20"/>
          <w:color w:val="auto"/>
        </w:rPr>
      </w:pPr>
      <w:r>
        <w:rPr>
          <w:rFonts w:ascii="Arial" w:cs="Arial" w:eastAsia="Arial" w:hAnsi="Arial"/>
          <w:sz w:val="11"/>
          <w:szCs w:val="11"/>
          <w:color w:val="auto"/>
        </w:rPr>
        <w:t>The Madryn Credit Agreement also contains various covenants that limit our ability and the ability of our subsidiaries to engage in specified types of transactions. Subject to limited exceptions, these covenants limit our ability, without</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Madryn’s consent, to, among other things:</w:t>
      </w:r>
    </w:p>
    <w:p>
      <w:pPr>
        <w:spacing w:after="0" w:line="141" w:lineRule="exact"/>
        <w:rPr>
          <w:sz w:val="20"/>
          <w:szCs w:val="20"/>
          <w:color w:val="auto"/>
        </w:rPr>
      </w:pPr>
    </w:p>
    <w:p>
      <w:pPr>
        <w:ind w:left="740" w:hanging="370"/>
        <w:spacing w:after="0"/>
        <w:tabs>
          <w:tab w:leader="none" w:pos="7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sell, lease, transfer, exclusively license or dispose of our assets;</w:t>
      </w:r>
    </w:p>
    <w:p>
      <w:pPr>
        <w:spacing w:after="0" w:line="14" w:lineRule="exact"/>
        <w:rPr>
          <w:rFonts w:ascii="Arial" w:cs="Arial" w:eastAsia="Arial" w:hAnsi="Arial"/>
          <w:sz w:val="12"/>
          <w:szCs w:val="12"/>
          <w:color w:val="auto"/>
        </w:rPr>
      </w:pPr>
    </w:p>
    <w:p>
      <w:pPr>
        <w:ind w:left="740" w:hanging="370"/>
        <w:spacing w:after="0"/>
        <w:tabs>
          <w:tab w:leader="none" w:pos="7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create, incur, assume or permit to exist additional indebtedness or liens, which may limit our ability to raise additional capital;</w:t>
      </w:r>
    </w:p>
    <w:p>
      <w:pPr>
        <w:spacing w:after="0" w:line="6" w:lineRule="exact"/>
        <w:rPr>
          <w:rFonts w:ascii="Arial" w:cs="Arial" w:eastAsia="Arial" w:hAnsi="Arial"/>
          <w:sz w:val="12"/>
          <w:szCs w:val="12"/>
          <w:color w:val="auto"/>
        </w:rPr>
      </w:pPr>
    </w:p>
    <w:p>
      <w:pPr>
        <w:ind w:left="740" w:hanging="370"/>
        <w:spacing w:after="0"/>
        <w:tabs>
          <w:tab w:leader="none" w:pos="7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make restricted payments, including paying dividends on, repurchasing or making distributions with respect to our capital stock;</w:t>
      </w:r>
    </w:p>
    <w:p>
      <w:pPr>
        <w:spacing w:after="0" w:line="6" w:lineRule="exact"/>
        <w:rPr>
          <w:rFonts w:ascii="Arial" w:cs="Arial" w:eastAsia="Arial" w:hAnsi="Arial"/>
          <w:sz w:val="12"/>
          <w:szCs w:val="12"/>
          <w:color w:val="auto"/>
        </w:rPr>
      </w:pPr>
    </w:p>
    <w:p>
      <w:pPr>
        <w:ind w:left="740" w:hanging="370"/>
        <w:spacing w:after="0"/>
        <w:tabs>
          <w:tab w:leader="none" w:pos="7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pay any cash dividend or make any other cash distribution or payment in respect of our capital stock;</w:t>
      </w:r>
    </w:p>
    <w:p>
      <w:pPr>
        <w:spacing w:after="0" w:line="6" w:lineRule="exact"/>
        <w:rPr>
          <w:rFonts w:ascii="Arial" w:cs="Arial" w:eastAsia="Arial" w:hAnsi="Arial"/>
          <w:sz w:val="12"/>
          <w:szCs w:val="12"/>
          <w:color w:val="auto"/>
        </w:rPr>
      </w:pPr>
    </w:p>
    <w:p>
      <w:pPr>
        <w:ind w:left="740" w:hanging="370"/>
        <w:spacing w:after="0"/>
        <w:tabs>
          <w:tab w:leader="none" w:pos="7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make specified investments (including loans and advances);</w:t>
      </w:r>
    </w:p>
    <w:p>
      <w:pPr>
        <w:spacing w:after="0" w:line="6" w:lineRule="exact"/>
        <w:rPr>
          <w:rFonts w:ascii="Arial" w:cs="Arial" w:eastAsia="Arial" w:hAnsi="Arial"/>
          <w:sz w:val="12"/>
          <w:szCs w:val="12"/>
          <w:color w:val="auto"/>
        </w:rPr>
      </w:pPr>
    </w:p>
    <w:p>
      <w:pPr>
        <w:ind w:left="740" w:hanging="370"/>
        <w:spacing w:after="0"/>
        <w:tabs>
          <w:tab w:leader="none" w:pos="7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make changes to certain key personnel including our President and Chief Executive Officer;</w:t>
      </w:r>
    </w:p>
    <w:p>
      <w:pPr>
        <w:spacing w:after="0" w:line="6" w:lineRule="exact"/>
        <w:rPr>
          <w:rFonts w:ascii="Arial" w:cs="Arial" w:eastAsia="Arial" w:hAnsi="Arial"/>
          <w:sz w:val="12"/>
          <w:szCs w:val="12"/>
          <w:color w:val="auto"/>
        </w:rPr>
      </w:pPr>
    </w:p>
    <w:p>
      <w:pPr>
        <w:ind w:left="740" w:hanging="370"/>
        <w:spacing w:after="0"/>
        <w:tabs>
          <w:tab w:leader="none" w:pos="7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merge, consolidate or liquidate; and</w:t>
      </w:r>
    </w:p>
    <w:p>
      <w:pPr>
        <w:spacing w:after="0" w:line="6" w:lineRule="exact"/>
        <w:rPr>
          <w:rFonts w:ascii="Arial" w:cs="Arial" w:eastAsia="Arial" w:hAnsi="Arial"/>
          <w:sz w:val="12"/>
          <w:szCs w:val="12"/>
          <w:color w:val="auto"/>
        </w:rPr>
      </w:pPr>
    </w:p>
    <w:p>
      <w:pPr>
        <w:ind w:left="740" w:hanging="370"/>
        <w:spacing w:after="0"/>
        <w:tabs>
          <w:tab w:leader="none" w:pos="7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enter into certain transactions with affiliates.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As of March 31, 2020, and December 31, 2019, we were in compliance with all required covenants.</w:t>
      </w:r>
    </w:p>
    <w:p>
      <w:pPr>
        <w:spacing w:after="0" w:line="150"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color w:val="auto"/>
        </w:rPr>
        <w:t>In connection with the Madryn Credit Agreement, Venus Concept Ltd. issued three types of 10-year warrants (“Madryn Warrants”). As of March 31, 2020, Madryn Warrants exercisable for 179,932 shares of common stock were outstanding.</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CNB Credit Facility</w:t>
      </w:r>
    </w:p>
    <w:p>
      <w:pPr>
        <w:spacing w:after="0" w:line="150"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We have a revolving credit facility with CNB pursuant to which CNB agreed to provide a revolving credit facility to us and certain of our subsidiaries in the maximum principal amount of $10.0 million ($7.5 million as of March 31, 2019), to be used to finance working capital requirements (the “Credit Facility”). In April 2019, maximum principal amount under the Credit Facility was increased from $7.5 million to $10.0 million. As of March 31, 2020, there was $8.2 million outstanding ($7.8 million as of December 31, 2019) under the Credit Facility, which bears interest at LIBOR rate plus 3.25%, which amounted to a weighted average of 4.64% (5.9% in the three months ended March 31, 2019).</w:t>
      </w:r>
    </w:p>
    <w:p>
      <w:pPr>
        <w:spacing w:after="0" w:line="142" w:lineRule="exact"/>
        <w:rPr>
          <w:sz w:val="20"/>
          <w:szCs w:val="20"/>
          <w:color w:val="auto"/>
        </w:rPr>
      </w:pPr>
    </w:p>
    <w:p>
      <w:pPr>
        <w:ind w:right="40"/>
        <w:spacing w:after="0" w:line="289" w:lineRule="auto"/>
        <w:rPr>
          <w:sz w:val="20"/>
          <w:szCs w:val="20"/>
          <w:color w:val="auto"/>
        </w:rPr>
      </w:pPr>
      <w:r>
        <w:rPr>
          <w:rFonts w:ascii="Arial" w:cs="Arial" w:eastAsia="Arial" w:hAnsi="Arial"/>
          <w:sz w:val="11"/>
          <w:szCs w:val="11"/>
          <w:color w:val="auto"/>
        </w:rPr>
        <w:t>The Credit Facility contains various covenants that limit our ability to engage in specified types of transactions. Subject to limited exceptions, these covenants limit our ability, without CNB’s consent, to, among other things, sell, lease, transfer, exclusively license or dispose of our assets, incur, create or permit to exist additional indebtedness, or liens, to make dividends and certain other restricted payments, and to make certain changes to its management and/or ownership structure. In addition, the Credit Facility contains certain covenants that require our subsidiary obligors to achieve certain minimum account balances, or a minimum debt service coverage ratio and a maximum total liability to tangible net worth ratio. If our subsidiary obligors fail to comply with these covenants, it will result in a default and require us and our subsidiary obligors to repay all outstanding principal amounts and accrued interest.</w:t>
      </w:r>
    </w:p>
    <w:p>
      <w:pPr>
        <w:spacing w:after="0" w:line="111"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The Credit Facility is secured by substantially all of our assets and the assets of certain of our subsidiaries requires us to maintain either a minimum cash balance in deposit accounts or a maximum total liability to tangible net worth ratio and a minimum debt service coverage ratio. An event of default under the Credit Facility would cause a default under the Madryn Credit Agreement as described above.</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39" w:name="page40"/>
    <w:bookmarkEnd w:id="39"/>
    <w:p>
      <w:pPr>
        <w:ind w:right="100"/>
        <w:spacing w:after="0" w:line="289" w:lineRule="auto"/>
        <w:rPr>
          <w:sz w:val="20"/>
          <w:szCs w:val="20"/>
          <w:color w:val="auto"/>
        </w:rPr>
      </w:pPr>
      <w:r>
        <w:rPr>
          <w:rFonts w:ascii="Arial" w:cs="Arial" w:eastAsia="Arial" w:hAnsi="Arial"/>
          <w:sz w:val="11"/>
          <w:szCs w:val="11"/>
          <w:color w:val="auto"/>
        </w:rPr>
        <w:t>On March 20, 2020, we entered into a Second Amended and Restated Loan Agreement as a borrower with CNB, as amended, pursuant to which CNB agreed to make certain loans and other financial accommodations to us. In connection with the CNB Credit Facility, we also entered into (i) a Second Amended and Restated Guaranty of Payment and Performance with CNB dated as of March 20, 2020, (the “CNB Guaranty”), pursuant to which we agreed to guaranty the obligations under the CNB Credit Facility and (ii) a Security Agreement with CNB dated as of March 20, 2020, (the “CNB Security Agreement”), pursuant to which we agreed to grant CNB a security interest, in substantially all of its assets, to secure the obligations under the CNB Credit Facility. Borrowings under the CNB Credit Facility are secured by substantially all our assets and the CNB Guaranty.</w:t>
      </w:r>
    </w:p>
    <w:p>
      <w:pPr>
        <w:spacing w:after="0" w:line="111"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In the event of a default, if we and our subsidiary obligors are unable to repay all outstanding amounts, CNB may foreclose on the collateral granted to it to collateralize the indebtedness, which includes the enforcement of the CNB Guaranty, which will significantly affect our ability to operate its business.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As of March 31, 2020, and December 31, 2019, we were in compliance with all required covenants.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PPP Loans</w:t>
      </w:r>
    </w:p>
    <w:p>
      <w:pPr>
        <w:spacing w:after="0" w:line="150" w:lineRule="exact"/>
        <w:rPr>
          <w:sz w:val="20"/>
          <w:szCs w:val="20"/>
          <w:color w:val="auto"/>
        </w:rPr>
      </w:pPr>
    </w:p>
    <w:p>
      <w:pPr>
        <w:ind w:right="180"/>
        <w:spacing w:after="0" w:line="323" w:lineRule="auto"/>
        <w:rPr>
          <w:sz w:val="20"/>
          <w:szCs w:val="20"/>
          <w:color w:val="auto"/>
        </w:rPr>
      </w:pPr>
      <w:r>
        <w:rPr>
          <w:rFonts w:ascii="Arial" w:cs="Arial" w:eastAsia="Arial" w:hAnsi="Arial"/>
          <w:sz w:val="11"/>
          <w:szCs w:val="11"/>
          <w:color w:val="auto"/>
        </w:rPr>
        <w:t>In April 2020, we and our wholly-owned subsidiary, Venus Concept USA Inc., a Delaware corporation (“Venus USA”), received funding in the total amount of $4.1 million, in connection with two “Small Business Loans” under the federal Paycheck Protection Program provided in Section 7(a) of the Small Business Act of 1953, as amended by the Coronavirus Aid, Relief, and Economic Security Act, as amended from time to time (the “PPP”).</w:t>
      </w:r>
    </w:p>
    <w:p>
      <w:pPr>
        <w:spacing w:after="0" w:line="92" w:lineRule="exact"/>
        <w:rPr>
          <w:sz w:val="20"/>
          <w:szCs w:val="20"/>
          <w:color w:val="auto"/>
        </w:rPr>
      </w:pPr>
    </w:p>
    <w:p>
      <w:pPr>
        <w:ind w:right="120"/>
        <w:spacing w:after="0" w:line="259" w:lineRule="auto"/>
        <w:rPr>
          <w:sz w:val="20"/>
          <w:szCs w:val="20"/>
          <w:color w:val="auto"/>
        </w:rPr>
      </w:pPr>
      <w:r>
        <w:rPr>
          <w:rFonts w:ascii="Arial" w:cs="Arial" w:eastAsia="Arial" w:hAnsi="Arial"/>
          <w:sz w:val="12"/>
          <w:szCs w:val="12"/>
          <w:color w:val="auto"/>
        </w:rPr>
        <w:t>Pursuant to the terms of the U.S. Small Business Administration Note dated as of April 21, 2020, by us and in favor of CNB, we borrowed $1.7 million of original principal amount, which was funded on April 29, 2020 (the “Venus Concept PPP Loan”). The Venus Concept PPP Loan bears interest at 1% per annum and matures in two years from the date of disbursement of funds under the loan. Interest and principal payments under the Venus Concept PPP Loan will be deferred for a period of six months. Under certain circumstances, all or a portion of the Venus Concept PPP Loan may be forgiven, however, there can be no assurance that any portion of the Venus Concept PPP Loan will be forgiven and that we would not be required to repay the Venus Concept PPP Loan in full.</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Venus Concept PPP Loan contain certain covenants which, among other things, restrict our use of the proceeds of the PPP Loan to the payment of payroll costs, interest on mortgage obligations, rent obligations and utility expenses, require compliance with all other loans or other agreements with any our creditor, to the extent that a default under any loan or other agreement would materially affect our ability to repay its PPP Loan and limit our ability to make certain changes to our ownership structure.</w:t>
      </w:r>
    </w:p>
    <w:p>
      <w:pPr>
        <w:spacing w:after="0" w:line="122"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Venus USA also entered into a U.S. Small Business Administration Note dated as of April 15, 2020 in favor of CNB pursuant to which Venus USA borrowed $2.4 million of original principal amount, which was funded on April 20, 2020 (the “Venus USA PPP Loan” and together with the Venus Concept PPP Loan, individually each a “PPP Loan” and collectively, the “PPP Loans”). The terms of the Venus USA PPP Loan are substantially similar to the terms of the Venus Concept PPP Loan.</w:t>
      </w:r>
    </w:p>
    <w:p>
      <w:pPr>
        <w:spacing w:after="0" w:line="122" w:lineRule="exact"/>
        <w:rPr>
          <w:sz w:val="20"/>
          <w:szCs w:val="20"/>
          <w:color w:val="auto"/>
        </w:rPr>
      </w:pPr>
    </w:p>
    <w:p>
      <w:pPr>
        <w:ind w:right="60"/>
        <w:spacing w:after="0" w:line="340" w:lineRule="auto"/>
        <w:rPr>
          <w:sz w:val="20"/>
          <w:szCs w:val="20"/>
          <w:color w:val="auto"/>
        </w:rPr>
      </w:pPr>
      <w:r>
        <w:rPr>
          <w:rFonts w:ascii="Arial" w:cs="Arial" w:eastAsia="Arial" w:hAnsi="Arial"/>
          <w:sz w:val="10"/>
          <w:szCs w:val="10"/>
          <w:color w:val="auto"/>
        </w:rPr>
        <w:t>Under the Madryn Credit Agreement each PPP Loan is permitted to be incurred by us and Venus Concept USA as long as certain conditions remain satisfied, including that all PPP Loans must be forgiven other than any amount which can fit under existing permitted debt baskets in the Madryn Credit Agreement. If we and/or Venus Concept USA defaults on the respective PPP Loan or if any of the conditions to the incurrence thereof under the Madryn Credit Agreement are not satisfied (i) events of default will occur under the Madryn Credit Agreement and the CNB Credit Facility and (ii) we and Venus Concept USA may be required to immediately repay their respective PPP Loan.</w:t>
      </w:r>
    </w:p>
    <w:p>
      <w:pPr>
        <w:spacing w:after="0" w:line="87"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Also, the SBA has decided, in consultation with the Department of the Treasury, that it will review all loans in excess of $2.0 million following the lender’s submission of the borrower’s loan forgiveness application. To the extent that the SBA’s audit determines that Venus Concept USA was not entitled to the loan under the PPP, the loan may not be forgiven, an event of default would occur under the Madryn Credit Agreement and Venus Concept USA could be subject to civil and criminal penalties.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Capital Resources</w:t>
      </w:r>
    </w:p>
    <w:p>
      <w:pPr>
        <w:spacing w:after="0" w:line="150"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As of March 31, 2020, we had capital resources consisting of cash and cash equivalents of approximately $20.6 million. We have financed our operations principally through the issuance and sale of our common stock and preferred stock, debt financing, and payments from customers.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40" w:name="page41"/>
    <w:bookmarkEnd w:id="40"/>
    <w:p>
      <w:pPr>
        <w:ind w:right="20"/>
        <w:spacing w:after="0" w:line="255" w:lineRule="auto"/>
        <w:rPr>
          <w:sz w:val="20"/>
          <w:szCs w:val="20"/>
          <w:color w:val="auto"/>
        </w:rPr>
      </w:pPr>
      <w:r>
        <w:rPr>
          <w:rFonts w:ascii="Arial" w:cs="Arial" w:eastAsia="Arial" w:hAnsi="Arial"/>
          <w:sz w:val="12"/>
          <w:szCs w:val="12"/>
          <w:color w:val="auto"/>
        </w:rPr>
        <w:t>While we believe that the net proceeds from the 2020 Private Placement, the proceeds from the PPP Loans, together with our existing cash and cash equivalents, and the anticipated savings from our Merger-related cost savings initiatives and our new restructuring program, will enable us to fund our operating expenses and capital expenditure requirements for at least the next 12 months, the impact of COVID-19 on our business has been significant and we cannot anticipate the extent to which the current economic turmoil will continue to adversely impact our business which is largely subject to whether the severity worsens, or duration lengthens. Given the COVID-19 pandemic, we may need additional capital to fund our future operations and to access the capital markets sooner than we planned. We cannot assure you that we will be successful in raising additional capital or that such capital, if available at all, will be on terms that are acceptable to us. If we are unable to raise sufficient additional capital, we may be compelled to reduce the scope of our operations and planned capital or research and development expenditures or sell certain assets, including intellectual property assets.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Additional funds may not be available when we need them, on terms that are acceptable to us, or at all. If adequate funds are not available to us on a timely basis, we may be required to:</w:t>
      </w:r>
    </w:p>
    <w:p>
      <w:pPr>
        <w:spacing w:after="0" w:line="150" w:lineRule="exact"/>
        <w:rPr>
          <w:sz w:val="20"/>
          <w:szCs w:val="20"/>
          <w:color w:val="auto"/>
        </w:rPr>
      </w:pPr>
    </w:p>
    <w:p>
      <w:pPr>
        <w:ind w:left="740" w:hanging="370"/>
        <w:spacing w:after="0"/>
        <w:tabs>
          <w:tab w:leader="none" w:pos="7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delay or curtail our efforts to develop system product enhancements or new products, including any clinical trials that may be required to market such enhancements;</w:t>
      </w:r>
    </w:p>
    <w:p>
      <w:pPr>
        <w:spacing w:after="0" w:line="14" w:lineRule="exact"/>
        <w:rPr>
          <w:rFonts w:ascii="Arial" w:cs="Arial" w:eastAsia="Arial" w:hAnsi="Arial"/>
          <w:sz w:val="12"/>
          <w:szCs w:val="12"/>
          <w:color w:val="auto"/>
        </w:rPr>
      </w:pPr>
    </w:p>
    <w:p>
      <w:pPr>
        <w:ind w:left="740" w:hanging="370"/>
        <w:spacing w:after="0"/>
        <w:tabs>
          <w:tab w:leader="none" w:pos="7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delay or curtail our plans to increase and expand our sales and marketing efforts; or</w:t>
      </w:r>
    </w:p>
    <w:p>
      <w:pPr>
        <w:spacing w:after="0" w:line="6" w:lineRule="exact"/>
        <w:rPr>
          <w:rFonts w:ascii="Arial" w:cs="Arial" w:eastAsia="Arial" w:hAnsi="Arial"/>
          <w:sz w:val="12"/>
          <w:szCs w:val="12"/>
          <w:color w:val="auto"/>
        </w:rPr>
      </w:pPr>
    </w:p>
    <w:p>
      <w:pPr>
        <w:ind w:left="740" w:hanging="370"/>
        <w:spacing w:after="0"/>
        <w:tabs>
          <w:tab w:leader="none" w:pos="7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delay or curtail our plans to enhance our customer support and marketing activities.</w:t>
      </w:r>
    </w:p>
    <w:p>
      <w:pPr>
        <w:spacing w:after="0" w:line="141"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We are restricted by covenants in the Madryn Credit Agreement, the CNB Credit Facility and the PPP Loans. These covenants restrict, among other things, our ability to incur additional indebtedness, which may limit our ability to obtain additional debt financing. In addition, the Madryn Credit Agreement contains certain minimum liquidity and minimum revenue covenants, which, if we fail to maintain or achieve, will result in a default under the agreement and the requirement for us to repay all outstanding principal amounts and accrued interest repay all amounts outstanding. In the event that the COVID-19 pandemic and the economic disruptions it has caused continue for an extended period of time, we cannot assure that we will remain in compliance with the financial covenants in our credit facilities. We also cannot assure you that our lenders would provide relief or that we could secure alternative financing on favorable terms if at all. Our failure to comply with the covenants contained in our credit facilities, including financial covenants, could result in an event of default, which could materially and adversely affect our results of operations and financial condition.</w:t>
      </w:r>
    </w:p>
    <w:p>
      <w:pPr>
        <w:spacing w:after="0" w:line="128"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We based our projections on the amount of time through which our financial resources will be adequate to support our operations on assumptions that may prove to be incorrect and we may use all our available capital resources sooner than we expect. Our future funding requirements will depend on many factors, including, but not limited to:</w:t>
      </w:r>
    </w:p>
    <w:p>
      <w:pPr>
        <w:spacing w:after="0" w:line="115" w:lineRule="exact"/>
        <w:rPr>
          <w:sz w:val="20"/>
          <w:szCs w:val="20"/>
          <w:color w:val="auto"/>
        </w:rPr>
      </w:pPr>
    </w:p>
    <w:p>
      <w:pPr>
        <w:ind w:left="740" w:hanging="370"/>
        <w:spacing w:after="0"/>
        <w:tabs>
          <w:tab w:leader="none" w:pos="7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cost of growing our ongoing commercialization and sales and marketing activities;</w:t>
      </w:r>
    </w:p>
    <w:p>
      <w:pPr>
        <w:spacing w:after="0" w:line="14" w:lineRule="exact"/>
        <w:rPr>
          <w:rFonts w:ascii="Arial" w:cs="Arial" w:eastAsia="Arial" w:hAnsi="Arial"/>
          <w:sz w:val="12"/>
          <w:szCs w:val="12"/>
          <w:color w:val="auto"/>
        </w:rPr>
      </w:pPr>
    </w:p>
    <w:p>
      <w:pPr>
        <w:ind w:left="740" w:hanging="370"/>
        <w:spacing w:after="0"/>
        <w:tabs>
          <w:tab w:leader="none" w:pos="7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costs of manufacturing and maintaining enough inventories of our systems to meet anticipated demand and inventory write-offs related to obsolete products or components;</w:t>
      </w:r>
    </w:p>
    <w:p>
      <w:pPr>
        <w:spacing w:after="0" w:line="6" w:lineRule="exact"/>
        <w:rPr>
          <w:rFonts w:ascii="Arial" w:cs="Arial" w:eastAsia="Arial" w:hAnsi="Arial"/>
          <w:sz w:val="12"/>
          <w:szCs w:val="12"/>
          <w:color w:val="auto"/>
        </w:rPr>
      </w:pPr>
    </w:p>
    <w:p>
      <w:pPr>
        <w:ind w:left="740" w:hanging="370"/>
        <w:spacing w:after="0"/>
        <w:tabs>
          <w:tab w:leader="none" w:pos="7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costs of enhancing the existing functionality and development of new functionalities for our systems;</w:t>
      </w:r>
    </w:p>
    <w:p>
      <w:pPr>
        <w:spacing w:after="0" w:line="6" w:lineRule="exact"/>
        <w:rPr>
          <w:rFonts w:ascii="Arial" w:cs="Arial" w:eastAsia="Arial" w:hAnsi="Arial"/>
          <w:sz w:val="12"/>
          <w:szCs w:val="12"/>
          <w:color w:val="auto"/>
        </w:rPr>
      </w:pPr>
    </w:p>
    <w:p>
      <w:pPr>
        <w:ind w:left="740" w:hanging="370"/>
        <w:spacing w:after="0"/>
        <w:tabs>
          <w:tab w:leader="none" w:pos="7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costs of preparing, filing, prosecuting, defending, and enforcing patent claims and other patent related costs, including litigation costs and the results of such litigation;</w:t>
      </w:r>
    </w:p>
    <w:p>
      <w:pPr>
        <w:spacing w:after="0" w:line="6" w:lineRule="exact"/>
        <w:rPr>
          <w:rFonts w:ascii="Arial" w:cs="Arial" w:eastAsia="Arial" w:hAnsi="Arial"/>
          <w:sz w:val="12"/>
          <w:szCs w:val="12"/>
          <w:color w:val="auto"/>
        </w:rPr>
      </w:pPr>
    </w:p>
    <w:p>
      <w:pPr>
        <w:ind w:left="740" w:right="320" w:hanging="370"/>
        <w:spacing w:after="0" w:line="250" w:lineRule="auto"/>
        <w:tabs>
          <w:tab w:leader="none" w:pos="7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variability of ARTAS® procedures being performed between periods if particular high-volume practitioners perform a smaller number of procedures in each period as a result of the concentration of procedures performed by certain practitioners;</w:t>
      </w:r>
    </w:p>
    <w:p>
      <w:pPr>
        <w:ind w:left="740" w:hanging="370"/>
        <w:spacing w:after="0"/>
        <w:tabs>
          <w:tab w:leader="none" w:pos="7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any product liability or other lawsuits and the costs associated with defending them or the results of such lawsuits;</w:t>
      </w:r>
    </w:p>
    <w:p>
      <w:pPr>
        <w:spacing w:after="0" w:line="6" w:lineRule="exact"/>
        <w:rPr>
          <w:rFonts w:ascii="Arial" w:cs="Arial" w:eastAsia="Arial" w:hAnsi="Arial"/>
          <w:sz w:val="12"/>
          <w:szCs w:val="12"/>
          <w:color w:val="auto"/>
        </w:rPr>
      </w:pPr>
    </w:p>
    <w:p>
      <w:pPr>
        <w:ind w:left="740" w:hanging="370"/>
        <w:spacing w:after="0"/>
        <w:tabs>
          <w:tab w:leader="none" w:pos="7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costs associated with conducting business and maintaining subsidiaries and other entities in foreign jurisdictions;</w:t>
      </w:r>
    </w:p>
    <w:p>
      <w:pPr>
        <w:spacing w:after="0" w:line="6" w:lineRule="exact"/>
        <w:rPr>
          <w:rFonts w:ascii="Arial" w:cs="Arial" w:eastAsia="Arial" w:hAnsi="Arial"/>
          <w:sz w:val="12"/>
          <w:szCs w:val="12"/>
          <w:color w:val="auto"/>
        </w:rPr>
      </w:pPr>
    </w:p>
    <w:p>
      <w:pPr>
        <w:ind w:left="740" w:hanging="370"/>
        <w:spacing w:after="0"/>
        <w:tabs>
          <w:tab w:leader="none" w:pos="7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customers in jurisdictions where our systems are not approved delaying their purchase, and not purchasing our systems, until they are approved or cleared for use in their market;</w:t>
      </w:r>
    </w:p>
    <w:p>
      <w:pPr>
        <w:spacing w:after="0" w:line="6" w:lineRule="exact"/>
        <w:rPr>
          <w:rFonts w:ascii="Arial" w:cs="Arial" w:eastAsia="Arial" w:hAnsi="Arial"/>
          <w:sz w:val="12"/>
          <w:szCs w:val="12"/>
          <w:color w:val="auto"/>
        </w:rPr>
      </w:pPr>
    </w:p>
    <w:p>
      <w:pPr>
        <w:ind w:left="740" w:hanging="370"/>
        <w:spacing w:after="0"/>
        <w:tabs>
          <w:tab w:leader="none" w:pos="7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costs to attract and retain personnel with the skills required for effective operations;</w:t>
      </w:r>
    </w:p>
    <w:p>
      <w:pPr>
        <w:spacing w:after="0" w:line="6" w:lineRule="exact"/>
        <w:rPr>
          <w:rFonts w:ascii="Arial" w:cs="Arial" w:eastAsia="Arial" w:hAnsi="Arial"/>
          <w:sz w:val="12"/>
          <w:szCs w:val="12"/>
          <w:color w:val="auto"/>
        </w:rPr>
      </w:pPr>
    </w:p>
    <w:p>
      <w:pPr>
        <w:ind w:left="740" w:hanging="370"/>
        <w:spacing w:after="0"/>
        <w:tabs>
          <w:tab w:leader="none" w:pos="7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costs associated with integration of the Merger;</w:t>
      </w:r>
    </w:p>
    <w:p>
      <w:pPr>
        <w:spacing w:after="0" w:line="6" w:lineRule="exact"/>
        <w:rPr>
          <w:rFonts w:ascii="Arial" w:cs="Arial" w:eastAsia="Arial" w:hAnsi="Arial"/>
          <w:sz w:val="12"/>
          <w:szCs w:val="12"/>
          <w:color w:val="auto"/>
        </w:rPr>
      </w:pPr>
    </w:p>
    <w:p>
      <w:pPr>
        <w:ind w:left="740" w:hanging="370"/>
        <w:spacing w:after="0"/>
        <w:tabs>
          <w:tab w:leader="none" w:pos="7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costs associated with being a public company; and</w:t>
      </w:r>
    </w:p>
    <w:p>
      <w:pPr>
        <w:spacing w:after="0" w:line="6" w:lineRule="exact"/>
        <w:rPr>
          <w:rFonts w:ascii="Arial" w:cs="Arial" w:eastAsia="Arial" w:hAnsi="Arial"/>
          <w:sz w:val="12"/>
          <w:szCs w:val="12"/>
          <w:color w:val="auto"/>
        </w:rPr>
      </w:pPr>
    </w:p>
    <w:p>
      <w:pPr>
        <w:ind w:left="740" w:hanging="370"/>
        <w:spacing w:after="0"/>
        <w:tabs>
          <w:tab w:leader="none" w:pos="7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uncertainties related to the COVID-19 pandemic.</w:t>
      </w:r>
    </w:p>
    <w:p>
      <w:pPr>
        <w:spacing w:after="0" w:line="141" w:lineRule="exact"/>
        <w:rPr>
          <w:sz w:val="20"/>
          <w:szCs w:val="20"/>
          <w:color w:val="auto"/>
        </w:rPr>
      </w:pPr>
    </w:p>
    <w:p>
      <w:pPr>
        <w:ind w:right="220"/>
        <w:spacing w:after="0" w:line="326" w:lineRule="auto"/>
        <w:rPr>
          <w:sz w:val="20"/>
          <w:szCs w:val="20"/>
          <w:color w:val="auto"/>
        </w:rPr>
      </w:pPr>
      <w:r>
        <w:rPr>
          <w:rFonts w:ascii="Arial" w:cs="Arial" w:eastAsia="Arial" w:hAnsi="Arial"/>
          <w:sz w:val="10"/>
          <w:szCs w:val="10"/>
          <w:color w:val="auto"/>
        </w:rPr>
        <w:t>In order to grow our business and increase revenues, we will need to introduce and commercialize new products, grow our sales and marketing force, implement new software systems, as well as identify and penetrate new markets. Such endeavors have in the past increased, and may continue in the future, to increase our expenses, including sales and marketing, and research and development. We will have to continue to increase our revenues while effectively managing our expenses in order to achieve profitability and to sustain it. Our failure to control expenses could make it difficult to achieve profitability or to sustain profitability in the future. Moreover, we cannot be sure that our expenditures will result in the successful development and introduction of new products in a cost-effective and timely manner or that any such new products will achieve market acceptance and generate revenues for our business.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41" w:name="page42"/>
    <w:bookmarkEnd w:id="41"/>
    <w:p>
      <w:pPr>
        <w:spacing w:after="0"/>
        <w:rPr>
          <w:sz w:val="20"/>
          <w:szCs w:val="20"/>
          <w:color w:val="auto"/>
        </w:rPr>
      </w:pPr>
      <w:r>
        <w:rPr>
          <w:rFonts w:ascii="Arial" w:cs="Arial" w:eastAsia="Arial" w:hAnsi="Arial"/>
          <w:sz w:val="12"/>
          <w:szCs w:val="12"/>
          <w:b w:val="1"/>
          <w:bCs w:val="1"/>
          <w:i w:val="1"/>
          <w:iCs w:val="1"/>
          <w:color w:val="231F20"/>
        </w:rPr>
        <w:t>Cash flows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our cash flows for the periods indicated:</w:t>
      </w:r>
    </w:p>
    <w:p>
      <w:pPr>
        <w:spacing w:after="0" w:line="147" w:lineRule="exact"/>
        <w:rPr>
          <w:sz w:val="20"/>
          <w:szCs w:val="20"/>
          <w:color w:val="auto"/>
        </w:rPr>
      </w:pPr>
    </w:p>
    <w:p>
      <w:pPr>
        <w:jc w:val="center"/>
        <w:ind w:left="5340"/>
        <w:spacing w:after="0"/>
        <w:rPr>
          <w:sz w:val="20"/>
          <w:szCs w:val="20"/>
          <w:color w:val="auto"/>
        </w:rPr>
      </w:pPr>
      <w:r>
        <w:rPr>
          <w:rFonts w:ascii="Arial" w:cs="Arial" w:eastAsia="Arial" w:hAnsi="Arial"/>
          <w:sz w:val="10"/>
          <w:szCs w:val="10"/>
          <w:b w:val="1"/>
          <w:bCs w:val="1"/>
          <w:color w:val="auto"/>
        </w:rPr>
        <w:t>Three Months</w:t>
      </w:r>
    </w:p>
    <w:p>
      <w:pPr>
        <w:jc w:val="center"/>
        <w:ind w:left="5340"/>
        <w:spacing w:after="0" w:line="215" w:lineRule="auto"/>
        <w:rPr>
          <w:sz w:val="20"/>
          <w:szCs w:val="20"/>
          <w:color w:val="auto"/>
        </w:rPr>
      </w:pPr>
      <w:r>
        <w:rPr>
          <w:rFonts w:ascii="Arial" w:cs="Arial" w:eastAsia="Arial" w:hAnsi="Arial"/>
          <w:sz w:val="10"/>
          <w:szCs w:val="10"/>
          <w:b w:val="1"/>
          <w:bCs w:val="1"/>
          <w:color w:val="auto"/>
        </w:rPr>
        <w:t>Ended March 31</w:t>
      </w:r>
    </w:p>
    <w:tbl>
      <w:tblPr>
        <w:tblLayout w:type="fixed"/>
        <w:tblInd w:w="1680" w:type="dxa"/>
        <w:tblCellMar>
          <w:top w:w="0" w:type="dxa"/>
          <w:left w:w="0" w:type="dxa"/>
          <w:bottom w:w="0" w:type="dxa"/>
          <w:right w:w="0" w:type="dxa"/>
        </w:tblCellMar>
      </w:tblPr>
      <w:tr>
        <w:trPr>
          <w:trHeight w:val="97"/>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2020</w:t>
            </w:r>
          </w:p>
        </w:tc>
        <w:tc>
          <w:tcPr>
            <w:tcW w:w="420" w:type="dxa"/>
            <w:vAlign w:val="bottom"/>
            <w:tcBorders>
              <w:top w:val="single" w:sz="8" w:color="auto"/>
              <w:bottom w:val="single" w:sz="8" w:color="auto"/>
            </w:tcBorders>
          </w:tcPr>
          <w:p>
            <w:pPr>
              <w:spacing w:after="0"/>
              <w:rPr>
                <w:sz w:val="8"/>
                <w:szCs w:val="8"/>
                <w:color w:val="auto"/>
              </w:rPr>
            </w:pPr>
          </w:p>
        </w:tc>
        <w:tc>
          <w:tcPr>
            <w:tcW w:w="22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spacing w:after="0"/>
              <w:rPr>
                <w:sz w:val="8"/>
                <w:szCs w:val="8"/>
                <w:color w:val="auto"/>
              </w:rPr>
            </w:pPr>
          </w:p>
        </w:tc>
        <w:tc>
          <w:tcPr>
            <w:tcW w:w="800" w:type="dxa"/>
            <w:vAlign w:val="bottom"/>
            <w:tcBorders>
              <w:top w:val="single" w:sz="8" w:color="auto"/>
              <w:bottom w:val="single" w:sz="8" w:color="auto"/>
            </w:tcBorders>
          </w:tcPr>
          <w:p>
            <w:pPr>
              <w:jc w:val="right"/>
              <w:ind w:right="402"/>
              <w:spacing w:after="0" w:line="97" w:lineRule="exact"/>
              <w:rPr>
                <w:sz w:val="20"/>
                <w:szCs w:val="20"/>
                <w:color w:val="auto"/>
              </w:rPr>
            </w:pPr>
            <w:r>
              <w:rPr>
                <w:rFonts w:ascii="Arial" w:cs="Arial" w:eastAsia="Arial" w:hAnsi="Arial"/>
                <w:sz w:val="10"/>
                <w:szCs w:val="10"/>
                <w:b w:val="1"/>
                <w:bCs w:val="1"/>
                <w:color w:val="auto"/>
              </w:rPr>
              <w:t>2019</w:t>
            </w:r>
          </w:p>
        </w:tc>
        <w:tc>
          <w:tcPr>
            <w:tcW w:w="60" w:type="dxa"/>
            <w:vAlign w:val="bottom"/>
          </w:tcPr>
          <w:p>
            <w:pPr>
              <w:spacing w:after="0"/>
              <w:rPr>
                <w:sz w:val="8"/>
                <w:szCs w:val="8"/>
                <w:color w:val="auto"/>
              </w:rPr>
            </w:pPr>
          </w:p>
        </w:tc>
      </w:tr>
      <w:tr>
        <w:trPr>
          <w:trHeight w:val="97"/>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gridSpan w:val="3"/>
          </w:tcPr>
          <w:p>
            <w:pPr>
              <w:jc w:val="right"/>
              <w:ind w:right="96"/>
              <w:spacing w:after="0" w:line="97" w:lineRule="exact"/>
              <w:rPr>
                <w:sz w:val="20"/>
                <w:szCs w:val="20"/>
                <w:color w:val="auto"/>
              </w:rPr>
            </w:pPr>
            <w:r>
              <w:rPr>
                <w:rFonts w:ascii="Arial" w:cs="Arial" w:eastAsia="Arial" w:hAnsi="Arial"/>
                <w:sz w:val="10"/>
                <w:szCs w:val="10"/>
                <w:b w:val="1"/>
                <w:bCs w:val="1"/>
                <w:color w:val="auto"/>
              </w:rPr>
              <w:t>(in thousands)</w:t>
            </w: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53"/>
        </w:trPr>
        <w:tc>
          <w:tcPr>
            <w:tcW w:w="20" w:type="dxa"/>
            <w:vAlign w:val="bottom"/>
          </w:tcPr>
          <w:p>
            <w:pPr>
              <w:spacing w:after="0"/>
              <w:rPr>
                <w:sz w:val="13"/>
                <w:szCs w:val="13"/>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2"/>
                <w:szCs w:val="12"/>
                <w:color w:val="auto"/>
              </w:rPr>
              <w:t>Cash used in operating activities</w:t>
            </w:r>
          </w:p>
        </w:tc>
        <w:tc>
          <w:tcPr>
            <w:tcW w:w="2020" w:type="dxa"/>
            <w:vAlign w:val="bottom"/>
            <w:gridSpan w:val="2"/>
            <w:shd w:val="clear" w:color="auto" w:fill="CFF0FC"/>
          </w:tcPr>
          <w:p>
            <w:pPr>
              <w:jc w:val="right"/>
              <w:ind w:right="552"/>
              <w:spacing w:after="0"/>
              <w:rPr>
                <w:sz w:val="20"/>
                <w:szCs w:val="20"/>
                <w:color w:val="auto"/>
              </w:rPr>
            </w:pPr>
            <w:r>
              <w:rPr>
                <w:rFonts w:ascii="Arial" w:cs="Arial" w:eastAsia="Arial" w:hAnsi="Arial"/>
                <w:sz w:val="12"/>
                <w:szCs w:val="12"/>
                <w:color w:val="auto"/>
              </w:rPr>
              <w:t>$</w:t>
            </w:r>
          </w:p>
        </w:tc>
        <w:tc>
          <w:tcPr>
            <w:tcW w:w="6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2"/>
                <w:szCs w:val="12"/>
                <w:color w:val="auto"/>
                <w:w w:val="98"/>
              </w:rPr>
              <w:t>(15,405)</w:t>
            </w:r>
          </w:p>
        </w:tc>
        <w:tc>
          <w:tcPr>
            <w:tcW w:w="300" w:type="dxa"/>
            <w:vAlign w:val="bottom"/>
            <w:shd w:val="clear" w:color="auto" w:fill="CFF0FC"/>
          </w:tcPr>
          <w:p>
            <w:pPr>
              <w:jc w:val="right"/>
              <w:ind w:right="236"/>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(8,535)</w:t>
            </w:r>
          </w:p>
        </w:tc>
      </w:tr>
      <w:tr>
        <w:trPr>
          <w:trHeight w:val="153"/>
        </w:trPr>
        <w:tc>
          <w:tcPr>
            <w:tcW w:w="4100" w:type="dxa"/>
            <w:vAlign w:val="bottom"/>
            <w:gridSpan w:val="2"/>
          </w:tcPr>
          <w:p>
            <w:pPr>
              <w:spacing w:after="0"/>
              <w:rPr>
                <w:sz w:val="20"/>
                <w:szCs w:val="20"/>
                <w:color w:val="auto"/>
              </w:rPr>
            </w:pPr>
            <w:r>
              <w:rPr>
                <w:rFonts w:ascii="Arial" w:cs="Arial" w:eastAsia="Arial" w:hAnsi="Arial"/>
                <w:sz w:val="12"/>
                <w:szCs w:val="12"/>
                <w:color w:val="auto"/>
              </w:rPr>
              <w:t>Cash used in investing activities</w:t>
            </w:r>
          </w:p>
        </w:tc>
        <w:tc>
          <w:tcPr>
            <w:tcW w:w="1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(61)</w:t>
            </w:r>
          </w:p>
        </w:tc>
        <w:tc>
          <w:tcPr>
            <w:tcW w:w="30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2"/>
                <w:szCs w:val="12"/>
                <w:color w:val="auto"/>
              </w:rPr>
              <w:t>(245)</w:t>
            </w:r>
          </w:p>
        </w:tc>
      </w:tr>
      <w:tr>
        <w:trPr>
          <w:trHeight w:val="153"/>
        </w:trPr>
        <w:tc>
          <w:tcPr>
            <w:tcW w:w="20" w:type="dxa"/>
            <w:vAlign w:val="bottom"/>
          </w:tcPr>
          <w:p>
            <w:pPr>
              <w:spacing w:after="0"/>
              <w:rPr>
                <w:sz w:val="13"/>
                <w:szCs w:val="13"/>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2"/>
                <w:szCs w:val="12"/>
                <w:color w:val="auto"/>
              </w:rPr>
              <w:t>Cash provided by financing activities</w:t>
            </w:r>
          </w:p>
        </w:tc>
        <w:tc>
          <w:tcPr>
            <w:tcW w:w="1360" w:type="dxa"/>
            <w:vAlign w:val="bottom"/>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20,428</w:t>
            </w:r>
          </w:p>
        </w:tc>
        <w:tc>
          <w:tcPr>
            <w:tcW w:w="220" w:type="dxa"/>
            <w:vAlign w:val="bottom"/>
            <w:tcBorders>
              <w:right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10,326</w:t>
            </w:r>
          </w:p>
        </w:tc>
        <w:tc>
          <w:tcPr>
            <w:tcW w:w="60" w:type="dxa"/>
            <w:vAlign w:val="bottom"/>
            <w:shd w:val="clear" w:color="auto" w:fill="CFF0FC"/>
          </w:tcPr>
          <w:p>
            <w:pPr>
              <w:spacing w:after="0"/>
              <w:rPr>
                <w:sz w:val="13"/>
                <w:szCs w:val="13"/>
                <w:color w:val="auto"/>
              </w:rPr>
            </w:pPr>
          </w:p>
        </w:tc>
      </w:tr>
      <w:tr>
        <w:trPr>
          <w:trHeight w:val="142"/>
        </w:trPr>
        <w:tc>
          <w:tcPr>
            <w:tcW w:w="4100" w:type="dxa"/>
            <w:vAlign w:val="bottom"/>
            <w:gridSpan w:val="2"/>
          </w:tcPr>
          <w:p>
            <w:pPr>
              <w:spacing w:after="0"/>
              <w:rPr>
                <w:sz w:val="20"/>
                <w:szCs w:val="20"/>
                <w:color w:val="auto"/>
              </w:rPr>
            </w:pPr>
            <w:r>
              <w:rPr>
                <w:rFonts w:ascii="Arial" w:cs="Arial" w:eastAsia="Arial" w:hAnsi="Arial"/>
                <w:sz w:val="12"/>
                <w:szCs w:val="12"/>
                <w:color w:val="auto"/>
              </w:rPr>
              <w:t>Net increase in cash, cash equivalents and restricted cash</w:t>
            </w:r>
          </w:p>
        </w:tc>
        <w:tc>
          <w:tcPr>
            <w:tcW w:w="2020" w:type="dxa"/>
            <w:vAlign w:val="bottom"/>
            <w:gridSpan w:val="2"/>
          </w:tcPr>
          <w:p>
            <w:pPr>
              <w:jc w:val="right"/>
              <w:ind w:right="552"/>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4,962</w:t>
            </w:r>
          </w:p>
        </w:tc>
        <w:tc>
          <w:tcPr>
            <w:tcW w:w="220" w:type="dxa"/>
            <w:vAlign w:val="bottom"/>
          </w:tcPr>
          <w:p>
            <w:pPr>
              <w:spacing w:after="0"/>
              <w:rPr>
                <w:sz w:val="12"/>
                <w:szCs w:val="12"/>
                <w:color w:val="auto"/>
              </w:rPr>
            </w:pPr>
          </w:p>
        </w:tc>
        <w:tc>
          <w:tcPr>
            <w:tcW w:w="300" w:type="dxa"/>
            <w:vAlign w:val="bottom"/>
          </w:tcPr>
          <w:p>
            <w:pPr>
              <w:jc w:val="right"/>
              <w:ind w:right="236"/>
              <w:spacing w:after="0"/>
              <w:rPr>
                <w:sz w:val="20"/>
                <w:szCs w:val="20"/>
                <w:color w:val="auto"/>
              </w:rPr>
            </w:pPr>
            <w:r>
              <w:rPr>
                <w:rFonts w:ascii="Arial" w:cs="Arial" w:eastAsia="Arial" w:hAnsi="Arial"/>
                <w:sz w:val="5"/>
                <w:szCs w:val="5"/>
                <w:color w:val="auto"/>
                <w:w w:val="70"/>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1,546</w:t>
            </w:r>
          </w:p>
        </w:tc>
        <w:tc>
          <w:tcPr>
            <w:tcW w:w="60" w:type="dxa"/>
            <w:vAlign w:val="bottom"/>
          </w:tcPr>
          <w:p>
            <w:pPr>
              <w:spacing w:after="0"/>
              <w:rPr>
                <w:sz w:val="12"/>
                <w:szCs w:val="12"/>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Cash Flows from Operating Activities</w:t>
      </w:r>
    </w:p>
    <w:p>
      <w:pPr>
        <w:spacing w:after="0" w:line="150"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For the three months ended March 31, 2020, cash used in operating activities consisted of a net loss of $50.7 million partially offset by an investment in net operating assets of $1.7 million and non-cash operating expenses of $33.6 million. The investment in net operating assets was primary attributable to a decrease in inventories of $0.5 million, decrease in accrued expenses and other current liabilities of $7.0 million, decrease in unearned interest income of $1.0 million, decrease in accounts payable of $0.2 million and decrease in other non-current liabilities of $0.3 million. This was partially offset by a decrease in accounts receivable of $10.2 million, primarily due to the decrease in subscription sales, and decrease in other current assets of $0.4 million. The non-cash operating expenses consisted mainly of goodwill impairment charge of $27.5 million, a provision for bad debts of $1.5 million, depreciation and amortization of $1.2 million, stock-based compensation expense of $0.5 million, provision for inventory obsolescence of $0.3 million, deferred tax expense of $0.3 million, a change in the fair value of the earn-out liability for the purchase of NeoGraft of $0.2 million and finance expenses of $2.0 million.</w:t>
      </w:r>
    </w:p>
    <w:p>
      <w:pPr>
        <w:spacing w:after="0" w:line="83"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In the three months ended March 31, 2019, cash used in operating activities consisted of a net loss of $5.1 million and an investment in net operating assets of $5.9 million, partially offset by non-cash operating expenses of $2.5 million. The investment in net operating assets was primarily attributable to an increase in accounts receivable of $6.0 million due to the increase in subscription sales, a decrease in accounts payable of $1.1 million and a decrease in other non-current liabilities of $0.4 million. This was partially offset by an increase in inventories of $0.2 million to meet higher demand and to accommodate the increased number of technology platforms offered and an increase in accrued expenses and other current liabilities of $1.4 million. The non-cash operating expenses consisted mainly of stock-based compensation of $0.4 million, depreciation and amortization of $0.3 million, change in fair value of earn-out liability of $0.4 million, deferred tax expense of $0.4 million, provision for inventory obsolescence of $0.2 million and a provision for bad debts of $0.6 million.</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Cash Flows from Investing Activities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In the three months ended March 31, 2020, cash used in investing activities consisted of $0.1 million for the purchase of property and equipment.</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In the three months ended March 31, 2019, cash used in investing activities consisted of $0.4 million for the purchase of property and equipment partially offset by $0.2 million of proceeds from sale of property and equipment.</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Cash Flows from Financing Activities</w:t>
      </w:r>
    </w:p>
    <w:p>
      <w:pPr>
        <w:spacing w:after="0" w:line="150"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In the three months ended March 31, 2020, cash from financing activities consisted primarily of net proceeds from the drawdown on the Madryn Credit Agreement of $0.4 million, net proceeds from 2020 Private Placement of $20.3 million, partially offset by payment of dividends from subsidiary to non-controlling interest of $0.2 million and payment of the NeoGraft earn-out liability of $0.1 million.</w:t>
      </w:r>
    </w:p>
    <w:p>
      <w:pPr>
        <w:spacing w:after="0" w:line="115"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In the three months ended March 31, 2019, the cash from financing activities consisted of net proceeds from the issuance of long-term debt of $9.7 million and $1.0 million in drawings on the credit facility, offset by the $0.3 million of cash for installment payments and $0.1 million of earn-out liability payments related to NeoGraft acquisition occurred in 2018.</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42" w:name="page43"/>
    <w:bookmarkEnd w:id="42"/>
    <w:p>
      <w:pPr>
        <w:spacing w:after="0"/>
        <w:rPr>
          <w:sz w:val="20"/>
          <w:szCs w:val="20"/>
          <w:color w:val="auto"/>
        </w:rPr>
      </w:pPr>
      <w:r>
        <w:rPr>
          <w:rFonts w:ascii="Arial" w:cs="Arial" w:eastAsia="Arial" w:hAnsi="Arial"/>
          <w:sz w:val="12"/>
          <w:szCs w:val="12"/>
          <w:b w:val="1"/>
          <w:bCs w:val="1"/>
          <w:i w:val="1"/>
          <w:iCs w:val="1"/>
          <w:color w:val="auto"/>
        </w:rPr>
        <w:t>Contractual Obligations and Other Commitments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Our premises and those of our subsidiaries are leased under various operating lease agreements, which expire on various dates.</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As of March 31, 2020, we had non-cancellable purchase orders placed with our contract manufacturers in the amount of $7.6 million. In addition, as of March 31, 2020, we had $3.5 million of open purchase orders that can be cancelled with 90 days’ notice, except for a portion equal to 15% of the total amount representing the purchase of “long lead items”.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our contractual obligations as of March 31, 2020, which represent material expected or contractually committed future obligations.</w:t>
      </w:r>
    </w:p>
    <w:p>
      <w:pPr>
        <w:spacing w:after="0" w:line="197"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4"/>
          </w:tcPr>
          <w:p>
            <w:pPr>
              <w:jc w:val="center"/>
              <w:ind w:left="64"/>
              <w:spacing w:after="0"/>
              <w:rPr>
                <w:sz w:val="20"/>
                <w:szCs w:val="20"/>
                <w:color w:val="auto"/>
              </w:rPr>
            </w:pPr>
            <w:r>
              <w:rPr>
                <w:rFonts w:ascii="Arial" w:cs="Arial" w:eastAsia="Arial" w:hAnsi="Arial"/>
                <w:sz w:val="10"/>
                <w:szCs w:val="10"/>
                <w:b w:val="1"/>
                <w:bCs w:val="1"/>
                <w:color w:val="auto"/>
                <w:w w:val="85"/>
              </w:rPr>
              <w:t>Payments Due by Period</w:t>
            </w: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7"/>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Borders>
              <w:bottom w:val="single" w:sz="8" w:color="auto"/>
            </w:tcBorders>
            <w:gridSpan w:val="2"/>
          </w:tcPr>
          <w:p>
            <w:pPr>
              <w:jc w:val="right"/>
              <w:spacing w:after="0" w:line="97" w:lineRule="exact"/>
              <w:rPr>
                <w:sz w:val="20"/>
                <w:szCs w:val="20"/>
                <w:color w:val="auto"/>
              </w:rPr>
            </w:pPr>
            <w:r>
              <w:rPr>
                <w:rFonts w:ascii="Arial" w:cs="Arial" w:eastAsia="Arial" w:hAnsi="Arial"/>
                <w:sz w:val="10"/>
                <w:szCs w:val="10"/>
                <w:b w:val="1"/>
                <w:bCs w:val="1"/>
                <w:color w:val="auto"/>
                <w:w w:val="88"/>
              </w:rPr>
              <w:t>Less than 1 Year</w:t>
            </w: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102"/>
              <w:spacing w:after="0" w:line="97" w:lineRule="exact"/>
              <w:rPr>
                <w:sz w:val="20"/>
                <w:szCs w:val="20"/>
                <w:color w:val="auto"/>
              </w:rPr>
            </w:pPr>
            <w:r>
              <w:rPr>
                <w:rFonts w:ascii="Arial" w:cs="Arial" w:eastAsia="Arial" w:hAnsi="Arial"/>
                <w:sz w:val="10"/>
                <w:szCs w:val="10"/>
                <w:b w:val="1"/>
                <w:bCs w:val="1"/>
                <w:color w:val="auto"/>
                <w:w w:val="88"/>
              </w:rPr>
              <w:t>1 to 3 Years</w:t>
            </w: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ind w:left="60"/>
              <w:spacing w:after="0" w:line="97" w:lineRule="exact"/>
              <w:rPr>
                <w:sz w:val="20"/>
                <w:szCs w:val="20"/>
                <w:color w:val="auto"/>
              </w:rPr>
            </w:pPr>
            <w:r>
              <w:rPr>
                <w:rFonts w:ascii="Arial" w:cs="Arial" w:eastAsia="Arial" w:hAnsi="Arial"/>
                <w:sz w:val="10"/>
                <w:szCs w:val="10"/>
                <w:b w:val="1"/>
                <w:bCs w:val="1"/>
                <w:color w:val="auto"/>
              </w:rPr>
              <w:t>3 to 5 Years</w:t>
            </w: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2"/>
          </w:tcPr>
          <w:p>
            <w:pPr>
              <w:ind w:left="20"/>
              <w:spacing w:after="0" w:line="97" w:lineRule="exact"/>
              <w:rPr>
                <w:sz w:val="20"/>
                <w:szCs w:val="20"/>
                <w:color w:val="auto"/>
              </w:rPr>
            </w:pPr>
            <w:r>
              <w:rPr>
                <w:rFonts w:ascii="Arial" w:cs="Arial" w:eastAsia="Arial" w:hAnsi="Arial"/>
                <w:sz w:val="10"/>
                <w:szCs w:val="10"/>
                <w:b w:val="1"/>
                <w:bCs w:val="1"/>
                <w:color w:val="auto"/>
              </w:rPr>
              <w:t>More than 5 Years</w:t>
            </w: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62"/>
              <w:spacing w:after="0" w:line="97" w:lineRule="exact"/>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8"/>
                <w:szCs w:val="8"/>
                <w:color w:val="auto"/>
              </w:rPr>
            </w:pPr>
          </w:p>
        </w:tc>
      </w:tr>
      <w:tr>
        <w:trPr>
          <w:trHeight w:val="97"/>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3"/>
          </w:tcPr>
          <w:p>
            <w:pPr>
              <w:jc w:val="center"/>
              <w:ind w:right="100"/>
              <w:spacing w:after="0" w:line="97" w:lineRule="exact"/>
              <w:rPr>
                <w:sz w:val="20"/>
                <w:szCs w:val="20"/>
                <w:color w:val="auto"/>
              </w:rPr>
            </w:pPr>
            <w:r>
              <w:rPr>
                <w:rFonts w:ascii="Arial" w:cs="Arial" w:eastAsia="Arial" w:hAnsi="Arial"/>
                <w:sz w:val="10"/>
                <w:szCs w:val="10"/>
                <w:b w:val="1"/>
                <w:bCs w:val="1"/>
                <w:i w:val="1"/>
                <w:iCs w:val="1"/>
                <w:color w:val="auto"/>
                <w:w w:val="82"/>
              </w:rPr>
              <w:t>(dollars in thousands)</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53"/>
        </w:trPr>
        <w:tc>
          <w:tcPr>
            <w:tcW w:w="20" w:type="dxa"/>
            <w:vAlign w:val="bottom"/>
          </w:tcPr>
          <w:p>
            <w:pPr>
              <w:spacing w:after="0"/>
              <w:rPr>
                <w:sz w:val="13"/>
                <w:szCs w:val="13"/>
                <w:color w:val="auto"/>
              </w:rPr>
            </w:pPr>
          </w:p>
        </w:tc>
        <w:tc>
          <w:tcPr>
            <w:tcW w:w="2320" w:type="dxa"/>
            <w:vAlign w:val="bottom"/>
            <w:shd w:val="clear" w:color="auto" w:fill="CFF0FC"/>
          </w:tcPr>
          <w:p>
            <w:pPr>
              <w:spacing w:after="0"/>
              <w:rPr>
                <w:sz w:val="20"/>
                <w:szCs w:val="20"/>
                <w:color w:val="auto"/>
              </w:rPr>
            </w:pPr>
            <w:r>
              <w:rPr>
                <w:rFonts w:ascii="Arial" w:cs="Arial" w:eastAsia="Arial" w:hAnsi="Arial"/>
                <w:sz w:val="12"/>
                <w:szCs w:val="12"/>
                <w:color w:val="auto"/>
              </w:rPr>
              <w:t>Debt obligations, including interest</w:t>
            </w:r>
          </w:p>
        </w:tc>
        <w:tc>
          <w:tcPr>
            <w:tcW w:w="880" w:type="dxa"/>
            <w:vAlign w:val="bottom"/>
            <w:gridSpan w:val="2"/>
            <w:shd w:val="clear" w:color="auto" w:fill="CFF0FC"/>
          </w:tcPr>
          <w:p>
            <w:pPr>
              <w:jc w:val="right"/>
              <w:ind w:right="152"/>
              <w:spacing w:after="0"/>
              <w:rPr>
                <w:sz w:val="20"/>
                <w:szCs w:val="20"/>
                <w:color w:val="auto"/>
              </w:rPr>
            </w:pPr>
            <w:r>
              <w:rPr>
                <w:rFonts w:ascii="Arial" w:cs="Arial" w:eastAsia="Arial" w:hAnsi="Arial"/>
                <w:sz w:val="12"/>
                <w:szCs w:val="12"/>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5,352</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73,331</w:t>
            </w:r>
          </w:p>
        </w:tc>
        <w:tc>
          <w:tcPr>
            <w:tcW w:w="340" w:type="dxa"/>
            <w:vAlign w:val="bottom"/>
            <w:gridSpan w:val="2"/>
            <w:shd w:val="clear" w:color="auto" w:fill="CFF0FC"/>
          </w:tcPr>
          <w:p>
            <w:pPr>
              <w:jc w:val="right"/>
              <w:ind w:right="32"/>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78,683</w:t>
            </w:r>
          </w:p>
        </w:tc>
        <w:tc>
          <w:tcPr>
            <w:tcW w:w="80" w:type="dxa"/>
            <w:vAlign w:val="bottom"/>
            <w:shd w:val="clear" w:color="auto" w:fill="CFF0FC"/>
          </w:tcPr>
          <w:p>
            <w:pPr>
              <w:spacing w:after="0"/>
              <w:rPr>
                <w:sz w:val="13"/>
                <w:szCs w:val="13"/>
                <w:color w:val="auto"/>
              </w:rPr>
            </w:pPr>
          </w:p>
        </w:tc>
      </w:tr>
      <w:tr>
        <w:trPr>
          <w:trHeight w:val="153"/>
        </w:trPr>
        <w:tc>
          <w:tcPr>
            <w:tcW w:w="2340" w:type="dxa"/>
            <w:vAlign w:val="bottom"/>
            <w:gridSpan w:val="2"/>
          </w:tcPr>
          <w:p>
            <w:pPr>
              <w:spacing w:after="0"/>
              <w:rPr>
                <w:sz w:val="20"/>
                <w:szCs w:val="20"/>
                <w:color w:val="auto"/>
              </w:rPr>
            </w:pPr>
            <w:r>
              <w:rPr>
                <w:rFonts w:ascii="Arial" w:cs="Arial" w:eastAsia="Arial" w:hAnsi="Arial"/>
                <w:sz w:val="12"/>
                <w:szCs w:val="12"/>
                <w:color w:val="auto"/>
              </w:rPr>
              <w:t>Operating leases</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2,107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2,493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648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1,148</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6,396</w:t>
            </w:r>
          </w:p>
        </w:tc>
        <w:tc>
          <w:tcPr>
            <w:tcW w:w="8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2320" w:type="dxa"/>
            <w:vAlign w:val="bottom"/>
            <w:shd w:val="clear" w:color="auto" w:fill="CFF0FC"/>
          </w:tcPr>
          <w:p>
            <w:pPr>
              <w:spacing w:after="0"/>
              <w:rPr>
                <w:sz w:val="20"/>
                <w:szCs w:val="20"/>
                <w:color w:val="auto"/>
              </w:rPr>
            </w:pPr>
            <w:r>
              <w:rPr>
                <w:rFonts w:ascii="Arial" w:cs="Arial" w:eastAsia="Arial" w:hAnsi="Arial"/>
                <w:sz w:val="12"/>
                <w:szCs w:val="12"/>
                <w:color w:val="auto"/>
              </w:rPr>
              <w:t>Purchase commitments</w:t>
            </w:r>
          </w:p>
        </w:tc>
        <w:tc>
          <w:tcPr>
            <w:tcW w:w="62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7,607</w:t>
            </w:r>
          </w:p>
        </w:tc>
        <w:tc>
          <w:tcPr>
            <w:tcW w:w="2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7,607</w:t>
            </w:r>
          </w:p>
        </w:tc>
        <w:tc>
          <w:tcPr>
            <w:tcW w:w="80" w:type="dxa"/>
            <w:vAlign w:val="bottom"/>
            <w:shd w:val="clear" w:color="auto" w:fill="CFF0FC"/>
          </w:tcPr>
          <w:p>
            <w:pPr>
              <w:spacing w:after="0"/>
              <w:rPr>
                <w:sz w:val="13"/>
                <w:szCs w:val="13"/>
                <w:color w:val="auto"/>
              </w:rPr>
            </w:pPr>
          </w:p>
        </w:tc>
      </w:tr>
      <w:tr>
        <w:trPr>
          <w:trHeight w:val="142"/>
        </w:trPr>
        <w:tc>
          <w:tcPr>
            <w:tcW w:w="2340" w:type="dxa"/>
            <w:vAlign w:val="bottom"/>
            <w:gridSpan w:val="2"/>
          </w:tcPr>
          <w:p>
            <w:pPr>
              <w:spacing w:after="0"/>
              <w:rPr>
                <w:sz w:val="20"/>
                <w:szCs w:val="20"/>
                <w:color w:val="auto"/>
              </w:rPr>
            </w:pPr>
            <w:r>
              <w:rPr>
                <w:rFonts w:ascii="Arial" w:cs="Arial" w:eastAsia="Arial" w:hAnsi="Arial"/>
                <w:sz w:val="12"/>
                <w:szCs w:val="12"/>
                <w:color w:val="auto"/>
              </w:rPr>
              <w:t>Total contractual obligations</w:t>
            </w:r>
          </w:p>
        </w:tc>
        <w:tc>
          <w:tcPr>
            <w:tcW w:w="620" w:type="dxa"/>
            <w:vAlign w:val="bottom"/>
          </w:tcPr>
          <w:p>
            <w:pPr>
              <w:spacing w:after="0"/>
              <w:rPr>
                <w:sz w:val="12"/>
                <w:szCs w:val="12"/>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15,066</w:t>
            </w:r>
          </w:p>
        </w:tc>
        <w:tc>
          <w:tcPr>
            <w:tcW w:w="3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75,824</w:t>
            </w:r>
          </w:p>
        </w:tc>
        <w:tc>
          <w:tcPr>
            <w:tcW w:w="340" w:type="dxa"/>
            <w:vAlign w:val="bottom"/>
            <w:gridSpan w:val="2"/>
          </w:tcPr>
          <w:p>
            <w:pPr>
              <w:jc w:val="right"/>
              <w:ind w:right="32"/>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648</w:t>
            </w:r>
          </w:p>
        </w:tc>
        <w:tc>
          <w:tcPr>
            <w:tcW w:w="120" w:type="dxa"/>
            <w:vAlign w:val="bottom"/>
          </w:tcPr>
          <w:p>
            <w:pPr>
              <w:spacing w:after="0"/>
              <w:rPr>
                <w:sz w:val="12"/>
                <w:szCs w:val="12"/>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1,148</w:t>
            </w:r>
          </w:p>
        </w:tc>
        <w:tc>
          <w:tcPr>
            <w:tcW w:w="18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92,686</w:t>
            </w:r>
          </w:p>
        </w:tc>
        <w:tc>
          <w:tcPr>
            <w:tcW w:w="80" w:type="dxa"/>
            <w:vAlign w:val="bottom"/>
          </w:tcPr>
          <w:p>
            <w:pPr>
              <w:spacing w:after="0"/>
              <w:rPr>
                <w:sz w:val="12"/>
                <w:szCs w:val="12"/>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54"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We do not currently engage in off-balance sheet financing arrangements. In addition, we do not have any interest in entities referred to as variable interest entities, which includes special purpose entities and other structure finance entities.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Our condensed consolidated financial statements are prepared in accordance with U.S GAAP. The preparation of these condensed consolidated financial statements requires us to make estimates and assumptions that affect the reported amounts of assets, liabilities, revenue, costs and expenses, and related disclosures. These estimates form the basis for judgments we make about the carrying values of our assets and liabilities, which are not readily apparent from other sources. We base our estimates and judgments on historical experience and on various other assumptions that we believe are reasonable under the circumstances. On an ongoing basis, we evaluate our estimates and assumptions. Our actual results may differ from these estimates under different assumptions or conditions.</w:t>
      </w:r>
    </w:p>
    <w:p>
      <w:pPr>
        <w:spacing w:after="0" w:line="124" w:lineRule="exact"/>
        <w:rPr>
          <w:sz w:val="20"/>
          <w:szCs w:val="20"/>
          <w:color w:val="auto"/>
        </w:rPr>
      </w:pPr>
    </w:p>
    <w:p>
      <w:pPr>
        <w:jc w:val="both"/>
        <w:ind w:right="160"/>
        <w:spacing w:after="0" w:line="263" w:lineRule="auto"/>
        <w:rPr>
          <w:sz w:val="20"/>
          <w:szCs w:val="20"/>
          <w:color w:val="auto"/>
        </w:rPr>
      </w:pPr>
      <w:r>
        <w:rPr>
          <w:rFonts w:ascii="Arial" w:cs="Arial" w:eastAsia="Arial" w:hAnsi="Arial"/>
          <w:sz w:val="12"/>
          <w:szCs w:val="12"/>
          <w:color w:val="auto"/>
        </w:rPr>
        <w:t>While our significant accounting policies are more fully described in Note 2 to our Annual Report filed on Form 10-K for the year ended December 31, 2019, we believe that the assumptions and estimates associated with stock-based compensation, goodwill impairment, allowance for doubtful accounts, revenue recognition, accrual for severance and income taxes have the most significant impact on our condensed consolidated financial statements. Therefore, we consider these to be our critical accounting policies and estimates.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50"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We generate revenue from (1) sales of systems through our subscription model, traditional system sales to customers and distributors, (2) other product revenues from the sale of ARTAS procedure kits, marketing supplies and kits, consumables and Venus Concept’s skincare and hair products and (3) service revenue from the sale of our VeroGrafters™ technician services, our 2two5 internal advertising agency and our extended warranty service contracts provided to existing customers.</w:t>
      </w:r>
    </w:p>
    <w:p>
      <w:pPr>
        <w:spacing w:after="0" w:line="122" w:lineRule="exact"/>
        <w:rPr>
          <w:sz w:val="20"/>
          <w:szCs w:val="20"/>
          <w:color w:val="auto"/>
        </w:rPr>
      </w:pPr>
    </w:p>
    <w:p>
      <w:pPr>
        <w:jc w:val="both"/>
        <w:ind w:right="40"/>
        <w:spacing w:after="0" w:line="263" w:lineRule="auto"/>
        <w:rPr>
          <w:sz w:val="20"/>
          <w:szCs w:val="20"/>
          <w:color w:val="auto"/>
        </w:rPr>
      </w:pPr>
      <w:r>
        <w:rPr>
          <w:rFonts w:ascii="Arial" w:cs="Arial" w:eastAsia="Arial" w:hAnsi="Arial"/>
          <w:sz w:val="12"/>
          <w:szCs w:val="12"/>
          <w:color w:val="auto"/>
        </w:rPr>
        <w:t>The Company recognizes revenues on other products and services in accordance with ASC 606. Revenue is recognized based on the following five steps: (1) identification of the contract(s) with the customer; (2) identification of the performance obligations in the contract; (3) determine the transaction price; and (4) allocate the transaction price to the separate performance obligations in the contract; and (5) recognize revenue when (or as) the entity satisfies a performance obligation.</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We record our revenue net of sales tax and shipping and handling costs.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00" w:top="275" w:right="339" w:bottom="1440" w:gutter="0" w:footer="0" w:header="0"/>
        </w:sectPr>
      </w:pPr>
    </w:p>
    <w:bookmarkStart w:id="43" w:name="page44"/>
    <w:bookmarkEnd w:id="43"/>
    <w:p>
      <w:pPr>
        <w:spacing w:after="0"/>
        <w:rPr>
          <w:sz w:val="20"/>
          <w:szCs w:val="20"/>
          <w:color w:val="auto"/>
        </w:rPr>
      </w:pPr>
      <w:r>
        <w:rPr>
          <w:rFonts w:ascii="Arial" w:cs="Arial" w:eastAsia="Arial" w:hAnsi="Arial"/>
          <w:sz w:val="12"/>
          <w:szCs w:val="12"/>
          <w:b w:val="1"/>
          <w:bCs w:val="1"/>
          <w:i w:val="1"/>
          <w:iCs w:val="1"/>
          <w:color w:val="auto"/>
        </w:rPr>
        <w:t>Long-term receivables</w:t>
      </w:r>
    </w:p>
    <w:p>
      <w:pPr>
        <w:spacing w:after="0" w:line="150" w:lineRule="exact"/>
        <w:rPr>
          <w:sz w:val="20"/>
          <w:szCs w:val="20"/>
          <w:color w:val="auto"/>
        </w:rPr>
      </w:pPr>
    </w:p>
    <w:p>
      <w:pPr>
        <w:jc w:val="both"/>
        <w:ind w:right="260"/>
        <w:spacing w:after="0" w:line="298" w:lineRule="auto"/>
        <w:rPr>
          <w:sz w:val="20"/>
          <w:szCs w:val="20"/>
          <w:color w:val="auto"/>
        </w:rPr>
      </w:pPr>
      <w:r>
        <w:rPr>
          <w:rFonts w:ascii="Arial" w:cs="Arial" w:eastAsia="Arial" w:hAnsi="Arial"/>
          <w:sz w:val="11"/>
          <w:szCs w:val="11"/>
          <w:color w:val="auto"/>
        </w:rPr>
        <w:t>Long-term receivables relate to our subscription contract revenue or contracts which stipulate payment terms which exceed one year. They are comprised of the unpaid principal balance, net of the allowance for doubtful accounts. These receivables have been discounted based on the implicit interest rate in the subscription lease which ranged between 8% to 9% for the three months ended March 31, 2020 and March 31, 2019, respectively. Unearned interest revenue represents the interest only portion of the respective subscription payments and will be recognized in income over the respective payment term as it is earned.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Allowance for doubtful accounts</w:t>
      </w:r>
    </w:p>
    <w:p>
      <w:pPr>
        <w:spacing w:after="0" w:line="150" w:lineRule="exact"/>
        <w:rPr>
          <w:sz w:val="20"/>
          <w:szCs w:val="20"/>
          <w:color w:val="auto"/>
        </w:rPr>
      </w:pPr>
    </w:p>
    <w:p>
      <w:pPr>
        <w:ind w:right="60"/>
        <w:spacing w:after="0" w:line="379" w:lineRule="auto"/>
        <w:rPr>
          <w:sz w:val="20"/>
          <w:szCs w:val="20"/>
          <w:color w:val="auto"/>
        </w:rPr>
      </w:pPr>
      <w:r>
        <w:rPr>
          <w:rFonts w:ascii="Arial" w:cs="Arial" w:eastAsia="Arial" w:hAnsi="Arial"/>
          <w:sz w:val="10"/>
          <w:szCs w:val="10"/>
          <w:color w:val="auto"/>
        </w:rPr>
        <w:t>The allowance for doubtful accounts is based on our assessment of the collectability of customer accounts and the aging of the related invoices and represents our best estimate of probable credit losses in its existing trade accounts receivable. We regularly review the allowance by considering factors such as historical experience, credit quality, the age of the account receivable balances, and current economic conditions that may affect a customer’s ability to pay.</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Warranty accrual</w:t>
      </w:r>
    </w:p>
    <w:p>
      <w:pPr>
        <w:spacing w:after="0" w:line="150"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We generally offer warranties for all our systems against defects for up to three years. The warranty period begins upon shipment and we record a liability for accrued warranty costs at the time of sale of a system, which consists of the remaining warranty on systems sold based on historical warranty costs and management’s estimates. We periodically assess the adequacy of our recorded warranty liabilities and adjust the amounts thereof as necessary. We exercise judgment in estimating expected system warranty costs. If actual system failure rates, freight, material, technical support and labor costs differ from our estimates, we will be required to revise our estimated warranty liability. To date, our warranty reserve has been sufficient to satisfy warranty claims paid.</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50"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We account for stock-based compensation costs in accordance with the accounting standards for stock-based compensation, which require that all stock-based payments to employees be recognized in the consolidated statements of operations based on their fair values.</w:t>
      </w:r>
    </w:p>
    <w:p>
      <w:pPr>
        <w:spacing w:after="0" w:line="115"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The fair value of stock options on the grant date is estimated using the Black-Scholes option-pricing model using the single-option approach. The Black-Scholes option pricing model requires the use of highly subjective and complex assumptions, including the option's expected term and the price volatility of the underlying stock, to determine the fair value of award. We recognize the expense associated with options using a single-award approach over the requisite service period.</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Financial statements in U.S. dollars</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We believe that the U.S. dollar is the currency in the primary economic environment in which we operate. The U.S. dollar is the most significant currency in which our revenues are generated, and our costs are incurred. In addition, our debt and equity financings are generally based in U.S. dollars. Therefore, our functional currency, and that of our subsidiaries, is the U.S. dollar.</w:t>
      </w:r>
    </w:p>
    <w:p>
      <w:pPr>
        <w:spacing w:after="0" w:line="115"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Transactions and balances originally denominated in U.S. dollars are presented at their original amounts. Non-dollar transactions and balances are re-measured into U.S. dollars in accordance with the principles set forth in ASC 830-10 “Foreign Currency Translation”. All exchange gains and losses from re-measurement of monetary balance sheet items resulting from transactions in non-U.S. dollar currencies are recorded as foreign exchange loss (income) in the consolidated statement of operations as they arise.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JOBS Act Accounting Election</w:t>
      </w:r>
    </w:p>
    <w:p>
      <w:pPr>
        <w:spacing w:after="0" w:line="154" w:lineRule="exact"/>
        <w:rPr>
          <w:sz w:val="20"/>
          <w:szCs w:val="20"/>
          <w:color w:val="auto"/>
        </w:rPr>
      </w:pPr>
    </w:p>
    <w:p>
      <w:pPr>
        <w:spacing w:after="0" w:line="289" w:lineRule="auto"/>
        <w:rPr>
          <w:sz w:val="20"/>
          <w:szCs w:val="20"/>
          <w:color w:val="auto"/>
        </w:rPr>
      </w:pPr>
      <w:r>
        <w:rPr>
          <w:rFonts w:ascii="Arial" w:cs="Arial" w:eastAsia="Arial" w:hAnsi="Arial"/>
          <w:sz w:val="11"/>
          <w:szCs w:val="11"/>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condensed consolidated financial statements may not be comparable to companies that comply with new or revised accounting pronouncements as of public company effective dates.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154"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See Note 2 to our condensed consolidated financial statements included elsewhere in this Quarterly Report on Form 10-Q for recently issued accounting pronouncements not yet adopted as of the date of this Quarterly Report on Form 10-Q.</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40"/>
          </w:cols>
          <w:pgMar w:left="300" w:top="275" w:right="359" w:bottom="1440" w:gutter="0" w:footer="0" w:header="0"/>
        </w:sectPr>
      </w:pPr>
    </w:p>
    <w:bookmarkStart w:id="44" w:name="page45"/>
    <w:bookmarkEnd w:id="44"/>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As a smaller reporting company, we are not required to provide disclosure for this Item.</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Evaluation of disclosure controls and procedures.</w:t>
      </w:r>
    </w:p>
    <w:p>
      <w:pPr>
        <w:spacing w:after="0" w:line="150" w:lineRule="exact"/>
        <w:rPr>
          <w:sz w:val="20"/>
          <w:szCs w:val="20"/>
          <w:color w:val="auto"/>
        </w:rPr>
      </w:pPr>
    </w:p>
    <w:p>
      <w:pPr>
        <w:ind w:right="40"/>
        <w:spacing w:after="0" w:line="285" w:lineRule="auto"/>
        <w:rPr>
          <w:sz w:val="20"/>
          <w:szCs w:val="20"/>
          <w:color w:val="auto"/>
        </w:rPr>
      </w:pPr>
      <w:r>
        <w:rPr>
          <w:rFonts w:ascii="Arial" w:cs="Arial" w:eastAsia="Arial" w:hAnsi="Arial"/>
          <w:sz w:val="11"/>
          <w:szCs w:val="11"/>
          <w:color w:val="auto"/>
        </w:rPr>
        <w:t>As of March 31, 2020, our management, under the supervision of our Chief Executive Officer and Chief Financial Officer, performed an evaluation of the effectiveness of our disclosure controls and procedures as defined in Rules 13a-15(e) and 15d-15(e) under the Securities Exchange Act of 1934, as amended (the “Exchange Act”), to ensure that information required to be disclosed by the Company in the reports that it files or submits under the Exchange Act is recorded, processed, summarized and reported within the time periods specified in the Securities and Exchange Commission’s (the “SEC”) rules and forms, and that such information is accumulated and communicated to our management, including our Chief Executive Officer and Chief Financial Officer, as appropriate, to allow timely decisions regarding required disclosure. Based on this evaluation, our Chief Executive Officer and Chief Financial Officer concluded that our disclosure controls and procedures were not effective as of March 31, 2020, because of the material weakness in internal control over financial reporting described below.</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Annual Report on Internal Control Over Financial Reporting</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We have performed an evaluation of the effectiveness of our internal control over financial reporting, based on criteria established by the Committee of Sponsoring Organizations of the Treadway Commission (COSO) in its 2013 Internal Control-Integrated Framework. Based on that evaluation, our management, including our Chief Executive Officer and Chief Financial Officer, concluded that our internal controls over financial reporting were not effective as of March 31, 2020, because of a material weakness in internal controls over financial reporting, associated with the lease accounting process automation which was identified during the audit of our fiscal year ended December 31, 2018, as described below.</w:t>
      </w:r>
    </w:p>
    <w:p>
      <w:pPr>
        <w:spacing w:after="0" w:line="124"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Limitations on Effectiveness of Controls and Procedures</w:t>
      </w:r>
    </w:p>
    <w:p>
      <w:pPr>
        <w:spacing w:after="0" w:line="154"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In designing and evaluating our disclosure controls and procedures, management recognizes that any controls and procedures, no matter how well designed and operated, can provide only reasonable assurance of achieving the desired control objectives.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the Company have been detected. Because of these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Also, projections of any evaluation of effectiveness to future periods are subject to the risk that controls may become ineffective because of changes in conditions or that the degree of compliance with established policies or procedures may deteriorate.</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Material Weakness not yet Remediated as of March 31, 2020</w:t>
      </w:r>
    </w:p>
    <w:p>
      <w:pPr>
        <w:spacing w:after="0" w:line="150"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In connection with our preparation and the audit of our consolidated financial statements as of and for the years ended December 31, 2018 and 2017, we identified a material weakness related to lack of centralized procedures or a technology solution that would ensure appropriate lessor accounting processes and enable the accurate and timely preparation of financial statements. As of March 31, 2020, we have not yet implemented centralized procedures or a technology solution that would ensure appropriate lessor accounting processes and enable the accurate and timely preparation of consolidated financial statements. We plan to establish adequate centralized procedures related to lease accounting processes later in 2020, which could involve either hiring additional personnel or implementing a technology solution. As a result, we concluded that the material weakness associated with lease accounting process existed as of March 31, 2020, as noted above.</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54"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Our plans for remediating the material weakness related to lease accounting process automation would constitute a change in our internal control over financial reporting prospectively, when such controls are effectively implemented. Other than the continuation of the implementation of measures described above, there were no material changes in our internal control over financial reporting during the three months ended March 31, 2020, that have materially affected, or are reasonably likely to materially affect, our internal control over financial reporting.</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2"/>
          <w:szCs w:val="12"/>
          <w:b w:val="1"/>
          <w:bCs w:val="1"/>
          <w:color w:val="auto"/>
        </w:rPr>
        <w:t>PART II OTHER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ITEM 1. LEGAL PROCEEDINGS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Purported Shareholder Class Actions</w:t>
      </w:r>
    </w:p>
    <w:p>
      <w:pPr>
        <w:spacing w:after="0" w:line="150" w:lineRule="exact"/>
        <w:rPr>
          <w:sz w:val="20"/>
          <w:szCs w:val="20"/>
          <w:color w:val="auto"/>
        </w:rPr>
      </w:pPr>
    </w:p>
    <w:p>
      <w:pPr>
        <w:spacing w:after="0" w:line="281" w:lineRule="auto"/>
        <w:rPr>
          <w:sz w:val="20"/>
          <w:szCs w:val="20"/>
          <w:color w:val="auto"/>
        </w:rPr>
      </w:pPr>
      <w:r>
        <w:rPr>
          <w:rFonts w:ascii="Arial" w:cs="Arial" w:eastAsia="Arial" w:hAnsi="Arial"/>
          <w:sz w:val="11"/>
          <w:szCs w:val="11"/>
          <w:color w:val="231F20"/>
        </w:rPr>
        <w:t>Between May 23, 2018 and June 11, 2019, four putative shareholder class actions complaints were filed against us, certain of our former officers and directors, certain of our venture capital investors, and the underwriters of our IPO. Two of these complaints, Wong v. Restoration Robotics, Inc., et al., No. 18CIV02609, and Li v. Restoration Robotics, Inc., et al., No. 19CIV08173 (together, the “State Actions”), were filed in the Superior Court of the State of California, County of San Mateo, and assert claims under Sections 11, 12(a)(2) and 15 of the Securities Act of 1933, or the Securities Act. The other two complaints, Guerrini v. Restoration Robotics, Inc., et al., No. 5:18-cv-03712-EJD and Yzeiraj v. Restoration Robotics, Inc., et al., No. 5:18-cv-03883-BLF (together, the “Federal Actions”), were filed in the United States District Court for the Northern District of California, and assert claims under Sections 11 and 15 of the Securities Act. The complaints all allege, among other things, that our Registration Statement filed with the SEC on September 1, 2017 and the Prospectus filed with the SEC on October 13, 2017 in connection with our IPO were inaccurate and misleading, contained untrue statements of material facts, omitted to state other facts necessary to make the statements made not misleading and omitted to state material facts required to be stated therein. The complaints seek unspecified monetary damages, other equitable relief and attorneys’ fees and costs.</w:t>
      </w:r>
    </w:p>
    <w:p>
      <w:pPr>
        <w:spacing w:after="0" w:line="115" w:lineRule="exact"/>
        <w:rPr>
          <w:sz w:val="20"/>
          <w:szCs w:val="20"/>
          <w:color w:val="auto"/>
        </w:rPr>
      </w:pPr>
    </w:p>
    <w:p>
      <w:pPr>
        <w:ind w:right="80"/>
        <w:spacing w:after="0" w:line="279" w:lineRule="auto"/>
        <w:rPr>
          <w:sz w:val="20"/>
          <w:szCs w:val="20"/>
          <w:color w:val="auto"/>
        </w:rPr>
      </w:pPr>
      <w:r>
        <w:rPr>
          <w:rFonts w:ascii="Arial" w:cs="Arial" w:eastAsia="Arial" w:hAnsi="Arial"/>
          <w:sz w:val="11"/>
          <w:szCs w:val="11"/>
          <w:color w:val="231F20"/>
        </w:rPr>
        <w:t xml:space="preserve">In the State Actions, we, along with the other defendants, successfully demurred to the initial Wong complaint for failure to state a claim, and secured a stay of both cases based on the forum selection clause contained in our Amended and Restated Certificate of Incorporation, which designates the federal district courts as the exclusive forums for claims arising under the Securities Act. However, on December 19, 2018, the Delaware Court of Chancery in Sciabacucchi v. Salzberg held that exclusive federal forum provisions are invalid under Delaware law. Under this ruling, the San Mateo Superior Court lifted its stay of State Actions on December 10, 2019. On January 17, 2020, Plaintiffs in the State Actions filed a consolidated amended complaint for violations of federal securities laws, alleging again that, among other things, our Registration Statement filed with the SEC on September 1, 2017 and the Prospectus filed with the SEC on October 13, 2017 in connection with our IPO were inaccurate and misleading, contained untrue statements of material fact, omitted to state other facts necessary to make the statements made not misleading and omitted to state material facts required to be stated therein. The complaint seeks unspecified monetary damages, other equitable relief and attorneys’ fees and costs. On February 24, 2020, we demurred to the consolidated amended complaint for failure to state a claim. On March 18, 2020, the Delaware Supreme Court reversed the Chancery Court’s decision in Sciabacucchi v. Salzberg and held that exclusive federal forum provisions are valid under Delaware law. On March 30, 2020, the Company filed a renewed motion to dismiss based on its federal forum selection clause. Hearings on our demurrer and renewed motion to dismiss, originally scheduled for May 8, 2020, have </w:t>
      </w:r>
      <w:r>
        <w:rPr>
          <w:rFonts w:ascii="Arial" w:cs="Arial" w:eastAsia="Arial" w:hAnsi="Arial"/>
          <w:sz w:val="11"/>
          <w:szCs w:val="11"/>
          <w:color w:val="000000"/>
        </w:rPr>
        <w:t>been postponed to a later date, yet to be determined, due to COVID-19.</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In the Federal Actions, which have been consolidated under the caption In re Restoration Robotics, Inc. Securities Litigation, Case No. 5:18-cv-03712-EJD, Lead Plaintiff Eduardo Guerrini filed his consolidated amended complaint for violations of federal securities laws on November 30, 2018. The consolidated amended complaint alleges again that, among other things, our Registration Statement filed with the SEC on September 1, 2017 and the Prospectus filed with the SEC on October 13, 2017 in connection with our IPO were inaccurate and misleading, contained untrue statements of material facts, omitted to state other facts necessary to make the statements made not misleading and omitted to state material facts required to be stated therein. On January 29, 2019, we, along with certain of our former officers and directors, filed a motion to dismiss the consolidated amended complaint for failure to state a claim. On October 18, 2019, the District Court granted our motion to dismiss as to all but two allegedly false or misleading statements contained in our Prospectus. On December 9, 2019, we filed our answer to the consolidated amended complaint denying the falsity of these statements, and discovery is underway.</w:t>
      </w:r>
    </w:p>
    <w:p>
      <w:pPr>
        <w:spacing w:after="0" w:line="128"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In addition to the State and Federal Actions, on July 11, 2019, a verified shareholder derivative complaint was filed in the United States District Court for the Northern District of California, captioned Mason v. Rhodes, No. 5:19-cv-03997-NC. The complaint alleges that certain of our former officers and directors breached their fiduciary duties, have been unjustly enriched and violated Section 14(a) of the Securities Exchange Act of 1934, or the Exchange Act, in connection with our IPO and our 2018 proxy statement. The complaint seeks unspecified damages, declaratory relief, other equitable relief and attorneys’ fees and costs. On August 21, 2019, the District Court granted the parties’ joint stipulation to stay the Mason action during the pendency of the Federal Actions, and the case remains stayed.</w:t>
      </w:r>
    </w:p>
    <w:p>
      <w:pPr>
        <w:spacing w:after="0" w:line="124" w:lineRule="exact"/>
        <w:rPr>
          <w:sz w:val="20"/>
          <w:szCs w:val="20"/>
          <w:color w:val="auto"/>
        </w:rPr>
      </w:pPr>
    </w:p>
    <w:p>
      <w:pPr>
        <w:ind w:right="40"/>
        <w:spacing w:after="0" w:line="289" w:lineRule="auto"/>
        <w:rPr>
          <w:sz w:val="20"/>
          <w:szCs w:val="20"/>
          <w:color w:val="auto"/>
        </w:rPr>
      </w:pPr>
      <w:r>
        <w:rPr>
          <w:rFonts w:ascii="Arial" w:cs="Arial" w:eastAsia="Arial" w:hAnsi="Arial"/>
          <w:sz w:val="11"/>
          <w:szCs w:val="11"/>
          <w:color w:val="auto"/>
        </w:rPr>
        <w:t>In addition to the actions described above relating to our IPO, two lawsuits purporting to challenge disclosures made in connection with our merger have also been filed. The first, captioned Bushansky v. Restoration Robotics, Inc., et al., No. 5:19-cv-06004-MMC, alleged, among other things, that defendants violated Sections 14(a) and 20(a) of the Exchange Act and SEC Rule 14a-9. The complaint alleged that the proxy statement filed with the SEC by Restoration Robotics on September 10, 2019 in connection with the Merger omitted or misrepresented material information. The complaint sought, among other things, injunctive relief, unspecified damages, and attorneys’ fees and costs. On November 6, 2019, the plaintiff voluntarily dismissed the Bushansky action with prejudice as to his individual claims and without prejudice as to the claims of the putative class.</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00" w:top="271" w:right="339" w:bottom="1440" w:gutter="0" w:footer="0" w:header="0"/>
        </w:sectPr>
      </w:pPr>
    </w:p>
    <w:bookmarkStart w:id="46" w:name="page47"/>
    <w:bookmarkEnd w:id="46"/>
    <w:p>
      <w:pPr>
        <w:ind w:left="8"/>
        <w:spacing w:after="0" w:line="256" w:lineRule="auto"/>
        <w:rPr>
          <w:sz w:val="20"/>
          <w:szCs w:val="20"/>
          <w:color w:val="auto"/>
        </w:rPr>
      </w:pPr>
      <w:r>
        <w:rPr>
          <w:rFonts w:ascii="Arial" w:cs="Arial" w:eastAsia="Arial" w:hAnsi="Arial"/>
          <w:sz w:val="12"/>
          <w:szCs w:val="12"/>
          <w:color w:val="auto"/>
        </w:rPr>
        <w:t xml:space="preserve">The second, a putative shareholder class action complaint captioned Pak v. Restoration Robotics, Inc., et al., No. 1:19-cv-02237, was filed in the United States District Court for the District of Delaware on December 6, 2019. The complaint alleges, among other things, that defendants violated Sections 14(a) and 20(a) of the Exchange Act and SEC Rule 14a-9. The complaint alleges that the proxy statement filed with the SEC by Restoration Robotics on September 10, 2019 in connection with the Merger contained false or misleading information. The complaint seeks, among other things, compensatory and/or rescissory damages, and attorneys’ fees and costs. On February 26, 2020, the District Court appointed Joon Pak as Lead Plaintiff in the Pak action, and approved his selection of Lead Counsel. The Company’s motion to dismiss the Pak complaint is due on May 26, 2020. </w:t>
      </w:r>
      <w:r>
        <w:rPr>
          <w:rFonts w:ascii="Arial" w:cs="Arial" w:eastAsia="Arial" w:hAnsi="Arial"/>
          <w:sz w:val="12"/>
          <w:szCs w:val="12"/>
          <w:color w:val="231F20"/>
        </w:rPr>
        <w:t>We believe that these lawsuits are without</w:t>
      </w:r>
      <w:r>
        <w:rPr>
          <w:rFonts w:ascii="Arial" w:cs="Arial" w:eastAsia="Arial" w:hAnsi="Arial"/>
          <w:sz w:val="12"/>
          <w:szCs w:val="12"/>
          <w:color w:val="auto"/>
        </w:rPr>
        <w:t xml:space="preserve"> </w:t>
      </w:r>
      <w:r>
        <w:rPr>
          <w:rFonts w:ascii="Arial" w:cs="Arial" w:eastAsia="Arial" w:hAnsi="Arial"/>
          <w:sz w:val="12"/>
          <w:szCs w:val="12"/>
          <w:color w:val="231F20"/>
        </w:rPr>
        <w:t>merit and we intend to vigorously defend against these claims.</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Venus Concept China Matter</w:t>
      </w:r>
    </w:p>
    <w:p>
      <w:pPr>
        <w:spacing w:after="0" w:line="150" w:lineRule="exact"/>
        <w:rPr>
          <w:sz w:val="20"/>
          <w:szCs w:val="20"/>
          <w:color w:val="auto"/>
        </w:rPr>
      </w:pPr>
    </w:p>
    <w:p>
      <w:pPr>
        <w:ind w:left="8" w:right="20"/>
        <w:spacing w:after="0" w:line="310" w:lineRule="auto"/>
        <w:rPr>
          <w:sz w:val="20"/>
          <w:szCs w:val="20"/>
          <w:color w:val="auto"/>
        </w:rPr>
      </w:pPr>
      <w:r>
        <w:rPr>
          <w:rFonts w:ascii="Arial" w:cs="Arial" w:eastAsia="Arial" w:hAnsi="Arial"/>
          <w:sz w:val="10"/>
          <w:szCs w:val="10"/>
          <w:color w:val="auto"/>
        </w:rPr>
        <w:t>Our Chinese subsidiary, or Venus Concept China, imports and sells registered medical devices and unregistered non-medical devices in the PRC. One of its unregistered products has been the subject of inquiries from two district level branches of the SAMR, Xuhui MSA and Huangpu MSA, as to whether the product was properly sold as a non-medical device. In January 2019, Venus Concept China had applied to register a version of this non-medical device as a medical device with the National Medical Products Administration of PRC, or NMPA. On June 12, 2019, Venus Concept China was informed that Xuhui MSA had opened an administrative investigation case related to whether the device is an unregistered medical device, as a result of a complaint that Xuhui MSA received from a former distributor of Venus Concept China. Huangpu MSA notified Venus Concept China that it would be suspending its separate investigation against Venus Concept China, pending the results of the Xuhui MSA investigation. We and Venus Concept China have voluntarily stopped sales in China of this product. On December 11, 2019, Xuhui MSA informed Venus Concept China that a determination had been made by the Shanghai Medical Products Administration that Versa’s IPL function should be administered as a Class II medical device. Xuhui MSA also suggested that Venus Concept China consider a voluntary recall of all Versa units sold in China. In late January 2020, Venus Concept China received a copy of the Shanghai Medical Products Administration’s determination that because of the intended uses for Versa’s IPL function comprise medical treatment functions such as “treatment of benign pigmented epidermis and skin lesions,” Versa’s IPL function should be administered as a Class II medical device. Although the revenue generated from the product that is the subject of the investigation did not represent a material amount of our total revenues for the years ended December 31, 2018 and 2019, monetary penalties nonetheless could be material.</w:t>
      </w:r>
    </w:p>
    <w:p>
      <w:pPr>
        <w:spacing w:after="0" w:line="121" w:lineRule="exact"/>
        <w:rPr>
          <w:sz w:val="20"/>
          <w:szCs w:val="20"/>
          <w:color w:val="auto"/>
        </w:rPr>
      </w:pPr>
    </w:p>
    <w:p>
      <w:pPr>
        <w:ind w:left="8" w:right="80"/>
        <w:spacing w:after="0" w:line="309" w:lineRule="auto"/>
        <w:rPr>
          <w:sz w:val="20"/>
          <w:szCs w:val="20"/>
          <w:color w:val="auto"/>
        </w:rPr>
      </w:pPr>
      <w:r>
        <w:rPr>
          <w:rFonts w:ascii="Arial" w:cs="Arial" w:eastAsia="Arial" w:hAnsi="Arial"/>
          <w:sz w:val="10"/>
          <w:szCs w:val="10"/>
          <w:color w:val="auto"/>
        </w:rPr>
        <w:t>In April 2020, Venus Concept China received a determination from NMPA on its application for registering Versa’s IPL function as a medical device. NMPA has approved the registration of one applicator HR 650 for hair removal as a Class II medical device out of the four IPL applicators for which Venus Concept China had originally applied. The date of registration is April 15, 2020. Venus Concept China also submitted an explanation letter and a draft Corrective</w:t>
      </w:r>
    </w:p>
    <w:p>
      <w:pPr>
        <w:spacing w:after="0" w:line="1" w:lineRule="exact"/>
        <w:rPr>
          <w:sz w:val="20"/>
          <w:szCs w:val="20"/>
          <w:color w:val="auto"/>
        </w:rPr>
      </w:pPr>
    </w:p>
    <w:p>
      <w:pPr>
        <w:ind w:left="8" w:right="20" w:hanging="8"/>
        <w:spacing w:after="0" w:line="278" w:lineRule="auto"/>
        <w:tabs>
          <w:tab w:leader="none" w:pos="131" w:val="left"/>
        </w:tabs>
        <w:numPr>
          <w:ilvl w:val="0"/>
          <w:numId w:val="16"/>
        </w:numPr>
        <w:rPr>
          <w:rFonts w:ascii="Arial" w:cs="Arial" w:eastAsia="Arial" w:hAnsi="Arial"/>
          <w:sz w:val="11"/>
          <w:szCs w:val="11"/>
          <w:color w:val="auto"/>
        </w:rPr>
      </w:pPr>
      <w:r>
        <w:rPr>
          <w:rFonts w:ascii="Arial" w:cs="Arial" w:eastAsia="Arial" w:hAnsi="Arial"/>
          <w:sz w:val="11"/>
          <w:szCs w:val="11"/>
          <w:color w:val="auto"/>
        </w:rPr>
        <w:t>Preventive Action Report plan to Xuhui MSA during a meeting with the local authority on April 23, 2020. However, on April 29, 2020, Xuhui MSA informed Venus Concept China that its administrative investigation case has been transferred to Xuhui Branch of Shanghai Municipal Public Security Bureau (“Xuhui PSB”) for further handling. On May 6, 2020, the economic crime investigation department of Xuhui PSB confirmed to Venus Concept China’s local PRC counsel that they will review and decide whether or not to file formally a criminal investigation case against Venus Concept China and any relevant individuals allegedly responsible for any alleged criminal offense(s). Should such criminal investigation case be formally filed, then Xuhui PSA will conduct a formal investigation and at the end of which, determine whether or not the case should then be submitted to the relevant Procuratorate office (equivalent of the local prosecutors’ office) for criminal prosecution proceedings against Venus Concept China and any accused individuals. Based on facts and information currently available to us, it is currently uncertain as to whether or not the Xuhui PSB will actually file a formal criminal investigation case against Venus Concept China and if so, whether or not it will transfer the case for criminal prosecution at the end of such investigation, or whether or not any criminal offense(s) will be established against Venus Concept China and any relevant individuals in any subsequent criminal prosecution proceedings.</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color w:val="auto"/>
        </w:rPr>
        <w:t>We and Venus Concept China are cooperating with the relevant authorities in these matters; however, we cannot predict the outcome of these matters.</w:t>
      </w:r>
    </w:p>
    <w:p>
      <w:pPr>
        <w:spacing w:after="0" w:line="150" w:lineRule="exact"/>
        <w:rPr>
          <w:sz w:val="20"/>
          <w:szCs w:val="20"/>
          <w:color w:val="auto"/>
        </w:rPr>
      </w:pPr>
    </w:p>
    <w:p>
      <w:pPr>
        <w:ind w:left="8" w:right="460"/>
        <w:spacing w:after="0" w:line="276" w:lineRule="auto"/>
        <w:rPr>
          <w:sz w:val="20"/>
          <w:szCs w:val="20"/>
          <w:color w:val="auto"/>
        </w:rPr>
      </w:pPr>
      <w:r>
        <w:rPr>
          <w:rFonts w:ascii="Arial" w:cs="Arial" w:eastAsia="Arial" w:hAnsi="Arial"/>
          <w:sz w:val="12"/>
          <w:szCs w:val="12"/>
          <w:color w:val="auto"/>
        </w:rPr>
        <w:t>Further, we may from time to time continue to be involved in various legal proceedings of a character normally incident to the ordinary course of our business, which we do not deem to be material to our business and results of operations.</w:t>
      </w:r>
    </w:p>
    <w:p>
      <w:pPr>
        <w:spacing w:after="0" w:line="25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89470" cy="11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75" w:right="299" w:bottom="1440" w:gutter="0" w:footer="0" w:header="0"/>
        </w:sectPr>
      </w:pPr>
    </w:p>
    <w:bookmarkStart w:id="47" w:name="page48"/>
    <w:bookmarkEnd w:id="47"/>
    <w:p>
      <w:pPr>
        <w:spacing w:after="0"/>
        <w:rPr>
          <w:sz w:val="20"/>
          <w:szCs w:val="20"/>
          <w:color w:val="auto"/>
        </w:rPr>
      </w:pPr>
      <w:r>
        <w:rPr>
          <w:rFonts w:ascii="Arial" w:cs="Arial" w:eastAsia="Arial" w:hAnsi="Arial"/>
          <w:sz w:val="12"/>
          <w:szCs w:val="12"/>
          <w:b w:val="1"/>
          <w:bCs w:val="1"/>
          <w:color w:val="231F20"/>
        </w:rPr>
        <w:t>ITEM 1A. RISK FACTORS</w:t>
      </w:r>
    </w:p>
    <w:p>
      <w:pPr>
        <w:spacing w:after="0" w:line="154"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i w:val="1"/>
          <w:iCs w:val="1"/>
          <w:color w:val="231F20"/>
        </w:rPr>
        <w:t>Our operations and financial results are subject to various risk and uncertainties, including those described below and the risk factors described under “Part I, Item 1A. Risk Factors” in our latest Form 10-K, any of which could adversely affect our business, results of operations, financial condition and prospects. In such an event, the market price of our common stock could decline, and you may lose all or part of your investment. Additional risks and uncertainties not presently known to us or that we currently deem immaterial may also impair our business operations. You should carefully consider the risk described below and the other information in this Quarterly Report on Form 10-Q, our unaudited condensed consolidated financial statements and the related notes thereto, and “Management’s Discussion and Analysis of Financial Condition and Results of Operations”, include herewith, and the risk factors previously disclosed in “Part I, Item 1A. Risk Factors” in our Form 10-K.</w:t>
      </w:r>
    </w:p>
    <w:p>
      <w:pPr>
        <w:spacing w:after="0" w:line="128"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b w:val="1"/>
          <w:bCs w:val="1"/>
          <w:i w:val="1"/>
          <w:iCs w:val="1"/>
          <w:color w:val="auto"/>
        </w:rPr>
        <w:t>Our subscription-based model exposes us to the credit risk of our customers over the life of the subscription agreement. In the event that our customers fail to make the monthly payments under their subscription agreements, our financial results may be adversely affected.</w:t>
      </w:r>
    </w:p>
    <w:p>
      <w:pPr>
        <w:spacing w:after="0" w:line="115" w:lineRule="exact"/>
        <w:rPr>
          <w:sz w:val="20"/>
          <w:szCs w:val="20"/>
          <w:color w:val="auto"/>
        </w:rPr>
      </w:pPr>
    </w:p>
    <w:p>
      <w:pPr>
        <w:spacing w:after="0" w:line="277" w:lineRule="auto"/>
        <w:rPr>
          <w:sz w:val="20"/>
          <w:szCs w:val="20"/>
          <w:color w:val="auto"/>
        </w:rPr>
      </w:pPr>
      <w:r>
        <w:rPr>
          <w:rFonts w:ascii="Arial" w:cs="Arial" w:eastAsia="Arial" w:hAnsi="Arial"/>
          <w:sz w:val="11"/>
          <w:szCs w:val="11"/>
          <w:color w:val="auto"/>
        </w:rPr>
        <w:t>For three months ended March 31, 2020 and 2019, approximately 66% and 72%, respectively, and for the years ended December 31, 2019 and 2018, approximately 67% and 75%, respectively, of our system revenues were derived from our subscription-based model. Although the ARTAS® System will not be available under our subscription-based model, we expect that our subscription-based business model to continue to represent the majority of our revenue for the foreseeable future. We collect an up-front fee, combined with a monthly payment schedule typically over a period of 36 months, with approximately 40% of total contract payments collected in the first year. For accounting purposes, these arrangements are considered to be sales-type finance leases, where the present value of all cash flows to be received under the subscription agreement is recognized as revenue upon shipment of the system to the customer. As part of our sales and marketing effort, we do not require our customers to undergo a credit check or register a lien or security interest under the Uniform Commercial Code or similar legislation, as is typically required with a third-party equipment leasing financing. Instead, to ensure that each monthly product payment is made on time and that the customer’s systems are serviced in accordance with the terms of the warranty, every product requires a monthly activation code, which we provide to the customer upon receiving each monthly payment. If a customer does not timely pay a monthly installment, the customer will not receive an activation code and will be unable to use the system for any procedures. This process does not protect us from the economic impact of a customer’s failure to make its monthly payments and as an unsecured creditor, we are subject to a greater risk in the event of a customer default. We cannot provide any assurance that the financial position of customers purchasing products and services under a subscription agreement will not change adversely before we receive all of the monthly installment payments due under the contract. As a result of the global economic turmoil that has resulted from COVID-19, many of our customers are experiencing difficulty in making timely payments or payments at all during this pandemic under their subscription agreements which could result in higher than anticipated bad debt expense over the course of the 2020 fiscal year. In our largest subscription markets we collected approximately 60% of our billings in March 2020 and 30% of our billings in April 2020. We cannot assure you that our customers will resume payments under their agreements or that we will not experience customer defaults even after shelter-in-place orders are lifted. In the event that there is a default by any of the customers to whom we have sold systems under the subscription-based model, we may recognize bad debt expenses in our general and administrative expenses. If this bad debt expense is material, it could negatively affect our results of operations and operating cash flows.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71" w:right="319" w:bottom="1440" w:gutter="0" w:footer="0" w:header="0"/>
        </w:sectPr>
      </w:pPr>
    </w:p>
    <w:bookmarkStart w:id="48" w:name="page49"/>
    <w:bookmarkEnd w:id="48"/>
    <w:p>
      <w:pPr>
        <w:ind w:right="280"/>
        <w:spacing w:after="0" w:line="276" w:lineRule="auto"/>
        <w:rPr>
          <w:sz w:val="20"/>
          <w:szCs w:val="20"/>
          <w:color w:val="auto"/>
        </w:rPr>
      </w:pPr>
      <w:r>
        <w:rPr>
          <w:rFonts w:ascii="Arial" w:cs="Arial" w:eastAsia="Arial" w:hAnsi="Arial"/>
          <w:sz w:val="12"/>
          <w:szCs w:val="12"/>
          <w:b w:val="1"/>
          <w:bCs w:val="1"/>
          <w:i w:val="1"/>
          <w:iCs w:val="1"/>
          <w:color w:val="auto"/>
        </w:rPr>
        <w:t>One of our large customers filed for bankruptcy protection in February 2019 and we recorded a provision for bad debts of $8.3 million against the receivable for this customer for the year ended December 31, 2018, and if we experience other customer defaults under our subscription agreements, our financial results may be adversely affected.</w:t>
      </w:r>
    </w:p>
    <w:p>
      <w:pPr>
        <w:spacing w:after="0" w:line="115" w:lineRule="exact"/>
        <w:rPr>
          <w:sz w:val="20"/>
          <w:szCs w:val="20"/>
          <w:color w:val="auto"/>
        </w:rPr>
      </w:pPr>
    </w:p>
    <w:p>
      <w:pPr>
        <w:spacing w:after="0" w:line="277" w:lineRule="auto"/>
        <w:rPr>
          <w:sz w:val="20"/>
          <w:szCs w:val="20"/>
          <w:color w:val="auto"/>
        </w:rPr>
      </w:pPr>
      <w:r>
        <w:rPr>
          <w:rFonts w:ascii="Arial" w:cs="Arial" w:eastAsia="Arial" w:hAnsi="Arial"/>
          <w:sz w:val="11"/>
          <w:szCs w:val="11"/>
          <w:color w:val="auto"/>
        </w:rPr>
        <w:t>In February 2019, one of our large customers filed for bankruptcy protection. Prior to the bankruptcy filing, we had entered into numerous subscription agreements between 2015 and 2017 with this customer. We recorded a provision for bad debts of $8.3 million against the receivable for this customer for the year ended December 31, 2018. In connection with the bankruptcy, the debtors filed an adversary action against Venus Concept Ltd. (and several others) seeking to avoid any security interest of Venus Concept Ltd., to recover 89 units that had been transferred back to Venus Concept Ltd., the return of approximately $150,000 paid to Venus Concept Ltd. within the 90 days before the bankruptcy filing and to disallow Venus Concept Ltd.’s asserted claim of approximately $5.9 million. Venus Concept Ltd. and the debtors entered into a settlement agreement, which was approved by the bankruptcy court on May 24, 2019, pursuant to which, among other things, a third-party purchaser would buy and assume certain units from the debtors and pay a total of approximately $2.7 million to Venus Concept Ltd. over 25 months, debtors would release and waive any and all claims against us, including the preference claim, we would retain and have all rights to previously terminated units, and any units in possession of the debtors or that were subsequently discovered to be property of the debtor would be returned to us without further cost to us. Pursuant to the settlement agreement, Venus Concept Ltd. agreed to waive and release the debtors from all claims (other than those specifically carved out). We do not anticipate receiving any further distribution from this customer’s bankruptcy due to the releases provided for in the settlement agreement. Although we are currently receiving monthly payments under the new agreement with the purchaser of this customer’s assets, we cannot assure you that we will receive the full amount. Furthermore, we cannot assure you that we will not experience further customer defaults under our subscription agreements that could have a material adverse effect on our financial position. As a result of the COVID-19 pandemic and state and local government lockdowns and shelter-in-place orders, a number of our customers have stopped paying timely or, in some cases, at all, monthly subscription amounts. We cannot assure you that our customers that have experienced difficultly in paying will reopen and resume payments after government lockdowns and shelter-in-place orders are lifted. It is possible that some of our customers will file for bankruptcy and we will not recover all or even a portion of the subscription payments from these customers.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recurring losses from operations and negative operating cash flows raise substantial doubt about our ability to continue as a going concern.</w:t>
      </w:r>
    </w:p>
    <w:p>
      <w:pPr>
        <w:spacing w:after="0" w:line="150" w:lineRule="exact"/>
        <w:rPr>
          <w:sz w:val="20"/>
          <w:szCs w:val="20"/>
          <w:color w:val="auto"/>
        </w:rPr>
      </w:pPr>
    </w:p>
    <w:p>
      <w:pPr>
        <w:ind w:right="60"/>
        <w:spacing w:after="0" w:line="253" w:lineRule="auto"/>
        <w:rPr>
          <w:sz w:val="20"/>
          <w:szCs w:val="20"/>
          <w:color w:val="auto"/>
        </w:rPr>
      </w:pPr>
      <w:r>
        <w:rPr>
          <w:rFonts w:ascii="Arial" w:cs="Arial" w:eastAsia="Arial" w:hAnsi="Arial"/>
          <w:sz w:val="12"/>
          <w:szCs w:val="12"/>
          <w:color w:val="auto"/>
        </w:rPr>
        <w:t>We have had recurring net operating losses and negative cash flows from operations, and until we generate revenue at a level to support our cost structure, we expect to continue to incur substantial operating losses and net cash outflows. As of March 31, 2020 and December 31, 2019, we had an accumulated deficit of $125.9 million and $75.7 million, respectively. Our recurring losses from operations and negative operating cash flows raise substantial doubt about our ability to continue as a going concern, meaning that we may be unable to continue operations for the foreseeable future or realize assets and discharge liabilities in the ordinary course of operations. In order to continue our operations, we must achieve profitable operations and/or obtain additional equity or debt financing. However, given the COVID-19 pandemic, we cannot anticipate the extent to which the current economic turmoil and financial market conditions, will continue to adversely impact our business and our ability to raise additional capital to fund our future operations and to access the capital markets sooner than we planned. 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or research and development expenditures or sell certain assets, including intellectual property assets. The perception of our ability to continue as a going concern may make it more difficult for us to obtain financing for the continuation of our operations and could result in the loss of confidence by investors, suppliers and employees. Our condensed consolidated financial statements do not include any adjustments that may result from the outcome of this uncertainty.</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49" w:name="page50"/>
    <w:bookmarkEnd w:id="49"/>
    <w:p>
      <w:pPr>
        <w:spacing w:after="0"/>
        <w:rPr>
          <w:sz w:val="20"/>
          <w:szCs w:val="20"/>
          <w:color w:val="auto"/>
        </w:rPr>
      </w:pPr>
      <w:r>
        <w:rPr>
          <w:rFonts w:ascii="Arial" w:cs="Arial" w:eastAsia="Arial" w:hAnsi="Arial"/>
          <w:sz w:val="12"/>
          <w:szCs w:val="12"/>
          <w:b w:val="1"/>
          <w:bCs w:val="1"/>
          <w:i w:val="1"/>
          <w:iCs w:val="1"/>
          <w:color w:val="auto"/>
        </w:rPr>
        <w:t>Business or economic disruptions or global health concerns have had an adverse effect our business, operating results or financial condition.</w:t>
      </w:r>
    </w:p>
    <w:p>
      <w:pPr>
        <w:spacing w:after="0" w:line="150" w:lineRule="exact"/>
        <w:rPr>
          <w:sz w:val="20"/>
          <w:szCs w:val="20"/>
          <w:color w:val="auto"/>
        </w:rPr>
      </w:pPr>
    </w:p>
    <w:p>
      <w:pPr>
        <w:spacing w:after="0" w:line="277" w:lineRule="auto"/>
        <w:rPr>
          <w:sz w:val="20"/>
          <w:szCs w:val="20"/>
          <w:color w:val="auto"/>
        </w:rPr>
      </w:pPr>
      <w:r>
        <w:rPr>
          <w:rFonts w:ascii="Arial" w:cs="Arial" w:eastAsia="Arial" w:hAnsi="Arial"/>
          <w:sz w:val="11"/>
          <w:szCs w:val="11"/>
          <w:color w:val="auto"/>
        </w:rPr>
        <w:t>Global business or economic disruptions could adversely affect our business. In December 2019, an outbreak of a novel strain of coronavirus (COVID-19) originated in Wuhan, China, and has since spread globally. To date, this global pandemic has already resulted in extended shutdowns of businesses in North and South America, Europe and Asia Pacific. Global health concerns, such as the coronavirus pandemic, could also result in social, economic, and labor instability in the countries in which we or the third parties with whom we engage operate. We cannot presently predict the scope and ultimate severity or duration of the coronavirus pandemic and related business shutdowns or disruptions to our business, but the coronavirus pandemic and the resulting economic and commercial shutdowns to date have materially and negatively impacted our ability to conduct business in the manner planned. Disruptions to our business include restrictions on the ability of our sales and marketing personnel and distributors to travel and sell our systems, disruptions of our global supply chain, disruptions in manufacturing, reduced demand and/or suspension of operations by our customers which has impacted their ability to make monthly subscription payments, and the deferral of aesthetic or hair restoration procedures. Our customers’ patients are also affected by the economic impact of the COVID-19 pandemic. Elective aesthetic procedures are less of a priority than other items for those patients that have lost their jobs, are furloughed, have reduced work hours or have to allocate their cash to other priorities. We expect COVID-19 will continue to negatively affect customer demand in the second quarter of fiscal 2020 and into the second half of the year. While we expect some recovery in some markets in the second half of the year, the impact of COVID-19 on our sales could still be significant. We do not yet know the full extent of the impact of COVID-19 on our business, financial condition and results of operations. The extent to which the COVID-19 pandemic may impact our business, operating results, financial condition, or liquidity in the future will depend on future developments which are evolving and highly uncertain including the duration of the outbreak, travel restrictions, business and workforce disruptions, the timing of reopening the economic regions in which we do business and the effectiveness of actions taken to contain and treat the disease. In addition, a resurgence in the number of cases of COVID-19 in the geographies in which we operate could further negatively impact our business. The outbreak of contagious diseases or the fear of such an outbreak could adversely affect the economies and financial markets of many countries, resulting in an economic downturn that could affect the demand for our systems. Any of these events could negatively impact our business, operating results or financial condition.</w:t>
      </w:r>
    </w:p>
    <w:p>
      <w:pPr>
        <w:spacing w:after="0" w:line="118" w:lineRule="exact"/>
        <w:rPr>
          <w:sz w:val="20"/>
          <w:szCs w:val="20"/>
          <w:color w:val="auto"/>
        </w:rPr>
      </w:pPr>
    </w:p>
    <w:p>
      <w:pPr>
        <w:ind w:right="320"/>
        <w:spacing w:after="0" w:line="276" w:lineRule="auto"/>
        <w:rPr>
          <w:sz w:val="20"/>
          <w:szCs w:val="20"/>
          <w:color w:val="auto"/>
        </w:rPr>
      </w:pPr>
      <w:r>
        <w:rPr>
          <w:rFonts w:ascii="Arial" w:cs="Arial" w:eastAsia="Arial" w:hAnsi="Arial"/>
          <w:sz w:val="12"/>
          <w:szCs w:val="12"/>
          <w:b w:val="1"/>
          <w:bCs w:val="1"/>
          <w:i w:val="1"/>
          <w:iCs w:val="1"/>
          <w:color w:val="auto"/>
        </w:rPr>
        <w:t>We will require additional financing to achieve our goals, and a failure to obtain this necessary capital when needed on acceptable terms, or at all, could force us to delay, limit, reduce or terminate our product development, commercialization and other operations or efforts.</w:t>
      </w:r>
    </w:p>
    <w:p>
      <w:pPr>
        <w:spacing w:after="0" w:line="115" w:lineRule="exact"/>
        <w:rPr>
          <w:sz w:val="20"/>
          <w:szCs w:val="20"/>
          <w:color w:val="auto"/>
        </w:rPr>
      </w:pPr>
    </w:p>
    <w:p>
      <w:pPr>
        <w:ind w:right="120"/>
        <w:spacing w:after="0" w:line="259" w:lineRule="auto"/>
        <w:rPr>
          <w:sz w:val="20"/>
          <w:szCs w:val="20"/>
          <w:color w:val="auto"/>
        </w:rPr>
      </w:pPr>
      <w:r>
        <w:rPr>
          <w:rFonts w:ascii="Arial" w:cs="Arial" w:eastAsia="Arial" w:hAnsi="Arial"/>
          <w:sz w:val="12"/>
          <w:szCs w:val="12"/>
          <w:color w:val="auto"/>
        </w:rPr>
        <w:t>Since our inception, we have invested a significant portion of our efforts and financial resources in research and development and sales and marketing activities. Research and development, clinical trials, product engineering, ongoing product upgrades and other enhancements and seeking regulatory clearances and approvals to market future products will require substantial funds to complete. As of March 31, 2020, we had capital resources consisting of cash and cash equivalents of approximately $20.6 million. We believe that we will continue to expend substantial resources for the foreseeable future in connection with the ongoing commercializing of our systems, our sales and marketing efforts, and continuing research and development and product enhancements activities.</w:t>
      </w:r>
    </w:p>
    <w:p>
      <w:pPr>
        <w:spacing w:after="0" w:line="124" w:lineRule="exact"/>
        <w:rPr>
          <w:sz w:val="20"/>
          <w:szCs w:val="20"/>
          <w:color w:val="auto"/>
        </w:rPr>
      </w:pPr>
    </w:p>
    <w:p>
      <w:pPr>
        <w:ind w:right="20"/>
        <w:spacing w:after="0" w:line="281" w:lineRule="auto"/>
        <w:rPr>
          <w:sz w:val="20"/>
          <w:szCs w:val="20"/>
          <w:color w:val="auto"/>
        </w:rPr>
      </w:pPr>
      <w:r>
        <w:rPr>
          <w:rFonts w:ascii="Arial" w:cs="Arial" w:eastAsia="Arial" w:hAnsi="Arial"/>
          <w:sz w:val="11"/>
          <w:szCs w:val="11"/>
          <w:color w:val="auto"/>
        </w:rPr>
        <w:t>While we believe that the net proceeds from the 2020 Private Placement, the proceeds from the PPP Loans, together with our existing cash and cash equivalents, and the anticipated savings from our Merger-related cost savings initiatives and our new restructuring program, will enable us to fund our operating expenses and capital expenditure requirements for at least the next 12 months, the impact of COVID-19 on our business has been significant and we cannot predict the extent to which COVID-19 will continue to adversely impact our business. As a result, we may need to raise additional capital through public or private equity or debt financings or other sources, such as strategic collaborations sooner than expected or otherwise implement additional cost-saving initiatives. The COVID-19 pandemic and the economic turmoil it has caused has negatively affected the global financial markets which may make it difficult to access the public markets. Any such financing may result in dilution to stockholders, the issuance of securities may have rights, preferences, or privileges senior to those of holders of our common stock, the imposition of more burdensome debt covenants and repayment obligations, the licensing of rights to our technology or other restrictions that may affect our business. In addition, we may seek additional capital if favorable market conditions or given other strategic considerations even if we believe we have sufficient capital to fund our current or future operating plans.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Additional funds may not be available when we need them, on terms that are acceptable to us, or at all. If adequate funds are not available to us on a timely basis, we may be required to:</w:t>
      </w:r>
    </w:p>
    <w:p>
      <w:pPr>
        <w:spacing w:after="0" w:line="150" w:lineRule="exact"/>
        <w:rPr>
          <w:sz w:val="20"/>
          <w:szCs w:val="20"/>
          <w:color w:val="auto"/>
        </w:rPr>
      </w:pPr>
    </w:p>
    <w:p>
      <w:pPr>
        <w:ind w:left="740" w:hanging="379"/>
        <w:spacing w:after="0"/>
        <w:tabs>
          <w:tab w:leader="none" w:pos="7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delay or curtail our efforts to develop system product enhancements or new products, including any clinical trials that may be required to market such enhancements;</w:t>
      </w:r>
    </w:p>
    <w:p>
      <w:pPr>
        <w:spacing w:after="0" w:line="14" w:lineRule="exact"/>
        <w:rPr>
          <w:rFonts w:ascii="Arial" w:cs="Arial" w:eastAsia="Arial" w:hAnsi="Arial"/>
          <w:sz w:val="12"/>
          <w:szCs w:val="12"/>
          <w:color w:val="auto"/>
        </w:rPr>
      </w:pPr>
    </w:p>
    <w:p>
      <w:pPr>
        <w:ind w:left="740" w:hanging="379"/>
        <w:spacing w:after="0"/>
        <w:tabs>
          <w:tab w:leader="none" w:pos="7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delay or curtail our plans to increase and expand our sales and marketing efforts; or</w:t>
      </w:r>
    </w:p>
    <w:p>
      <w:pPr>
        <w:spacing w:after="0" w:line="6" w:lineRule="exact"/>
        <w:rPr>
          <w:rFonts w:ascii="Arial" w:cs="Arial" w:eastAsia="Arial" w:hAnsi="Arial"/>
          <w:sz w:val="12"/>
          <w:szCs w:val="12"/>
          <w:color w:val="auto"/>
        </w:rPr>
      </w:pPr>
    </w:p>
    <w:p>
      <w:pPr>
        <w:ind w:left="740" w:hanging="379"/>
        <w:spacing w:after="0"/>
        <w:tabs>
          <w:tab w:leader="none" w:pos="7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delay or curtail our plans to enhance our customer support and marketing activities.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50" w:name="page51"/>
    <w:bookmarkEnd w:id="50"/>
    <w:p>
      <w:pPr>
        <w:spacing w:after="0" w:line="255" w:lineRule="auto"/>
        <w:rPr>
          <w:sz w:val="20"/>
          <w:szCs w:val="20"/>
          <w:color w:val="auto"/>
        </w:rPr>
      </w:pPr>
      <w:r>
        <w:rPr>
          <w:rFonts w:ascii="Arial" w:cs="Arial" w:eastAsia="Arial" w:hAnsi="Arial"/>
          <w:sz w:val="12"/>
          <w:szCs w:val="12"/>
          <w:color w:val="auto"/>
        </w:rPr>
        <w:t>We are restricted by covenants in the Madryn Credit Agreement, the CNB Credit Facility and the PPP Loans. These covenants restrict, among other things, our ability to incur additional indebtedness, which may limit our ability to obtain additional debt financing. In addition, the Madryn Credit Agreement contains certain minimum liquidity and minimum revenue covenants, which, if we fail to maintain or achieve, will result in a default under the agreement and the requirement for us to repay all outstanding principal amounts and accrued interest repay all amounts outstanding. In the event that the COVID-19 pandemic and the economic disruptions it has caused continue for an extended period of time, we cannot assure that we will remain in compliance with the financial covenants in our credit facilities. We also cannot assure you that our lenders would provide relief or that we could secure alternative financing on favorable terms if at all. Our failure to comply with the covenants contained in our credit facilities, including financial covenants, could result in an event of default, which could materially and adversely affect our results of operations and financial condition.</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received funding under the Coronavirus Aid, Relief and Economic Security (CARES) Act.</w:t>
      </w:r>
    </w:p>
    <w:p>
      <w:pPr>
        <w:spacing w:after="0" w:line="150"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We and one of our subsidiaries received an aggregate of $4.1 million in funding in connection with two “Small Business Loans” under the federal Paycheck Protection Program provided in Section 7(a) of the Small Business Act of 1953, as amended by the Coronavirus Aid, Relief, and Economic Security Act, as amended from time to time. We and our subsidiary, Venus Concept USA, entered into U.S. Small Business Administration Notes pursuant to which we borrowed $1.7 million original principal amount (the “Venus Concept PPP Loan”) and Venus Concept USA borrowed $2.4 million original principal amount (the “Venus USA PPP Loan” and together with the Venus Concept PPP Loan, individually each a “PPP Loan” and collectively, the “PPP Loans”). The PPP Loans bear interest at 1% per annum and mature in two years from the date of disbursement of funds under each loan. Under certain circumstances, all or a portion of the PPP Loans may be forgiven, however, there can be no assurance that any portion of the PPP Loans will be forgiven and that we and Venus Concept USA would not be required to repay the PPP Loans in full, or that if required to repay the loans in full, that we or Venus Concept USA would have sufficient funds to make the repayment.</w:t>
      </w:r>
    </w:p>
    <w:p>
      <w:pPr>
        <w:spacing w:after="0" w:line="113" w:lineRule="exact"/>
        <w:rPr>
          <w:sz w:val="20"/>
          <w:szCs w:val="20"/>
          <w:color w:val="auto"/>
        </w:rPr>
      </w:pPr>
    </w:p>
    <w:p>
      <w:pPr>
        <w:jc w:val="both"/>
        <w:ind w:right="180"/>
        <w:spacing w:after="0" w:line="263" w:lineRule="auto"/>
        <w:rPr>
          <w:sz w:val="20"/>
          <w:szCs w:val="20"/>
          <w:color w:val="auto"/>
        </w:rPr>
      </w:pPr>
      <w:r>
        <w:rPr>
          <w:rFonts w:ascii="Arial" w:cs="Arial" w:eastAsia="Arial" w:hAnsi="Arial"/>
          <w:sz w:val="12"/>
          <w:szCs w:val="12"/>
          <w:color w:val="auto"/>
        </w:rPr>
        <w:t>The PPP Loans contain certain covenants which, among other things, restrict our use of the proceeds of the respective PPP Loan to the payment of payroll costs, interest on mortgage obligations, rent obligations and utility expenses, require compliance with all other loans or other agreements with any our creditor or creditor of us or Venus Concept USA, to the extent that a default under any loan or other agreement would materially affect our or Venus Concept USA’s ability to repay its respective PPP Loan and limit our ability to make certain changes to our ownership structure.</w:t>
      </w:r>
    </w:p>
    <w:p>
      <w:pPr>
        <w:spacing w:after="0" w:line="122" w:lineRule="exact"/>
        <w:rPr>
          <w:sz w:val="20"/>
          <w:szCs w:val="20"/>
          <w:color w:val="auto"/>
        </w:rPr>
      </w:pPr>
    </w:p>
    <w:p>
      <w:pPr>
        <w:ind w:right="600"/>
        <w:spacing w:after="0" w:line="276" w:lineRule="auto"/>
        <w:rPr>
          <w:sz w:val="20"/>
          <w:szCs w:val="20"/>
          <w:color w:val="auto"/>
        </w:rPr>
      </w:pPr>
      <w:r>
        <w:rPr>
          <w:rFonts w:ascii="Arial" w:cs="Arial" w:eastAsia="Arial" w:hAnsi="Arial"/>
          <w:sz w:val="12"/>
          <w:szCs w:val="12"/>
          <w:color w:val="auto"/>
        </w:rPr>
        <w:t>If we and/or Venus Concept USA defaults on respective PPP Loan (i) events of default will occur under the Madryn Credit Agreement and the CNB Credit Facility and (ii) we and/or Venus Concept USA may be required to immediately repay their respective PPP Loan.</w:t>
      </w:r>
    </w:p>
    <w:p>
      <w:pPr>
        <w:spacing w:after="0" w:line="115" w:lineRule="exact"/>
        <w:rPr>
          <w:sz w:val="20"/>
          <w:szCs w:val="20"/>
          <w:color w:val="auto"/>
        </w:rPr>
      </w:pPr>
    </w:p>
    <w:p>
      <w:pPr>
        <w:ind w:right="60"/>
        <w:spacing w:after="0" w:line="340" w:lineRule="auto"/>
        <w:rPr>
          <w:sz w:val="20"/>
          <w:szCs w:val="20"/>
          <w:color w:val="auto"/>
        </w:rPr>
      </w:pPr>
      <w:r>
        <w:rPr>
          <w:rFonts w:ascii="Arial" w:cs="Arial" w:eastAsia="Arial" w:hAnsi="Arial"/>
          <w:sz w:val="10"/>
          <w:szCs w:val="10"/>
          <w:color w:val="auto"/>
        </w:rPr>
        <w:t>Under the Madryn Credit Agreement each PPP Loan is permitted to be incurred by us and Venus Concept USA as long as certain conditions remain satisfied, including that all PPP Loans must be forgiven other than any amount which can fit under existing permitted debt baskets in the Madryn Credit Agreement. If we and/or Venus Concept USA defaults on the respective PPP Loan or if any of the conditions to the incurrence thereof under the Madryn Credit Agreement are not satisfied (i) events of default will occur under the Madryn Credit Agreement and the CNB Credit Facility and (ii) we and Venus Concept USA may be required to immediately repay their respective PPP Loan.</w:t>
      </w:r>
    </w:p>
    <w:p>
      <w:pPr>
        <w:spacing w:after="0" w:line="87"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Also, the SBA has decided, in consultation with the Department of the Treasury, that it will review all loans in excess of $2.0 million following the lender’s submission of the borrower’s loan forgiveness application. To the extent that the SBA’s audit determines that Venus Concept USA was not entitled to the loan under the PPP, the loan may not be forgiven, an event of default would occur under the Madryn Credit Agreement and Venus Concept USA could be subject to civil and criminal penalties.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the subject of purported class action lawsuits, and additional litigation may be brought against us in the future.</w:t>
      </w:r>
    </w:p>
    <w:p>
      <w:pPr>
        <w:spacing w:after="0" w:line="150" w:lineRule="exact"/>
        <w:rPr>
          <w:sz w:val="20"/>
          <w:szCs w:val="20"/>
          <w:color w:val="auto"/>
        </w:rPr>
      </w:pPr>
    </w:p>
    <w:p>
      <w:pPr>
        <w:ind w:right="20"/>
        <w:spacing w:after="0" w:line="281" w:lineRule="auto"/>
        <w:rPr>
          <w:sz w:val="20"/>
          <w:szCs w:val="20"/>
          <w:color w:val="auto"/>
        </w:rPr>
      </w:pPr>
      <w:r>
        <w:rPr>
          <w:rFonts w:ascii="Arial" w:cs="Arial" w:eastAsia="Arial" w:hAnsi="Arial"/>
          <w:sz w:val="11"/>
          <w:szCs w:val="11"/>
          <w:color w:val="auto"/>
        </w:rPr>
        <w:t>Between May 23, 2018 and June 11, 2019, four putative shareholder class actions complaints were filed against us, certain of our former officers and directors, certain of our venture capital investors, and the underwriters of our IPO. Two of these complaints, Wong v. Restoration Robotics, Inc., et al., No. 18CIV02609, and Li v. Restoration Robotics, Inc., et al., No. 19CIV08173 (together, the “State Actions”), were filed in the Superior Court of the State of California, County of San Mateo, and assert claims under Sections 11, 12(a)(2) and 15 of the Securities Act of 1933, or the Securities Act. The other two complaints, Guerrini v. Restoration Robotics, Inc., et al., No. 5:18-cv-03712-EJD and Yzeiraj v. Restoration Robotics, Inc., et al., No. 5:18-cv-03883-BLF (together, the “Federal Actions”), were filed in the United States District Court for the Northern District of California, and assert claims under Sections 11 and 15 of the Securities Act. The complaints all allege, among other things, that our Registration Statement filed with the SEC on September 1, 2017 and the Prospectus filed with the SEC on October 13, 2017 in connection with our IPO were inaccurate and misleading, contained untrue statements of material facts, omitted to state other facts necessary to make the statements made not misleading and omitted to state material facts required to be stated therein. The complaints seek unspecified monetary damages, other equitable relief and attorneys’ fees and costs.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51" w:name="page52"/>
    <w:bookmarkEnd w:id="51"/>
    <w:p>
      <w:pPr>
        <w:ind w:right="120"/>
        <w:spacing w:after="0" w:line="279" w:lineRule="auto"/>
        <w:rPr>
          <w:sz w:val="20"/>
          <w:szCs w:val="20"/>
          <w:color w:val="auto"/>
        </w:rPr>
      </w:pPr>
      <w:r>
        <w:rPr>
          <w:rFonts w:ascii="Arial" w:cs="Arial" w:eastAsia="Arial" w:hAnsi="Arial"/>
          <w:sz w:val="11"/>
          <w:szCs w:val="11"/>
          <w:color w:val="auto"/>
        </w:rPr>
        <w:t>In the State Actions, we, along with the other defendants, successfully demurred to the initial Wong complaint for failure to state a claim, and secured a stay of both cases based on the forum selection clause contained in our Amended and Restated Certificate of Incorporation, which designates the federal district courts as the exclusive forums for claims arising under the Securities Act. However, on December 19, 2018, the Delaware Court of Chancery in Sciabacucchi v. Salzberg held that exclusive federal forum provisions are invalid under Delaware law. Based on this ruling, the San Mateo Superior Court lifted its stay of State Actions on December 10, 2019. On January 17, 2020, Plaintiffs in the State Actions filed a consolidated amended complaint for violations of federal securities laws, alleging again that, among other things, our Registration Statement filed with the SEC on September 1, 2017 and the Prospectus filed with the SEC on October 13, 2017 in connection with our IPO were inaccurate and misleading, contained untrue statements of material fact, omitted to state other facts necessary to make the statements made not misleading and omitted to state material facts required to be stated therein. The complaint seeks unspecified monetary damages, other equitable relief and attorneys’ fees and costs. On February 24, 2020, we demurred to the consolidated amended complaint for failure to state a claim. On March 18, 2020, the Delaware Supreme Court reversed the Chancery Court’s decision in Sciabacucchi v. Salzberg and held that exclusive federal forum provisions are valid under Delaware law. On March 30, 2020, the Company filed a renewed motion to dismiss based on its federal forum selection clause. Hearings on our demurrer and renewed motion to dismiss, originally scheduled for May 8, 2020, have been postponed to a later date, yet to be determined, due to COVID-19.</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2"/>
          <w:szCs w:val="12"/>
          <w:color w:val="auto"/>
        </w:rPr>
        <w:t>In the Federal Actions, which have been consolidated under the caption In re Restoration Robotics, Inc. Securities Litigation, Case No. 5:18-cv-03712-EJD, Lead Plaintiff Eduardo Guerrini filed his consolidated amended complaint for violations of federal securities laws on November 30, 2018. The consolidated amended complaint alleges again that, among other things, our Registration Statement filed with the SEC on September 1, 2017 and the Prospectus filed with the SEC on October 13, 2017 in connection with our IPO were inaccurate and misleading, contained untrue statements of material facts, omitted to state other facts necessary to make the statements made not misleading and omitted to state material facts required to be stated therein. On January 29, 2019, we, along with certain of our former officers and directors, filed a motion to dismiss the consolidated amended complaint for failure to state a claim. On October 18, 2019, the District Court granted our motion to dismiss as to all but two allegedly false or misleading statements contained in our Prospectus. On December 9, 2019, we filed our answer to the consolidated amended complaint denying the falsity of these statements, and discovery is underway.</w:t>
      </w:r>
    </w:p>
    <w:p>
      <w:pPr>
        <w:spacing w:after="0" w:line="128"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In addition to the State and Federal Actions, on July 11, 2019, a verified shareholder derivative complaint was filed in the United States District Court for the Northern District of California, captioned Mason v. Rhodes, No. 5:19-cv-03997-NC. The complaint alleges that certain of our former officers and directors breached their fiduciary duties, have been unjustly enriched and violated Section 14(a) of the Securities Exchange Act of 1934, or the Exchange Act, in connection with our IPO and our 2018 proxy statement. The complaint seeks unspecified damages, declaratory relief, other equitable relief and attorneys’ fees and costs. On August 21, 2019, the District Court granted the parties’ joint stipulation to stay the Mason action during the pendency of the Federal Actions, and the case remains stayed.</w:t>
      </w:r>
    </w:p>
    <w:p>
      <w:pPr>
        <w:spacing w:after="0" w:line="124" w:lineRule="exact"/>
        <w:rPr>
          <w:sz w:val="20"/>
          <w:szCs w:val="20"/>
          <w:color w:val="auto"/>
        </w:rPr>
      </w:pPr>
    </w:p>
    <w:p>
      <w:pPr>
        <w:ind w:right="80"/>
        <w:spacing w:after="0" w:line="289" w:lineRule="auto"/>
        <w:rPr>
          <w:sz w:val="20"/>
          <w:szCs w:val="20"/>
          <w:color w:val="auto"/>
        </w:rPr>
      </w:pPr>
      <w:r>
        <w:rPr>
          <w:rFonts w:ascii="Arial" w:cs="Arial" w:eastAsia="Arial" w:hAnsi="Arial"/>
          <w:sz w:val="11"/>
          <w:szCs w:val="11"/>
          <w:color w:val="auto"/>
        </w:rPr>
        <w:t>In addition to the actions described above relating to our IPO, two lawsuits purporting to challenge disclosures made in connection with our merger have also been filed. The first, captioned Bushansky v. Restoration Robotics, Inc., et al., No. 5:19-cv-06004-MMC, alleged, among other things, that defendants violated Sections 14(a) and 20(a) of the Exchange Act and SEC Rule 14a-9. The complaint alleged that the proxy statement filed with the SEC by Restoration Robotics, Inc. on September 10, 2019 in connection with the Merger omitted or misrepresented material information. The complaint sought, among other things, injunctive relief, unspecified damages, and attorneys’ fees and costs. On November 6, 2019, the plaintiff voluntarily dismissed the Bushansky action with prejudice as to his individual claims and without prejudice as to the claims of the putative class.</w:t>
      </w:r>
    </w:p>
    <w:p>
      <w:pPr>
        <w:spacing w:after="0" w:line="111" w:lineRule="exact"/>
        <w:rPr>
          <w:sz w:val="20"/>
          <w:szCs w:val="20"/>
          <w:color w:val="auto"/>
        </w:rPr>
      </w:pPr>
    </w:p>
    <w:p>
      <w:pPr>
        <w:spacing w:after="0" w:line="289" w:lineRule="auto"/>
        <w:rPr>
          <w:sz w:val="20"/>
          <w:szCs w:val="20"/>
          <w:color w:val="auto"/>
        </w:rPr>
      </w:pPr>
      <w:r>
        <w:rPr>
          <w:rFonts w:ascii="Arial" w:cs="Arial" w:eastAsia="Arial" w:hAnsi="Arial"/>
          <w:sz w:val="11"/>
          <w:szCs w:val="11"/>
          <w:color w:val="auto"/>
        </w:rPr>
        <w:t>The second, a putative shareholder class action complaint captioned Pak v. Restoration Robotics, Inc., et al., No. 1:19-cv-02237, was filed in the United States District Court for the District of Delaware on December 6, 2019. The complaint alleges, among other things, that defendants violated Sections 14(a) and 20(a) of the Exchange Act and SEC Rule 14a-9. The complaint alleges that the proxy statement filed with the SEC by Restoration Robotics, Inc. on September 10, 2019 in connection with the Merger contained false or misleading information. The complaint seeks, among other things, compensatory and/or rescissory damages, and attorneys’ fees and costs. On February 26, 2020, the District Court appointed Joon Pak as Lead Plaintiff in the Pak action, and approved his selection of Lead Counsel. The Company’s motion to dismiss the Pak complaint is due on May 26, 2020.</w:t>
      </w:r>
    </w:p>
    <w:p>
      <w:pPr>
        <w:spacing w:after="0" w:line="111"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While we believe these claims to be without merit, we cannot assure you that additional claims alleging the same or similar facts will not be filed. Any litigation could result in substantial costs and a diversion of management’s attention and resources.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52" w:name="page53"/>
    <w:bookmarkEnd w:id="52"/>
    <w:p>
      <w:pPr>
        <w:ind w:left="8" w:right="120"/>
        <w:spacing w:after="0" w:line="263" w:lineRule="auto"/>
        <w:rPr>
          <w:sz w:val="20"/>
          <w:szCs w:val="20"/>
          <w:color w:val="auto"/>
        </w:rPr>
      </w:pPr>
      <w:r>
        <w:rPr>
          <w:rFonts w:ascii="Arial" w:cs="Arial" w:eastAsia="Arial" w:hAnsi="Arial"/>
          <w:sz w:val="12"/>
          <w:szCs w:val="12"/>
          <w:b w:val="1"/>
          <w:bCs w:val="1"/>
          <w:i w:val="1"/>
          <w:iCs w:val="1"/>
          <w:color w:val="auto"/>
        </w:rPr>
        <w:t>One of our subsidiaries is the subject of an administrative law investigation by the People’s Republic of China, or the PRC, State Administration for Market Regulation, or SAMR, regarding the potential misclassification of one product as a non-medical device. If this subsidiary is determined to have sold the Versa platform under an improper classification, the subsidiary could face material administrative penalties, including loss of future sales, corrective actions, disgorgement of profits and fines.</w:t>
      </w:r>
    </w:p>
    <w:p>
      <w:pPr>
        <w:spacing w:after="0" w:line="122" w:lineRule="exact"/>
        <w:rPr>
          <w:sz w:val="20"/>
          <w:szCs w:val="20"/>
          <w:color w:val="auto"/>
        </w:rPr>
      </w:pPr>
    </w:p>
    <w:p>
      <w:pPr>
        <w:ind w:left="8"/>
        <w:spacing w:after="0" w:line="310" w:lineRule="auto"/>
        <w:rPr>
          <w:sz w:val="20"/>
          <w:szCs w:val="20"/>
          <w:color w:val="auto"/>
        </w:rPr>
      </w:pPr>
      <w:r>
        <w:rPr>
          <w:rFonts w:ascii="Arial" w:cs="Arial" w:eastAsia="Arial" w:hAnsi="Arial"/>
          <w:sz w:val="10"/>
          <w:szCs w:val="10"/>
          <w:color w:val="auto"/>
        </w:rPr>
        <w:t>Our Chinese subsidiary, Venus Concept China, imports and sells registered medical devices and unregistered non-medical devices in the PRC. One of its unregistered products has been the subject of inquiries from two district level branches of the SAMR, Xuhui MSA and Huangpu MSA, as to whether the product was properly sold as a non-medical device. In January 2019, Venus Concept China had applied to register a version of this non-medical device as a medical device with the National Medical Products Administration of PRC, or NMPA. On June 12, 2019, Venus Concept China was informed that Xuhui MSA had opened an administrative investigation case related to whether the device is an unregistered medical device, as a result of a complaint that Xuhui MSA received from a former distributor of Venus Concept China. Huangpu MSA notified Venus Concept China that it would be suspending its separate investigation against Venus Concept China, pending the results of the Xuhui MSA investigation. We and Venus Concept China have voluntarily stopped sales in China of this product. On December 11, 2019, Xuhui MSA informed Venus Concept China that a determination had been made by the Shanghai Medical Products Administration that Versa’s IPL function should be administered as a Class II medical device. Xuhui MSA also suggested that Venus Concept China consider a voluntary recall of all Versa units sold in China. In late January 2020, Venus Concept China received a copy of the Shanghai Medical Products Administration’s determination that because of the intended uses for Versa’s IPL function comprise medical treatment functions such as “treatment of benign pigmented epidermis and skin lesions,” Versa’s IPL function should be administered as a Class II medical device. Although the revenue generated from the product that is the subject of the investigation did not represent a material amount of our total revenues for the years ended December 31, 2018 and 2019, monetary penalties nonetheless could be material.</w:t>
      </w:r>
    </w:p>
    <w:p>
      <w:pPr>
        <w:spacing w:after="0" w:line="103" w:lineRule="exact"/>
        <w:rPr>
          <w:sz w:val="20"/>
          <w:szCs w:val="20"/>
          <w:color w:val="auto"/>
        </w:rPr>
      </w:pPr>
    </w:p>
    <w:p>
      <w:pPr>
        <w:ind w:left="8" w:right="60"/>
        <w:spacing w:after="0" w:line="309" w:lineRule="auto"/>
        <w:rPr>
          <w:sz w:val="20"/>
          <w:szCs w:val="20"/>
          <w:color w:val="auto"/>
        </w:rPr>
      </w:pPr>
      <w:r>
        <w:rPr>
          <w:rFonts w:ascii="Arial" w:cs="Arial" w:eastAsia="Arial" w:hAnsi="Arial"/>
          <w:sz w:val="10"/>
          <w:szCs w:val="10"/>
          <w:color w:val="auto"/>
        </w:rPr>
        <w:t>In April 2020, Venus Concept China received a determination from NMPA on its application for registering Versa’s IPL function as a medical device. NMPA has approved the registration of one applicator HR 650 for hair removal as a Class II medical device out of the four IPL applicators for which Venus Concept China had originally applied. The date of registration is April 15, 2020. Venus Concept China also submitted an explanation letter and a draft Corrective</w:t>
      </w:r>
    </w:p>
    <w:p>
      <w:pPr>
        <w:spacing w:after="0" w:line="1" w:lineRule="exact"/>
        <w:rPr>
          <w:sz w:val="20"/>
          <w:szCs w:val="20"/>
          <w:color w:val="auto"/>
        </w:rPr>
      </w:pPr>
    </w:p>
    <w:p>
      <w:pPr>
        <w:ind w:left="8" w:right="80" w:hanging="8"/>
        <w:spacing w:after="0" w:line="260" w:lineRule="auto"/>
        <w:tabs>
          <w:tab w:leader="none" w:pos="131" w:val="left"/>
        </w:tabs>
        <w:numPr>
          <w:ilvl w:val="0"/>
          <w:numId w:val="18"/>
        </w:numPr>
        <w:rPr>
          <w:rFonts w:ascii="Arial" w:cs="Arial" w:eastAsia="Arial" w:hAnsi="Arial"/>
          <w:sz w:val="12"/>
          <w:szCs w:val="12"/>
          <w:color w:val="auto"/>
        </w:rPr>
      </w:pPr>
      <w:r>
        <w:rPr>
          <w:rFonts w:ascii="Arial" w:cs="Arial" w:eastAsia="Arial" w:hAnsi="Arial"/>
          <w:sz w:val="12"/>
          <w:szCs w:val="12"/>
          <w:color w:val="auto"/>
        </w:rPr>
        <w:t>Preventive Action Report plan to Xuhui MSA during a meeting with the local authority on April 23, 2020. However, on April 29, 2020, Xuhui MSA informed Venus Concept China that its administrative investigation case has been transferred to Xuhui Branch of Shanghai Municipal Public Security Bureau (“Xuhui PSB”) for further handling, as described below.</w:t>
      </w:r>
    </w:p>
    <w:p>
      <w:pPr>
        <w:spacing w:after="0" w:line="124" w:lineRule="exact"/>
        <w:rPr>
          <w:sz w:val="20"/>
          <w:szCs w:val="20"/>
          <w:color w:val="auto"/>
        </w:rPr>
      </w:pPr>
    </w:p>
    <w:p>
      <w:pPr>
        <w:ind w:left="8"/>
        <w:spacing w:after="0" w:line="283" w:lineRule="auto"/>
        <w:rPr>
          <w:sz w:val="20"/>
          <w:szCs w:val="20"/>
          <w:color w:val="auto"/>
        </w:rPr>
      </w:pPr>
      <w:r>
        <w:rPr>
          <w:rFonts w:ascii="Arial" w:cs="Arial" w:eastAsia="Arial" w:hAnsi="Arial"/>
          <w:sz w:val="11"/>
          <w:szCs w:val="11"/>
          <w:color w:val="auto"/>
        </w:rPr>
        <w:t>In addition to the product that is the subject of an administrative investigation, Venus Concept China also sells two other products in the PRC, which are not registered as medical devices with the NMPA. Venus Concept China may not be able to convince the relevant SAMR authorities that the product that is the subject of an administrative investigation was properly classified, or that any of its other products that might be the subject of future government investigations, is properly classified. If any of the products sold by us as unregistered products is ultimately determined to be a medical device, the registration process with the NMPA could be extensive and time-consuming, potentially resulting in Venus Concept China’s inability to sell such products in the PRC for several years. Venus Concept China’s prior sales of those products could also subject it to material administrative penalties if it is determined that the products were sold in the absence of necessary registrations with NMPA. These administrative penalties could include limitations on future sales, corrective actions, including product recalls, disgorgement of profits and fines, the future imposition of which could materially adversely affect our business, operations, financial condition and reputation in the market.</w:t>
      </w:r>
    </w:p>
    <w:p>
      <w:pPr>
        <w:spacing w:after="0" w:line="113" w:lineRule="exact"/>
        <w:rPr>
          <w:sz w:val="20"/>
          <w:szCs w:val="20"/>
          <w:color w:val="auto"/>
        </w:rPr>
      </w:pPr>
    </w:p>
    <w:p>
      <w:pPr>
        <w:ind w:left="8" w:right="100"/>
        <w:spacing w:after="0" w:line="276" w:lineRule="auto"/>
        <w:rPr>
          <w:sz w:val="20"/>
          <w:szCs w:val="20"/>
          <w:color w:val="auto"/>
        </w:rPr>
      </w:pPr>
      <w:r>
        <w:rPr>
          <w:rFonts w:ascii="Arial" w:cs="Arial" w:eastAsia="Arial" w:hAnsi="Arial"/>
          <w:sz w:val="12"/>
          <w:szCs w:val="12"/>
          <w:b w:val="1"/>
          <w:bCs w:val="1"/>
          <w:i w:val="1"/>
          <w:iCs w:val="1"/>
          <w:color w:val="auto"/>
        </w:rPr>
        <w:t>Our subsidiary in the PRC, Venus Concept China may in the future be subject of a criminal law investigation by the local Public Security Bureau or PSB regarding the sale of Versa without obtaining medical device registration in the PRC.</w:t>
      </w:r>
    </w:p>
    <w:p>
      <w:pPr>
        <w:spacing w:after="0" w:line="115" w:lineRule="exact"/>
        <w:rPr>
          <w:sz w:val="20"/>
          <w:szCs w:val="20"/>
          <w:color w:val="auto"/>
        </w:rPr>
      </w:pPr>
    </w:p>
    <w:p>
      <w:pPr>
        <w:ind w:left="8" w:right="40"/>
        <w:spacing w:after="0" w:line="255" w:lineRule="auto"/>
        <w:rPr>
          <w:sz w:val="20"/>
          <w:szCs w:val="20"/>
          <w:color w:val="auto"/>
        </w:rPr>
      </w:pPr>
      <w:r>
        <w:rPr>
          <w:rFonts w:ascii="Arial" w:cs="Arial" w:eastAsia="Arial" w:hAnsi="Arial"/>
          <w:sz w:val="12"/>
          <w:szCs w:val="12"/>
          <w:color w:val="auto"/>
        </w:rPr>
        <w:t>On May 6, 2020, the economic crime investigation department of Xuhui PSB confirmed to Venus Concept China’s local PRC counsel that they will review and decide whether or not to file formally a criminal investigation case against Venus Concept China and any relevant individuals responsible for any alleged criminal offense(s) involving the sale of Versa without being registered as a medical device in the PRC. The formal filing of a criminal investigation case will be followed by a formal investigation by local PRC authorities to determine whether or not the case should then be submitted to for criminal court proceedings against Venus Concept China and any individual defendants. Based on facts and information currently available to the Company, it is currently uncertain as to whether or not the Xuhui PSB will actually file a formal criminal investigation case against Venus Concept China and if so, whether or not it will transfer the case for criminal prosecution at the end of such investigation, or whether or not any criminal offense(s) will be established against Venus Concept China and any relevant individuals in any subsequent criminal prosecution proceedings.</w:t>
      </w:r>
    </w:p>
    <w:p>
      <w:pPr>
        <w:spacing w:after="0" w:line="27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89470" cy="11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8"/>
          </w:cols>
          <w:pgMar w:left="292" w:top="275" w:right="319" w:bottom="1440" w:gutter="0" w:footer="0" w:header="0"/>
        </w:sectPr>
      </w:pPr>
    </w:p>
    <w:bookmarkStart w:id="53" w:name="page54"/>
    <w:bookmarkEnd w:id="53"/>
    <w:p>
      <w:pPr>
        <w:spacing w:after="0"/>
        <w:rPr>
          <w:sz w:val="20"/>
          <w:szCs w:val="20"/>
          <w:color w:val="auto"/>
        </w:rPr>
      </w:pPr>
      <w:r>
        <w:rPr>
          <w:rFonts w:ascii="Arial" w:cs="Arial" w:eastAsia="Arial" w:hAnsi="Arial"/>
          <w:sz w:val="11"/>
          <w:szCs w:val="11"/>
          <w:b w:val="1"/>
          <w:bCs w:val="1"/>
          <w:i w:val="1"/>
          <w:iCs w:val="1"/>
          <w:color w:val="auto"/>
        </w:rPr>
        <w:t>We rely on a single third-party manufacturer for the manufacturing of the reusable procedure kits, disposable procedure kits and spare procedures kits used with the ARTAS® System and the ARTAS® iX System.</w:t>
      </w:r>
    </w:p>
    <w:p>
      <w:pPr>
        <w:spacing w:after="0" w:line="162"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NPI Solutions, Inc., or NPI, produces reusable procedure kits, disposable procedure kits and spare kits used with the ARTAS® System and ARTAS® iX System. If the operations of NPI are interrupted or if it is unable or unwilling to meet our delivery requirements due to capacity limitations or other constraints, we may be limited in our ability to fulfill new customer kit orders required for use with the existing ARTAS® System and ARTAS® iX System. Any change to another contract manufacturer would likely entail significant delay, require us to devote substantial time and resources, and could involve a period in which our products could not be produced in a timely or consistently high-quality manner, any of which could harm our reputation and results of operations.</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We have a manufacturing agreement for consumables with NPI for the supply of consumable products, including reusable procedure kits, disposable procedure kits and spare procedure kits used with the ARTAS® System and ARTAS® iX System, pursuant to both of which we make purchases on a purchase order basis. The agreement is effective for an initial term of two years and will continue to automatically renew for additional twelve-month periods, subject to either party’s right to terminate the agreement upon 180 days advance notice during the initial term if our quarterly forecasted demand falls below 75% of our historical forecasted demand for the same period in the previous year or upon 120 days’ advance notice after the initial term.</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In addition, our reliance on NPI involves a number of other risks, including, among other things, that:</w:t>
      </w:r>
    </w:p>
    <w:p>
      <w:pPr>
        <w:spacing w:after="0" w:line="150" w:lineRule="exact"/>
        <w:rPr>
          <w:sz w:val="20"/>
          <w:szCs w:val="20"/>
          <w:color w:val="auto"/>
        </w:rPr>
      </w:pPr>
    </w:p>
    <w:p>
      <w:pPr>
        <w:ind w:left="740" w:right="140" w:hanging="379"/>
        <w:spacing w:after="0" w:line="263" w:lineRule="auto"/>
        <w:tabs>
          <w:tab w:leader="none" w:pos="7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our various procedure kits may not be manufactured in accordance with agreed upon specifications or in compliance with regulatory requirements, or its manufacturing facilities may not be able to maintain compliance with regulatory requirements, which could negatively affect the safety or efficacy of our procedure kits, cause delays in shipments of our procedure kits, or require us to recall procedure kits previously delivered to customers or subject us to enforcement actions by regulatory agencies;</w:t>
      </w:r>
    </w:p>
    <w:p>
      <w:pPr>
        <w:spacing w:after="0" w:line="122" w:lineRule="exact"/>
        <w:rPr>
          <w:rFonts w:ascii="Arial" w:cs="Arial" w:eastAsia="Arial" w:hAnsi="Arial"/>
          <w:sz w:val="12"/>
          <w:szCs w:val="12"/>
          <w:color w:val="auto"/>
        </w:rPr>
      </w:pPr>
    </w:p>
    <w:p>
      <w:pPr>
        <w:ind w:left="740" w:hanging="379"/>
        <w:spacing w:after="0"/>
        <w:tabs>
          <w:tab w:leader="none" w:pos="7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we may not be able to timely respond to unanticipated changes in customer orders, and if orders do not match forecasts, we may have excess or inadequate inventory of materials and components;</w:t>
      </w:r>
    </w:p>
    <w:p>
      <w:pPr>
        <w:spacing w:after="0" w:line="150" w:lineRule="exact"/>
        <w:rPr>
          <w:rFonts w:ascii="Arial" w:cs="Arial" w:eastAsia="Arial" w:hAnsi="Arial"/>
          <w:sz w:val="12"/>
          <w:szCs w:val="12"/>
          <w:color w:val="auto"/>
        </w:rPr>
      </w:pPr>
    </w:p>
    <w:p>
      <w:pPr>
        <w:ind w:left="740" w:hanging="379"/>
        <w:spacing w:after="0"/>
        <w:tabs>
          <w:tab w:leader="none" w:pos="7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we may be subject to price fluctuations when a supply contract is renegotiated or if our existing contract is not renewed;</w:t>
      </w:r>
    </w:p>
    <w:p>
      <w:pPr>
        <w:spacing w:after="0" w:line="150" w:lineRule="exact"/>
        <w:rPr>
          <w:rFonts w:ascii="Arial" w:cs="Arial" w:eastAsia="Arial" w:hAnsi="Arial"/>
          <w:sz w:val="12"/>
          <w:szCs w:val="12"/>
          <w:color w:val="auto"/>
        </w:rPr>
      </w:pPr>
    </w:p>
    <w:p>
      <w:pPr>
        <w:ind w:left="740" w:hanging="379"/>
        <w:spacing w:after="0"/>
        <w:tabs>
          <w:tab w:leader="none" w:pos="7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NPI may wish to discontinue manufacturing and supplying products to us for risk management reasons; and</w:t>
      </w:r>
    </w:p>
    <w:p>
      <w:pPr>
        <w:spacing w:after="0" w:line="150" w:lineRule="exact"/>
        <w:rPr>
          <w:rFonts w:ascii="Arial" w:cs="Arial" w:eastAsia="Arial" w:hAnsi="Arial"/>
          <w:sz w:val="12"/>
          <w:szCs w:val="12"/>
          <w:color w:val="auto"/>
        </w:rPr>
      </w:pPr>
    </w:p>
    <w:p>
      <w:pPr>
        <w:ind w:left="740" w:hanging="379"/>
        <w:spacing w:after="0"/>
        <w:tabs>
          <w:tab w:leader="none" w:pos="7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NPI may encounter financial or other hardships unrelated to our demand for products, which could inhibit its ability to fulfill our orders and meet our requirements.</w:t>
      </w:r>
    </w:p>
    <w:p>
      <w:pPr>
        <w:spacing w:after="0" w:line="150"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If any of these risks materialize, it could significantly increase our costs, our ability to generate net sales would be impaired, market acceptance of our products could be adversely affected, and customers may instead purchase or use our competitors’ products, which could have a materially adverse effect on our business, financial condition and results of operations.</w:t>
      </w:r>
    </w:p>
    <w:p>
      <w:pPr>
        <w:spacing w:after="0" w:line="115" w:lineRule="exact"/>
        <w:rPr>
          <w:sz w:val="20"/>
          <w:szCs w:val="20"/>
          <w:color w:val="auto"/>
        </w:rPr>
      </w:pPr>
    </w:p>
    <w:p>
      <w:pPr>
        <w:ind w:right="180"/>
        <w:spacing w:after="0" w:line="263" w:lineRule="auto"/>
        <w:rPr>
          <w:sz w:val="20"/>
          <w:szCs w:val="20"/>
          <w:color w:val="auto"/>
        </w:rPr>
      </w:pPr>
      <w:r>
        <w:rPr>
          <w:rFonts w:ascii="Arial" w:cs="Arial" w:eastAsia="Arial" w:hAnsi="Arial"/>
          <w:sz w:val="12"/>
          <w:szCs w:val="12"/>
          <w:color w:val="auto"/>
        </w:rPr>
        <w:t>Furthermore, if we are required to change the manufacturing of our various procedure kits, we will be required to verify that the new manufacturer maintains facilities, procedures and operations that comply with our quality and applicable regulatory requirements, which could further impede our ability to manufacture the procedure kits in a timely manner. Transitioning to a new supplier could be time-consuming and expensive, may result in interruptions in our operations and product delivery. The occurrence of these events could harm our ability to meet the demand for our products in a timely or cost-effective manner.</w:t>
      </w:r>
    </w:p>
    <w:p>
      <w:pPr>
        <w:spacing w:after="0" w:line="122" w:lineRule="exact"/>
        <w:rPr>
          <w:sz w:val="20"/>
          <w:szCs w:val="20"/>
          <w:color w:val="auto"/>
        </w:rPr>
      </w:pPr>
    </w:p>
    <w:p>
      <w:pPr>
        <w:ind w:right="300"/>
        <w:spacing w:after="0" w:line="263" w:lineRule="auto"/>
        <w:rPr>
          <w:sz w:val="20"/>
          <w:szCs w:val="20"/>
          <w:color w:val="auto"/>
        </w:rPr>
      </w:pPr>
      <w:r>
        <w:rPr>
          <w:rFonts w:ascii="Arial" w:cs="Arial" w:eastAsia="Arial" w:hAnsi="Arial"/>
          <w:sz w:val="12"/>
          <w:szCs w:val="12"/>
          <w:color w:val="auto"/>
        </w:rPr>
        <w:t>We cannot assure you that we will be able to secure alternative equipment and materials and utilize such equipment and materials without experiencing interruptions in our workflow. If we should encounter delays or difficulties in securing, reconfiguring or revalidating the equipment and components we require for the ARTAS® System and ARTAS® iX System, including the related consumables, our reputation, business, financial condition and results of operations could be negatively affected.</w:t>
      </w:r>
    </w:p>
    <w:p>
      <w:pPr>
        <w:spacing w:after="0" w:line="122" w:lineRule="exact"/>
        <w:rPr>
          <w:sz w:val="20"/>
          <w:szCs w:val="20"/>
          <w:color w:val="auto"/>
        </w:rPr>
      </w:pPr>
    </w:p>
    <w:p>
      <w:pPr>
        <w:ind w:right="60"/>
        <w:spacing w:after="0" w:line="269" w:lineRule="auto"/>
        <w:rPr>
          <w:sz w:val="20"/>
          <w:szCs w:val="20"/>
          <w:color w:val="auto"/>
        </w:rPr>
      </w:pPr>
      <w:r>
        <w:rPr>
          <w:rFonts w:ascii="Arial" w:cs="Arial" w:eastAsia="Arial" w:hAnsi="Arial"/>
          <w:sz w:val="12"/>
          <w:szCs w:val="12"/>
          <w:color w:val="auto"/>
        </w:rPr>
        <w:t>Pursuant to the Order of the Health Officer of the County of Santa Clara directing all individuals to shelter-in-place, which was issued on March 16, 2020 and updated on March 31, 2020 and April 29, 2020, in response to impact of COVID-19 pandemic (the “Order”), we are unable to access our facility in San Jose or NPI’s facility and therefore we are currently unable to manufacture procedure kits, ARTAS® Systems and ARTAS® iX Systems, and have been limited to shipping procedure kits from existing inventory. We cannot predict when the Order will be lifted, and we can resume normal operations. To the extent that the Order remains in place for the foreseeable future, we may deplete our existing inventory, which could negatively impact our revenue.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54" w:name="page55"/>
    <w:bookmarkEnd w:id="54"/>
    <w:p>
      <w:pPr>
        <w:spacing w:after="0"/>
        <w:rPr>
          <w:sz w:val="20"/>
          <w:szCs w:val="20"/>
          <w:color w:val="auto"/>
        </w:rPr>
      </w:pPr>
      <w:r>
        <w:rPr>
          <w:rFonts w:ascii="Arial" w:cs="Arial" w:eastAsia="Arial" w:hAnsi="Arial"/>
          <w:sz w:val="10"/>
          <w:szCs w:val="10"/>
          <w:b w:val="1"/>
          <w:bCs w:val="1"/>
          <w:i w:val="1"/>
          <w:iCs w:val="1"/>
          <w:color w:val="auto"/>
        </w:rPr>
        <w:t>In response to the COVID-19 outbreak, the Company has recently taken action to reduce the expense associated with its workforce which could negatively affect the Company’s operations and the morale of its employees.</w:t>
      </w:r>
    </w:p>
    <w:p>
      <w:pPr>
        <w:spacing w:after="0" w:line="173" w:lineRule="exact"/>
        <w:rPr>
          <w:sz w:val="20"/>
          <w:szCs w:val="20"/>
          <w:color w:val="auto"/>
        </w:rPr>
      </w:pPr>
    </w:p>
    <w:p>
      <w:pPr>
        <w:spacing w:after="0" w:line="281" w:lineRule="auto"/>
        <w:rPr>
          <w:sz w:val="20"/>
          <w:szCs w:val="20"/>
          <w:color w:val="auto"/>
        </w:rPr>
      </w:pPr>
      <w:r>
        <w:rPr>
          <w:rFonts w:ascii="Arial" w:cs="Arial" w:eastAsia="Arial" w:hAnsi="Arial"/>
          <w:sz w:val="11"/>
          <w:szCs w:val="11"/>
          <w:color w:val="auto"/>
        </w:rPr>
        <w:t>In response to the COVID-19 pandemic, we have taken measures to reduce costs and as a result we have initiated a headcount reduction plan, phase one of which commenced on March 31, 2020, and phase two in April 2020. In addition to these headcount reductions, we have temporarily furloughed and/or placed certain employees on unpaid leave for an undetermined timeframe. The actions we have taken may negatively impact the morale of our workforce, leading to a decrease in the quality of work or the voluntary departure of additional employees. In the event furloughed employees find employment elsewhere, we may be left with vacancies to fill once coronavirus-related economic disruptions subside. Although we expect the roles of our furloughed and former employees will be performed by others temporarily, their skills sets may not allow them to perform the work as proficiently or efficiently as others. As a result of the actions we have taken to preserve cash, our workforce may become strained, morale may decline and the quality of work may suffer, all of which could negatively affect our business operations and adversely impact its revenue as a result. Our ability to retain skilled employees and our success in attracting and hiring new skilled employees will be a critical factor in determining whether we will be successful in the future. If we are unable to attract, incentivize and integrate additional highly qualified personnel to fill open positions, our business, operating results, and financial condition may be harmed.</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ITEM 2. UNREGISTERED SALES OF EQUITY SECURITIES AND USE OF PROCEEDS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231F20"/>
        </w:rPr>
        <w:t>Unregistered Sales of Equity Securities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231F20"/>
        </w:rPr>
        <w:t>There were no unregistered securities issued and sold during the quarter ended March 31, 2020.</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231F20"/>
        </w:rPr>
        <w:t>Use of Proceeds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231F20"/>
        </w:rPr>
        <w:t>None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231F20"/>
        </w:rPr>
        <w:t>Issuer Purchases of Equity Securities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231F20"/>
        </w:rPr>
        <w:t>None.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ITEM 3. DEFAULTS UPON SENIOR SECURITIES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231F20"/>
        </w:rPr>
        <w:t>None.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ITEM 4. MINE SAFETY DISCLOSURES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231F20"/>
        </w:rPr>
        <w:t>Not Applicable.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ITEM 5. OTHER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00"/>
          </w:cols>
          <w:pgMar w:left="300" w:top="275" w:right="399" w:bottom="1440" w:gutter="0" w:footer="0" w:header="0"/>
        </w:sectPr>
      </w:pPr>
    </w:p>
    <w:bookmarkStart w:id="55" w:name="page56"/>
    <w:bookmarkEnd w:id="55"/>
    <w:p>
      <w:pPr>
        <w:spacing w:after="0"/>
        <w:rPr>
          <w:sz w:val="20"/>
          <w:szCs w:val="20"/>
          <w:color w:val="auto"/>
        </w:rPr>
      </w:pPr>
      <w:r>
        <w:rPr>
          <w:rFonts w:ascii="Arial" w:cs="Arial" w:eastAsia="Arial" w:hAnsi="Arial"/>
          <w:sz w:val="12"/>
          <w:szCs w:val="12"/>
          <w:b w:val="1"/>
          <w:bCs w:val="1"/>
          <w:color w:val="231F20"/>
        </w:rPr>
        <w:t>ITEM 6. EXHIBITS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060" w:type="dxa"/>
            <w:vAlign w:val="bottom"/>
            <w:gridSpan w:val="2"/>
          </w:tcPr>
          <w:p>
            <w:pPr>
              <w:ind w:left="240"/>
              <w:spacing w:after="0"/>
              <w:rPr>
                <w:sz w:val="20"/>
                <w:szCs w:val="20"/>
                <w:color w:val="auto"/>
              </w:rPr>
            </w:pPr>
            <w:r>
              <w:rPr>
                <w:rFonts w:ascii="Arial" w:cs="Arial" w:eastAsia="Arial" w:hAnsi="Arial"/>
                <w:sz w:val="10"/>
                <w:szCs w:val="10"/>
                <w:b w:val="1"/>
                <w:bCs w:val="1"/>
                <w:color w:val="auto"/>
              </w:rPr>
              <w:t>Exhibit</w:t>
            </w: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13"/>
        </w:trPr>
        <w:tc>
          <w:tcPr>
            <w:tcW w:w="800" w:type="dxa"/>
            <w:vAlign w:val="bottom"/>
            <w:tcBorders>
              <w:bottom w:val="single" w:sz="8" w:color="auto"/>
            </w:tcBorders>
          </w:tcPr>
          <w:p>
            <w:pPr>
              <w:ind w:left="220"/>
              <w:spacing w:after="0" w:line="114" w:lineRule="exact"/>
              <w:rPr>
                <w:sz w:val="20"/>
                <w:szCs w:val="20"/>
                <w:color w:val="auto"/>
              </w:rPr>
            </w:pPr>
            <w:r>
              <w:rPr>
                <w:rFonts w:ascii="Arial" w:cs="Arial" w:eastAsia="Arial" w:hAnsi="Arial"/>
                <w:sz w:val="10"/>
                <w:szCs w:val="10"/>
                <w:b w:val="1"/>
                <w:bCs w:val="1"/>
                <w:color w:val="auto"/>
              </w:rPr>
              <w:t>Number</w:t>
            </w: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gridSpan w:val="5"/>
          </w:tcPr>
          <w:p>
            <w:pPr>
              <w:jc w:val="right"/>
              <w:ind w:right="2400"/>
              <w:spacing w:after="0" w:line="114" w:lineRule="exact"/>
              <w:rPr>
                <w:sz w:val="20"/>
                <w:szCs w:val="20"/>
                <w:color w:val="auto"/>
              </w:rPr>
            </w:pPr>
            <w:r>
              <w:rPr>
                <w:rFonts w:ascii="Arial" w:cs="Arial" w:eastAsia="Arial" w:hAnsi="Arial"/>
                <w:sz w:val="10"/>
                <w:szCs w:val="10"/>
                <w:b w:val="1"/>
                <w:bCs w:val="1"/>
                <w:color w:val="auto"/>
              </w:rPr>
              <w:t>Description</w:t>
            </w:r>
          </w:p>
        </w:tc>
        <w:tc>
          <w:tcPr>
            <w:tcW w:w="240" w:type="dxa"/>
            <w:vAlign w:val="bottom"/>
            <w:gridSpan w:val="2"/>
          </w:tcPr>
          <w:p>
            <w:pPr>
              <w:spacing w:after="0"/>
              <w:rPr>
                <w:sz w:val="9"/>
                <w:szCs w:val="9"/>
                <w:color w:val="auto"/>
              </w:rPr>
            </w:pPr>
          </w:p>
        </w:tc>
        <w:tc>
          <w:tcPr>
            <w:tcW w:w="380" w:type="dxa"/>
            <w:vAlign w:val="bottom"/>
            <w:tcBorders>
              <w:bottom w:val="single" w:sz="8" w:color="auto"/>
            </w:tcBorders>
            <w:gridSpan w:val="12"/>
          </w:tcPr>
          <w:p>
            <w:pPr>
              <w:spacing w:after="0"/>
              <w:rPr>
                <w:sz w:val="9"/>
                <w:szCs w:val="9"/>
                <w:color w:val="auto"/>
              </w:rPr>
            </w:pPr>
          </w:p>
        </w:tc>
        <w:tc>
          <w:tcPr>
            <w:tcW w:w="640" w:type="dxa"/>
            <w:vAlign w:val="bottom"/>
            <w:tcBorders>
              <w:bottom w:val="single" w:sz="8" w:color="auto"/>
            </w:tcBorders>
          </w:tcPr>
          <w:p>
            <w:pPr>
              <w:ind w:left="20"/>
              <w:spacing w:after="0" w:line="114" w:lineRule="exact"/>
              <w:rPr>
                <w:sz w:val="20"/>
                <w:szCs w:val="20"/>
                <w:color w:val="auto"/>
              </w:rPr>
            </w:pPr>
            <w:r>
              <w:rPr>
                <w:rFonts w:ascii="Arial" w:cs="Arial" w:eastAsia="Arial" w:hAnsi="Arial"/>
                <w:sz w:val="10"/>
                <w:szCs w:val="10"/>
                <w:b w:val="1"/>
                <w:bCs w:val="1"/>
                <w:color w:val="auto"/>
              </w:rPr>
              <w:t>Form</w:t>
            </w:r>
          </w:p>
        </w:tc>
      </w:tr>
      <w:tr>
        <w:trPr>
          <w:trHeight w:val="277"/>
        </w:trPr>
        <w:tc>
          <w:tcPr>
            <w:tcW w:w="800" w:type="dxa"/>
            <w:vAlign w:val="bottom"/>
          </w:tcPr>
          <w:p>
            <w:pPr>
              <w:ind w:left="100"/>
              <w:spacing w:after="0"/>
              <w:rPr>
                <w:sz w:val="20"/>
                <w:szCs w:val="20"/>
                <w:color w:val="auto"/>
              </w:rPr>
            </w:pPr>
            <w:r>
              <w:rPr>
                <w:rFonts w:ascii="Arial" w:cs="Arial" w:eastAsia="Arial" w:hAnsi="Arial"/>
                <w:sz w:val="12"/>
                <w:szCs w:val="12"/>
                <w:color w:val="auto"/>
              </w:rPr>
              <w:t>3.1</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80" w:type="dxa"/>
            <w:vAlign w:val="bottom"/>
            <w:gridSpan w:val="23"/>
          </w:tcPr>
          <w:p>
            <w:pPr>
              <w:spacing w:after="0"/>
              <w:rPr>
                <w:rFonts w:ascii="Arial" w:cs="Arial" w:eastAsia="Arial" w:hAnsi="Arial"/>
                <w:sz w:val="12"/>
                <w:szCs w:val="12"/>
                <w:u w:val="single" w:color="auto"/>
                <w:color w:val="0000EE"/>
              </w:rPr>
            </w:pPr>
            <w:hyperlink r:id="rId90">
              <w:r>
                <w:rPr>
                  <w:rFonts w:ascii="Arial" w:cs="Arial" w:eastAsia="Arial" w:hAnsi="Arial"/>
                  <w:sz w:val="12"/>
                  <w:szCs w:val="12"/>
                  <w:u w:val="single" w:color="auto"/>
                  <w:color w:val="0000EE"/>
                </w:rPr>
                <w:t>Amended and Restated Certificate of Incorporation of Restoration Robotics, Inc.</w:t>
              </w:r>
            </w:hyperlink>
          </w:p>
        </w:tc>
        <w:tc>
          <w:tcPr>
            <w:tcW w:w="640" w:type="dxa"/>
            <w:vAlign w:val="bottom"/>
          </w:tcPr>
          <w:p>
            <w:pPr>
              <w:ind w:left="160"/>
              <w:spacing w:after="0"/>
              <w:rPr>
                <w:sz w:val="20"/>
                <w:szCs w:val="20"/>
                <w:color w:val="auto"/>
              </w:rPr>
            </w:pPr>
            <w:r>
              <w:rPr>
                <w:rFonts w:ascii="Arial" w:cs="Arial" w:eastAsia="Arial" w:hAnsi="Arial"/>
                <w:sz w:val="12"/>
                <w:szCs w:val="12"/>
                <w:color w:val="auto"/>
              </w:rPr>
              <w:t>8-K</w:t>
            </w:r>
          </w:p>
        </w:tc>
      </w:tr>
      <w:tr>
        <w:trPr>
          <w:trHeight w:val="144"/>
        </w:trPr>
        <w:tc>
          <w:tcPr>
            <w:tcW w:w="800" w:type="dxa"/>
            <w:vAlign w:val="bottom"/>
          </w:tcPr>
          <w:p>
            <w:pPr>
              <w:ind w:left="100"/>
              <w:spacing w:after="0"/>
              <w:rPr>
                <w:sz w:val="20"/>
                <w:szCs w:val="20"/>
                <w:color w:val="auto"/>
              </w:rPr>
            </w:pPr>
            <w:r>
              <w:rPr>
                <w:rFonts w:ascii="Arial" w:cs="Arial" w:eastAsia="Arial" w:hAnsi="Arial"/>
                <w:sz w:val="12"/>
                <w:szCs w:val="12"/>
                <w:color w:val="auto"/>
              </w:rPr>
              <w:t>3.2</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80" w:type="dxa"/>
            <w:vAlign w:val="bottom"/>
            <w:gridSpan w:val="23"/>
          </w:tcPr>
          <w:p>
            <w:pPr>
              <w:spacing w:after="0"/>
              <w:rPr>
                <w:rFonts w:ascii="Arial" w:cs="Arial" w:eastAsia="Arial" w:hAnsi="Arial"/>
                <w:sz w:val="12"/>
                <w:szCs w:val="12"/>
                <w:u w:val="single" w:color="auto"/>
                <w:color w:val="0000EE"/>
              </w:rPr>
            </w:pPr>
            <w:hyperlink r:id="rId91">
              <w:r>
                <w:rPr>
                  <w:rFonts w:ascii="Arial" w:cs="Arial" w:eastAsia="Arial" w:hAnsi="Arial"/>
                  <w:sz w:val="12"/>
                  <w:szCs w:val="12"/>
                  <w:u w:val="single" w:color="auto"/>
                  <w:color w:val="0000EE"/>
                </w:rPr>
                <w:t>Certificate of Amendment of Certificate of Incorporation of Restoration Robotics, Inc.</w:t>
              </w:r>
            </w:hyperlink>
          </w:p>
        </w:tc>
        <w:tc>
          <w:tcPr>
            <w:tcW w:w="640" w:type="dxa"/>
            <w:vAlign w:val="bottom"/>
          </w:tcPr>
          <w:p>
            <w:pPr>
              <w:ind w:left="160"/>
              <w:spacing w:after="0"/>
              <w:rPr>
                <w:sz w:val="20"/>
                <w:szCs w:val="20"/>
                <w:color w:val="auto"/>
              </w:rPr>
            </w:pPr>
            <w:r>
              <w:rPr>
                <w:rFonts w:ascii="Arial" w:cs="Arial" w:eastAsia="Arial" w:hAnsi="Arial"/>
                <w:sz w:val="12"/>
                <w:szCs w:val="12"/>
                <w:color w:val="auto"/>
              </w:rPr>
              <w:t>8-K</w:t>
            </w:r>
          </w:p>
        </w:tc>
      </w:tr>
      <w:tr>
        <w:trPr>
          <w:trHeight w:val="144"/>
        </w:trPr>
        <w:tc>
          <w:tcPr>
            <w:tcW w:w="800" w:type="dxa"/>
            <w:vAlign w:val="bottom"/>
          </w:tcPr>
          <w:p>
            <w:pPr>
              <w:ind w:left="100"/>
              <w:spacing w:after="0"/>
              <w:rPr>
                <w:sz w:val="20"/>
                <w:szCs w:val="20"/>
                <w:color w:val="auto"/>
              </w:rPr>
            </w:pPr>
            <w:r>
              <w:rPr>
                <w:rFonts w:ascii="Arial" w:cs="Arial" w:eastAsia="Arial" w:hAnsi="Arial"/>
                <w:sz w:val="12"/>
                <w:szCs w:val="12"/>
                <w:color w:val="auto"/>
              </w:rPr>
              <w:t>3.3</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80" w:type="dxa"/>
            <w:vAlign w:val="bottom"/>
            <w:gridSpan w:val="23"/>
          </w:tcPr>
          <w:p>
            <w:pPr>
              <w:spacing w:after="0"/>
              <w:rPr>
                <w:rFonts w:ascii="Arial" w:cs="Arial" w:eastAsia="Arial" w:hAnsi="Arial"/>
                <w:sz w:val="12"/>
                <w:szCs w:val="12"/>
                <w:u w:val="single" w:color="auto"/>
                <w:color w:val="0000EE"/>
              </w:rPr>
            </w:pPr>
            <w:hyperlink r:id="rId92">
              <w:r>
                <w:rPr>
                  <w:rFonts w:ascii="Arial" w:cs="Arial" w:eastAsia="Arial" w:hAnsi="Arial"/>
                  <w:sz w:val="12"/>
                  <w:szCs w:val="12"/>
                  <w:u w:val="single" w:color="auto"/>
                  <w:color w:val="0000EE"/>
                </w:rPr>
                <w:t>Second Amended and Restated Bylaws of Venus Concept Inc.</w:t>
              </w:r>
            </w:hyperlink>
          </w:p>
        </w:tc>
        <w:tc>
          <w:tcPr>
            <w:tcW w:w="640" w:type="dxa"/>
            <w:vAlign w:val="bottom"/>
          </w:tcPr>
          <w:p>
            <w:pPr>
              <w:ind w:left="160"/>
              <w:spacing w:after="0"/>
              <w:rPr>
                <w:sz w:val="20"/>
                <w:szCs w:val="20"/>
                <w:color w:val="auto"/>
              </w:rPr>
            </w:pPr>
            <w:r>
              <w:rPr>
                <w:rFonts w:ascii="Arial" w:cs="Arial" w:eastAsia="Arial" w:hAnsi="Arial"/>
                <w:sz w:val="12"/>
                <w:szCs w:val="12"/>
                <w:color w:val="auto"/>
              </w:rPr>
              <w:t>8-K</w:t>
            </w:r>
          </w:p>
        </w:tc>
      </w:tr>
      <w:tr>
        <w:trPr>
          <w:trHeight w:val="144"/>
        </w:trPr>
        <w:tc>
          <w:tcPr>
            <w:tcW w:w="800" w:type="dxa"/>
            <w:vAlign w:val="bottom"/>
          </w:tcPr>
          <w:p>
            <w:pPr>
              <w:ind w:left="100"/>
              <w:spacing w:after="0"/>
              <w:rPr>
                <w:sz w:val="20"/>
                <w:szCs w:val="20"/>
                <w:color w:val="auto"/>
              </w:rPr>
            </w:pPr>
            <w:r>
              <w:rPr>
                <w:rFonts w:ascii="Arial" w:cs="Arial" w:eastAsia="Arial" w:hAnsi="Arial"/>
                <w:sz w:val="12"/>
                <w:szCs w:val="12"/>
                <w:color w:val="auto"/>
              </w:rPr>
              <w:t>4.1</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80" w:type="dxa"/>
            <w:vAlign w:val="bottom"/>
            <w:gridSpan w:val="23"/>
          </w:tcPr>
          <w:p>
            <w:pPr>
              <w:spacing w:after="0"/>
              <w:rPr>
                <w:rFonts w:ascii="Arial" w:cs="Arial" w:eastAsia="Arial" w:hAnsi="Arial"/>
                <w:sz w:val="12"/>
                <w:szCs w:val="12"/>
                <w:color w:val="0000EE"/>
              </w:rPr>
            </w:pPr>
            <w:hyperlink w:anchor="page59">
              <w:r>
                <w:rPr>
                  <w:rFonts w:ascii="Arial" w:cs="Arial" w:eastAsia="Arial" w:hAnsi="Arial"/>
                  <w:sz w:val="12"/>
                  <w:szCs w:val="12"/>
                  <w:u w:val="single" w:color="auto"/>
                  <w:color w:val="0000EE"/>
                </w:rPr>
                <w:t>Description of Securities</w:t>
              </w:r>
              <w:r>
                <w:rPr>
                  <w:rFonts w:ascii="Arial" w:cs="Arial" w:eastAsia="Arial" w:hAnsi="Arial"/>
                  <w:sz w:val="12"/>
                  <w:szCs w:val="12"/>
                  <w:color w:val="0000EE"/>
                </w:rPr>
                <w:t>.</w:t>
              </w:r>
            </w:hyperlink>
          </w:p>
        </w:tc>
        <w:tc>
          <w:tcPr>
            <w:tcW w:w="640" w:type="dxa"/>
            <w:vAlign w:val="bottom"/>
          </w:tcPr>
          <w:p>
            <w:pPr>
              <w:spacing w:after="0"/>
              <w:rPr>
                <w:sz w:val="12"/>
                <w:szCs w:val="12"/>
                <w:color w:val="auto"/>
              </w:rPr>
            </w:pPr>
          </w:p>
        </w:tc>
      </w:tr>
      <w:tr>
        <w:trPr>
          <w:trHeight w:val="144"/>
        </w:trPr>
        <w:tc>
          <w:tcPr>
            <w:tcW w:w="800" w:type="dxa"/>
            <w:vAlign w:val="bottom"/>
          </w:tcPr>
          <w:p>
            <w:pPr>
              <w:ind w:left="100"/>
              <w:spacing w:after="0"/>
              <w:rPr>
                <w:sz w:val="20"/>
                <w:szCs w:val="20"/>
                <w:color w:val="auto"/>
              </w:rPr>
            </w:pPr>
            <w:r>
              <w:rPr>
                <w:rFonts w:ascii="Arial" w:cs="Arial" w:eastAsia="Arial" w:hAnsi="Arial"/>
                <w:sz w:val="12"/>
                <w:szCs w:val="12"/>
                <w:color w:val="auto"/>
              </w:rPr>
              <w:t>4.2</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80" w:type="dxa"/>
            <w:vAlign w:val="bottom"/>
            <w:gridSpan w:val="23"/>
          </w:tcPr>
          <w:p>
            <w:pPr>
              <w:spacing w:after="0"/>
              <w:rPr>
                <w:rFonts w:ascii="Arial" w:cs="Arial" w:eastAsia="Arial" w:hAnsi="Arial"/>
                <w:sz w:val="12"/>
                <w:szCs w:val="12"/>
                <w:color w:val="0000EE"/>
              </w:rPr>
            </w:pPr>
            <w:hyperlink r:id="rId93">
              <w:r>
                <w:rPr>
                  <w:rFonts w:ascii="Arial" w:cs="Arial" w:eastAsia="Arial" w:hAnsi="Arial"/>
                  <w:sz w:val="12"/>
                  <w:szCs w:val="12"/>
                  <w:u w:val="single" w:color="auto"/>
                  <w:color w:val="0000EE"/>
                </w:rPr>
                <w:t>Form of Common Stock Certificate</w:t>
              </w:r>
              <w:r>
                <w:rPr>
                  <w:rFonts w:ascii="Arial" w:cs="Arial" w:eastAsia="Arial" w:hAnsi="Arial"/>
                  <w:sz w:val="12"/>
                  <w:szCs w:val="12"/>
                  <w:color w:val="0000EE"/>
                </w:rPr>
                <w:t>.</w:t>
              </w:r>
            </w:hyperlink>
          </w:p>
        </w:tc>
        <w:tc>
          <w:tcPr>
            <w:tcW w:w="640" w:type="dxa"/>
            <w:vAlign w:val="bottom"/>
          </w:tcPr>
          <w:p>
            <w:pPr>
              <w:ind w:left="160"/>
              <w:spacing w:after="0"/>
              <w:rPr>
                <w:sz w:val="20"/>
                <w:szCs w:val="20"/>
                <w:color w:val="auto"/>
              </w:rPr>
            </w:pPr>
            <w:r>
              <w:rPr>
                <w:rFonts w:ascii="Arial" w:cs="Arial" w:eastAsia="Arial" w:hAnsi="Arial"/>
                <w:sz w:val="12"/>
                <w:szCs w:val="12"/>
                <w:color w:val="auto"/>
              </w:rPr>
              <w:t>S-1/A</w:t>
            </w:r>
          </w:p>
        </w:tc>
      </w:tr>
      <w:tr>
        <w:trPr>
          <w:trHeight w:val="144"/>
        </w:trPr>
        <w:tc>
          <w:tcPr>
            <w:tcW w:w="800" w:type="dxa"/>
            <w:vAlign w:val="bottom"/>
          </w:tcPr>
          <w:p>
            <w:pPr>
              <w:ind w:left="100"/>
              <w:spacing w:after="0"/>
              <w:rPr>
                <w:sz w:val="20"/>
                <w:szCs w:val="20"/>
                <w:color w:val="auto"/>
              </w:rPr>
            </w:pPr>
            <w:r>
              <w:rPr>
                <w:rFonts w:ascii="Arial" w:cs="Arial" w:eastAsia="Arial" w:hAnsi="Arial"/>
                <w:sz w:val="12"/>
                <w:szCs w:val="12"/>
                <w:color w:val="auto"/>
              </w:rPr>
              <w:t>4.3</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80" w:type="dxa"/>
            <w:vAlign w:val="bottom"/>
            <w:gridSpan w:val="23"/>
          </w:tcPr>
          <w:p>
            <w:pPr>
              <w:spacing w:after="0"/>
              <w:rPr>
                <w:rFonts w:ascii="Arial" w:cs="Arial" w:eastAsia="Arial" w:hAnsi="Arial"/>
                <w:sz w:val="12"/>
                <w:szCs w:val="12"/>
                <w:u w:val="single" w:color="auto"/>
                <w:color w:val="0000EE"/>
              </w:rPr>
            </w:pPr>
            <w:hyperlink r:id="rId94">
              <w:r>
                <w:rPr>
                  <w:rFonts w:ascii="Arial" w:cs="Arial" w:eastAsia="Arial" w:hAnsi="Arial"/>
                  <w:sz w:val="12"/>
                  <w:szCs w:val="12"/>
                  <w:u w:val="single" w:color="auto"/>
                  <w:color w:val="0000EE"/>
                </w:rPr>
                <w:t>Form of 2020 Warrant.</w:t>
              </w:r>
            </w:hyperlink>
          </w:p>
        </w:tc>
        <w:tc>
          <w:tcPr>
            <w:tcW w:w="640" w:type="dxa"/>
            <w:vAlign w:val="bottom"/>
          </w:tcPr>
          <w:p>
            <w:pPr>
              <w:ind w:left="160"/>
              <w:spacing w:after="0"/>
              <w:rPr>
                <w:sz w:val="20"/>
                <w:szCs w:val="20"/>
                <w:color w:val="auto"/>
              </w:rPr>
            </w:pPr>
            <w:r>
              <w:rPr>
                <w:rFonts w:ascii="Arial" w:cs="Arial" w:eastAsia="Arial" w:hAnsi="Arial"/>
                <w:sz w:val="12"/>
                <w:szCs w:val="12"/>
                <w:color w:val="auto"/>
              </w:rPr>
              <w:t>10-K</w:t>
            </w:r>
          </w:p>
        </w:tc>
      </w:tr>
      <w:tr>
        <w:trPr>
          <w:trHeight w:val="126"/>
        </w:trPr>
        <w:tc>
          <w:tcPr>
            <w:tcW w:w="800" w:type="dxa"/>
            <w:vAlign w:val="bottom"/>
          </w:tcPr>
          <w:p>
            <w:pPr>
              <w:ind w:left="100"/>
              <w:spacing w:after="0" w:line="126" w:lineRule="exact"/>
              <w:rPr>
                <w:sz w:val="20"/>
                <w:szCs w:val="20"/>
                <w:color w:val="auto"/>
              </w:rPr>
            </w:pPr>
            <w:r>
              <w:rPr>
                <w:rFonts w:ascii="Arial" w:cs="Arial" w:eastAsia="Arial" w:hAnsi="Arial"/>
                <w:sz w:val="12"/>
                <w:szCs w:val="12"/>
                <w:color w:val="auto"/>
              </w:rPr>
              <w:t>4.4</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500" w:type="dxa"/>
            <w:vAlign w:val="bottom"/>
            <w:tcBorders>
              <w:bottom w:val="single" w:sz="8" w:color="0000EE"/>
            </w:tcBorders>
            <w:gridSpan w:val="18"/>
          </w:tcPr>
          <w:p>
            <w:pPr>
              <w:spacing w:after="0" w:line="126" w:lineRule="exact"/>
              <w:rPr>
                <w:rFonts w:ascii="Arial" w:cs="Arial" w:eastAsia="Arial" w:hAnsi="Arial"/>
                <w:sz w:val="12"/>
                <w:szCs w:val="12"/>
                <w:color w:val="0000EE"/>
                <w:w w:val="89"/>
              </w:rPr>
            </w:pPr>
            <w:hyperlink r:id="rId95">
              <w:r>
                <w:rPr>
                  <w:rFonts w:ascii="Arial" w:cs="Arial" w:eastAsia="Arial" w:hAnsi="Arial"/>
                  <w:sz w:val="12"/>
                  <w:szCs w:val="12"/>
                  <w:color w:val="0000EE"/>
                  <w:w w:val="89"/>
                </w:rPr>
                <w:t>Securities Purchase Agreement, dated as of March 18, 2020, by and between Venus Concept Inc. and the investors</w:t>
              </w:r>
            </w:hyperlink>
          </w:p>
        </w:tc>
        <w:tc>
          <w:tcPr>
            <w:tcW w:w="180" w:type="dxa"/>
            <w:vAlign w:val="bottom"/>
            <w:gridSpan w:val="5"/>
          </w:tcPr>
          <w:p>
            <w:pPr>
              <w:spacing w:after="0"/>
              <w:rPr>
                <w:sz w:val="10"/>
                <w:szCs w:val="10"/>
                <w:color w:val="auto"/>
              </w:rPr>
            </w:pPr>
          </w:p>
        </w:tc>
        <w:tc>
          <w:tcPr>
            <w:tcW w:w="640" w:type="dxa"/>
            <w:vAlign w:val="bottom"/>
          </w:tcPr>
          <w:p>
            <w:pPr>
              <w:ind w:left="160"/>
              <w:spacing w:after="0" w:line="126" w:lineRule="exact"/>
              <w:rPr>
                <w:sz w:val="20"/>
                <w:szCs w:val="20"/>
                <w:color w:val="auto"/>
              </w:rPr>
            </w:pPr>
            <w:r>
              <w:rPr>
                <w:rFonts w:ascii="Arial" w:cs="Arial" w:eastAsia="Arial" w:hAnsi="Arial"/>
                <w:sz w:val="12"/>
                <w:szCs w:val="12"/>
                <w:color w:val="auto"/>
              </w:rPr>
              <w:t>10-K</w:t>
            </w:r>
          </w:p>
        </w:tc>
      </w:tr>
      <w:tr>
        <w:trPr>
          <w:trHeight w:val="124"/>
        </w:trPr>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Borders>
              <w:bottom w:val="single" w:sz="8" w:color="0000EE"/>
            </w:tcBorders>
            <w:gridSpan w:val="2"/>
          </w:tcPr>
          <w:p>
            <w:pPr>
              <w:spacing w:after="0" w:line="124" w:lineRule="exact"/>
              <w:rPr>
                <w:rFonts w:ascii="Arial" w:cs="Arial" w:eastAsia="Arial" w:hAnsi="Arial"/>
                <w:sz w:val="12"/>
                <w:szCs w:val="12"/>
                <w:color w:val="0000EE"/>
                <w:w w:val="89"/>
              </w:rPr>
            </w:pPr>
            <w:hyperlink r:id="rId95">
              <w:r>
                <w:rPr>
                  <w:rFonts w:ascii="Arial" w:cs="Arial" w:eastAsia="Arial" w:hAnsi="Arial"/>
                  <w:sz w:val="12"/>
                  <w:szCs w:val="12"/>
                  <w:color w:val="0000EE"/>
                  <w:w w:val="89"/>
                </w:rPr>
                <w:t>listed therein.</w:t>
              </w:r>
            </w:hyperlink>
          </w:p>
        </w:tc>
        <w:tc>
          <w:tcPr>
            <w:tcW w:w="5020" w:type="dxa"/>
            <w:vAlign w:val="bottom"/>
            <w:gridSpan w:val="21"/>
          </w:tcPr>
          <w:p>
            <w:pPr>
              <w:spacing w:after="0"/>
              <w:rPr>
                <w:sz w:val="10"/>
                <w:szCs w:val="10"/>
                <w:color w:val="auto"/>
              </w:rPr>
            </w:pPr>
          </w:p>
        </w:tc>
        <w:tc>
          <w:tcPr>
            <w:tcW w:w="640" w:type="dxa"/>
            <w:vAlign w:val="bottom"/>
          </w:tcPr>
          <w:p>
            <w:pPr>
              <w:spacing w:after="0"/>
              <w:rPr>
                <w:sz w:val="10"/>
                <w:szCs w:val="10"/>
                <w:color w:val="auto"/>
              </w:rPr>
            </w:pPr>
          </w:p>
        </w:tc>
      </w:tr>
      <w:tr>
        <w:trPr>
          <w:trHeight w:val="124"/>
        </w:trPr>
        <w:tc>
          <w:tcPr>
            <w:tcW w:w="800" w:type="dxa"/>
            <w:vAlign w:val="bottom"/>
          </w:tcPr>
          <w:p>
            <w:pPr>
              <w:ind w:left="100"/>
              <w:spacing w:after="0" w:line="124" w:lineRule="exact"/>
              <w:rPr>
                <w:sz w:val="20"/>
                <w:szCs w:val="20"/>
                <w:color w:val="auto"/>
              </w:rPr>
            </w:pPr>
            <w:r>
              <w:rPr>
                <w:rFonts w:ascii="Arial" w:cs="Arial" w:eastAsia="Arial" w:hAnsi="Arial"/>
                <w:sz w:val="12"/>
                <w:szCs w:val="12"/>
                <w:color w:val="auto"/>
              </w:rPr>
              <w:t>4.5</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80" w:type="dxa"/>
            <w:vAlign w:val="bottom"/>
            <w:gridSpan w:val="23"/>
          </w:tcPr>
          <w:p>
            <w:pPr>
              <w:spacing w:after="0" w:line="124" w:lineRule="exact"/>
              <w:rPr>
                <w:rFonts w:ascii="Arial" w:cs="Arial" w:eastAsia="Arial" w:hAnsi="Arial"/>
                <w:sz w:val="12"/>
                <w:szCs w:val="12"/>
                <w:color w:val="0000EE"/>
                <w:w w:val="92"/>
              </w:rPr>
            </w:pPr>
            <w:hyperlink r:id="rId96">
              <w:r>
                <w:rPr>
                  <w:rFonts w:ascii="Arial" w:cs="Arial" w:eastAsia="Arial" w:hAnsi="Arial"/>
                  <w:sz w:val="12"/>
                  <w:szCs w:val="12"/>
                  <w:color w:val="0000EE"/>
                  <w:w w:val="92"/>
                </w:rPr>
                <w:t>Registration Rights Agreement, dated as of March 18, 2020, by and between Venus Concept Inc. and the investors</w:t>
              </w:r>
            </w:hyperlink>
          </w:p>
        </w:tc>
        <w:tc>
          <w:tcPr>
            <w:tcW w:w="640" w:type="dxa"/>
            <w:vAlign w:val="bottom"/>
          </w:tcPr>
          <w:p>
            <w:pPr>
              <w:ind w:left="160"/>
              <w:spacing w:after="0" w:line="124" w:lineRule="exact"/>
              <w:rPr>
                <w:sz w:val="20"/>
                <w:szCs w:val="20"/>
                <w:color w:val="auto"/>
              </w:rPr>
            </w:pPr>
            <w:r>
              <w:rPr>
                <w:rFonts w:ascii="Arial" w:cs="Arial" w:eastAsia="Arial" w:hAnsi="Arial"/>
                <w:sz w:val="12"/>
                <w:szCs w:val="12"/>
                <w:color w:val="auto"/>
              </w:rPr>
              <w:t>10-K</w:t>
            </w:r>
          </w:p>
        </w:tc>
      </w:tr>
      <w:tr>
        <w:trPr>
          <w:trHeight w:val="124"/>
        </w:trPr>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Borders>
              <w:top w:val="single" w:sz="8" w:color="0000EE"/>
              <w:bottom w:val="single" w:sz="8" w:color="0000EE"/>
            </w:tcBorders>
            <w:gridSpan w:val="2"/>
          </w:tcPr>
          <w:p>
            <w:pPr>
              <w:spacing w:after="0" w:line="124" w:lineRule="exact"/>
              <w:rPr>
                <w:rFonts w:ascii="Arial" w:cs="Arial" w:eastAsia="Arial" w:hAnsi="Arial"/>
                <w:sz w:val="12"/>
                <w:szCs w:val="12"/>
                <w:color w:val="0000EE"/>
                <w:w w:val="89"/>
              </w:rPr>
            </w:pPr>
            <w:hyperlink r:id="rId96">
              <w:r>
                <w:rPr>
                  <w:rFonts w:ascii="Arial" w:cs="Arial" w:eastAsia="Arial" w:hAnsi="Arial"/>
                  <w:sz w:val="12"/>
                  <w:szCs w:val="12"/>
                  <w:color w:val="0000EE"/>
                  <w:w w:val="89"/>
                </w:rPr>
                <w:t>listed therein.</w:t>
              </w:r>
            </w:hyperlink>
          </w:p>
        </w:tc>
        <w:tc>
          <w:tcPr>
            <w:tcW w:w="4820" w:type="dxa"/>
            <w:vAlign w:val="bottom"/>
            <w:tcBorders>
              <w:top w:val="single" w:sz="8" w:color="0000EE"/>
            </w:tcBorders>
            <w:gridSpan w:val="15"/>
          </w:tcPr>
          <w:p>
            <w:pPr>
              <w:spacing w:after="0"/>
              <w:rPr>
                <w:sz w:val="10"/>
                <w:szCs w:val="10"/>
                <w:color w:val="auto"/>
              </w:rPr>
            </w:pPr>
          </w:p>
        </w:tc>
        <w:tc>
          <w:tcPr>
            <w:tcW w:w="200" w:type="dxa"/>
            <w:vAlign w:val="bottom"/>
            <w:gridSpan w:val="6"/>
          </w:tcPr>
          <w:p>
            <w:pPr>
              <w:spacing w:after="0"/>
              <w:rPr>
                <w:sz w:val="10"/>
                <w:szCs w:val="10"/>
                <w:color w:val="auto"/>
              </w:rPr>
            </w:pPr>
          </w:p>
        </w:tc>
        <w:tc>
          <w:tcPr>
            <w:tcW w:w="640" w:type="dxa"/>
            <w:vAlign w:val="bottom"/>
          </w:tcPr>
          <w:p>
            <w:pPr>
              <w:spacing w:after="0"/>
              <w:rPr>
                <w:sz w:val="10"/>
                <w:szCs w:val="10"/>
                <w:color w:val="auto"/>
              </w:rPr>
            </w:pPr>
          </w:p>
        </w:tc>
      </w:tr>
      <w:tr>
        <w:trPr>
          <w:trHeight w:val="124"/>
        </w:trPr>
        <w:tc>
          <w:tcPr>
            <w:tcW w:w="800" w:type="dxa"/>
            <w:vAlign w:val="bottom"/>
          </w:tcPr>
          <w:p>
            <w:pPr>
              <w:ind w:left="100"/>
              <w:spacing w:after="0" w:line="124" w:lineRule="exact"/>
              <w:rPr>
                <w:sz w:val="20"/>
                <w:szCs w:val="20"/>
                <w:color w:val="auto"/>
              </w:rPr>
            </w:pPr>
            <w:r>
              <w:rPr>
                <w:rFonts w:ascii="Arial" w:cs="Arial" w:eastAsia="Arial" w:hAnsi="Arial"/>
                <w:sz w:val="12"/>
                <w:szCs w:val="12"/>
                <w:color w:val="auto"/>
              </w:rPr>
              <w:t>10.1</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40" w:type="dxa"/>
            <w:vAlign w:val="bottom"/>
            <w:tcBorders>
              <w:bottom w:val="single" w:sz="8" w:color="0000EE"/>
            </w:tcBorders>
            <w:gridSpan w:val="15"/>
          </w:tcPr>
          <w:p>
            <w:pPr>
              <w:spacing w:after="0" w:line="124" w:lineRule="exact"/>
              <w:rPr>
                <w:rFonts w:ascii="Arial" w:cs="Arial" w:eastAsia="Arial" w:hAnsi="Arial"/>
                <w:sz w:val="12"/>
                <w:szCs w:val="12"/>
                <w:color w:val="0000EE"/>
                <w:w w:val="89"/>
              </w:rPr>
            </w:pPr>
            <w:hyperlink w:anchor="page62">
              <w:r>
                <w:rPr>
                  <w:rFonts w:ascii="Arial" w:cs="Arial" w:eastAsia="Arial" w:hAnsi="Arial"/>
                  <w:sz w:val="12"/>
                  <w:szCs w:val="12"/>
                  <w:color w:val="0000EE"/>
                  <w:w w:val="89"/>
                </w:rPr>
                <w:t>Eleventh Amendment to Credit Agreement and Consent Agreement, dated March 20, 2020, by and among Venus</w:t>
              </w:r>
            </w:hyperlink>
          </w:p>
        </w:tc>
        <w:tc>
          <w:tcPr>
            <w:tcW w:w="240" w:type="dxa"/>
            <w:vAlign w:val="bottom"/>
            <w:gridSpan w:val="8"/>
          </w:tcPr>
          <w:p>
            <w:pPr>
              <w:spacing w:after="0"/>
              <w:rPr>
                <w:sz w:val="10"/>
                <w:szCs w:val="10"/>
                <w:color w:val="auto"/>
              </w:rPr>
            </w:pPr>
          </w:p>
        </w:tc>
        <w:tc>
          <w:tcPr>
            <w:tcW w:w="640" w:type="dxa"/>
            <w:vAlign w:val="bottom"/>
          </w:tcPr>
          <w:p>
            <w:pPr>
              <w:spacing w:after="0"/>
              <w:rPr>
                <w:sz w:val="10"/>
                <w:szCs w:val="10"/>
                <w:color w:val="auto"/>
              </w:rPr>
            </w:pPr>
          </w:p>
        </w:tc>
      </w:tr>
      <w:tr>
        <w:trPr>
          <w:trHeight w:val="124"/>
        </w:trPr>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80" w:type="dxa"/>
            <w:vAlign w:val="bottom"/>
            <w:gridSpan w:val="23"/>
          </w:tcPr>
          <w:p>
            <w:pPr>
              <w:spacing w:after="0" w:line="124" w:lineRule="exact"/>
              <w:rPr>
                <w:rFonts w:ascii="Arial" w:cs="Arial" w:eastAsia="Arial" w:hAnsi="Arial"/>
                <w:sz w:val="12"/>
                <w:szCs w:val="12"/>
                <w:color w:val="0000EE"/>
                <w:w w:val="95"/>
              </w:rPr>
            </w:pPr>
            <w:hyperlink w:anchor="page62">
              <w:r>
                <w:rPr>
                  <w:rFonts w:ascii="Arial" w:cs="Arial" w:eastAsia="Arial" w:hAnsi="Arial"/>
                  <w:sz w:val="12"/>
                  <w:szCs w:val="12"/>
                  <w:color w:val="0000EE"/>
                  <w:w w:val="95"/>
                </w:rPr>
                <w:t>Concept Canada Corp., Venus Concept USA Inc., Venus Concept Ltd., Venus Concept Inc. and Madryn Health</w:t>
              </w:r>
            </w:hyperlink>
          </w:p>
        </w:tc>
        <w:tc>
          <w:tcPr>
            <w:tcW w:w="640" w:type="dxa"/>
            <w:vAlign w:val="bottom"/>
          </w:tcPr>
          <w:p>
            <w:pPr>
              <w:spacing w:after="0"/>
              <w:rPr>
                <w:sz w:val="10"/>
                <w:szCs w:val="10"/>
                <w:color w:val="auto"/>
              </w:rPr>
            </w:pPr>
          </w:p>
        </w:tc>
      </w:tr>
      <w:tr>
        <w:trPr>
          <w:trHeight w:val="124"/>
        </w:trPr>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320" w:type="dxa"/>
            <w:vAlign w:val="bottom"/>
            <w:tcBorders>
              <w:top w:val="single" w:sz="8" w:color="0000EE"/>
            </w:tcBorders>
            <w:gridSpan w:val="12"/>
          </w:tcPr>
          <w:p>
            <w:pPr>
              <w:spacing w:after="0" w:line="124" w:lineRule="exact"/>
              <w:rPr>
                <w:rFonts w:ascii="Arial" w:cs="Arial" w:eastAsia="Arial" w:hAnsi="Arial"/>
                <w:sz w:val="12"/>
                <w:szCs w:val="12"/>
                <w:color w:val="0000EE"/>
              </w:rPr>
            </w:pPr>
            <w:hyperlink w:anchor="page62">
              <w:r>
                <w:rPr>
                  <w:rFonts w:ascii="Arial" w:cs="Arial" w:eastAsia="Arial" w:hAnsi="Arial"/>
                  <w:sz w:val="12"/>
                  <w:szCs w:val="12"/>
                  <w:color w:val="0000EE"/>
                </w:rPr>
                <w:t>Partners, LP, as administrative agent, and certain of its affiliates, as lenders.</w:t>
              </w:r>
            </w:hyperlink>
          </w:p>
        </w:tc>
        <w:tc>
          <w:tcPr>
            <w:tcW w:w="360" w:type="dxa"/>
            <w:vAlign w:val="bottom"/>
            <w:gridSpan w:val="11"/>
          </w:tcPr>
          <w:p>
            <w:pPr>
              <w:spacing w:after="0"/>
              <w:rPr>
                <w:sz w:val="10"/>
                <w:szCs w:val="10"/>
                <w:color w:val="auto"/>
              </w:rPr>
            </w:pPr>
          </w:p>
        </w:tc>
        <w:tc>
          <w:tcPr>
            <w:tcW w:w="640" w:type="dxa"/>
            <w:vAlign w:val="bottom"/>
          </w:tcPr>
          <w:p>
            <w:pPr>
              <w:spacing w:after="0"/>
              <w:rPr>
                <w:sz w:val="10"/>
                <w:szCs w:val="10"/>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800" w:type="dxa"/>
            <w:vAlign w:val="bottom"/>
          </w:tcPr>
          <w:p>
            <w:pPr>
              <w:ind w:left="100"/>
              <w:spacing w:after="0"/>
              <w:rPr>
                <w:sz w:val="20"/>
                <w:szCs w:val="20"/>
                <w:color w:val="auto"/>
              </w:rPr>
            </w:pPr>
            <w:r>
              <w:rPr>
                <w:rFonts w:ascii="Arial" w:cs="Arial" w:eastAsia="Arial" w:hAnsi="Arial"/>
                <w:sz w:val="12"/>
                <w:szCs w:val="12"/>
                <w:color w:val="auto"/>
              </w:rPr>
              <w:t>10.2</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0" w:type="dxa"/>
            <w:vAlign w:val="bottom"/>
            <w:tcBorders>
              <w:bottom w:val="single" w:sz="8" w:color="0000EE"/>
            </w:tcBorders>
            <w:gridSpan w:val="20"/>
          </w:tcPr>
          <w:p>
            <w:pPr>
              <w:spacing w:after="0"/>
              <w:rPr>
                <w:rFonts w:ascii="Arial" w:cs="Arial" w:eastAsia="Arial" w:hAnsi="Arial"/>
                <w:sz w:val="12"/>
                <w:szCs w:val="12"/>
                <w:color w:val="0000EE"/>
                <w:w w:val="90"/>
              </w:rPr>
            </w:pPr>
            <w:hyperlink r:id="rId97">
              <w:r>
                <w:rPr>
                  <w:rFonts w:ascii="Arial" w:cs="Arial" w:eastAsia="Arial" w:hAnsi="Arial"/>
                  <w:sz w:val="12"/>
                  <w:szCs w:val="12"/>
                  <w:color w:val="0000EE"/>
                  <w:w w:val="90"/>
                </w:rPr>
                <w:t>Twelfth Amendment to Credit Agreement, dated April 29, 2020, by and among Venus Concept Canada Corp., Venus</w:t>
              </w:r>
            </w:hyperlink>
          </w:p>
        </w:tc>
        <w:tc>
          <w:tcPr>
            <w:tcW w:w="80" w:type="dxa"/>
            <w:vAlign w:val="bottom"/>
            <w:gridSpan w:val="3"/>
          </w:tcPr>
          <w:p>
            <w:pPr>
              <w:spacing w:after="0"/>
              <w:rPr>
                <w:sz w:val="21"/>
                <w:szCs w:val="21"/>
                <w:color w:val="auto"/>
              </w:rPr>
            </w:pPr>
          </w:p>
        </w:tc>
        <w:tc>
          <w:tcPr>
            <w:tcW w:w="640" w:type="dxa"/>
            <w:vAlign w:val="bottom"/>
          </w:tcPr>
          <w:p>
            <w:pPr>
              <w:ind w:left="160"/>
              <w:spacing w:after="0"/>
              <w:rPr>
                <w:sz w:val="20"/>
                <w:szCs w:val="20"/>
                <w:color w:val="auto"/>
              </w:rPr>
            </w:pPr>
            <w:r>
              <w:rPr>
                <w:rFonts w:ascii="Arial" w:cs="Arial" w:eastAsia="Arial" w:hAnsi="Arial"/>
                <w:sz w:val="12"/>
                <w:szCs w:val="12"/>
                <w:color w:val="auto"/>
              </w:rPr>
              <w:t>8-K</w:t>
            </w:r>
          </w:p>
        </w:tc>
      </w:tr>
      <w:tr>
        <w:trPr>
          <w:trHeight w:val="124"/>
        </w:trPr>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60" w:type="dxa"/>
            <w:vAlign w:val="bottom"/>
            <w:tcBorders>
              <w:bottom w:val="single" w:sz="8" w:color="0000EE"/>
            </w:tcBorders>
            <w:gridSpan w:val="22"/>
          </w:tcPr>
          <w:p>
            <w:pPr>
              <w:spacing w:after="0" w:line="124" w:lineRule="exact"/>
              <w:rPr>
                <w:rFonts w:ascii="Arial" w:cs="Arial" w:eastAsia="Arial" w:hAnsi="Arial"/>
                <w:sz w:val="12"/>
                <w:szCs w:val="12"/>
                <w:color w:val="0000EE"/>
                <w:w w:val="89"/>
              </w:rPr>
            </w:pPr>
            <w:hyperlink r:id="rId97">
              <w:r>
                <w:rPr>
                  <w:rFonts w:ascii="Arial" w:cs="Arial" w:eastAsia="Arial" w:hAnsi="Arial"/>
                  <w:sz w:val="12"/>
                  <w:szCs w:val="12"/>
                  <w:color w:val="0000EE"/>
                  <w:w w:val="89"/>
                </w:rPr>
                <w:t>Concept USA Inc., Venus Concept Ltd., Venus Concept Inc. and Madryn Health Partners, LP, as administrative agent,</w:t>
              </w:r>
            </w:hyperlink>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24"/>
        </w:trPr>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20" w:type="dxa"/>
            <w:vAlign w:val="bottom"/>
            <w:tcBorders>
              <w:bottom w:val="single" w:sz="8" w:color="0000EE"/>
            </w:tcBorders>
            <w:gridSpan w:val="4"/>
          </w:tcPr>
          <w:p>
            <w:pPr>
              <w:spacing w:after="0" w:line="124" w:lineRule="exact"/>
              <w:rPr>
                <w:rFonts w:ascii="Arial" w:cs="Arial" w:eastAsia="Arial" w:hAnsi="Arial"/>
                <w:sz w:val="12"/>
                <w:szCs w:val="12"/>
                <w:color w:val="0000EE"/>
                <w:w w:val="89"/>
              </w:rPr>
            </w:pPr>
            <w:hyperlink r:id="rId97">
              <w:r>
                <w:rPr>
                  <w:rFonts w:ascii="Arial" w:cs="Arial" w:eastAsia="Arial" w:hAnsi="Arial"/>
                  <w:sz w:val="12"/>
                  <w:szCs w:val="12"/>
                  <w:color w:val="0000EE"/>
                  <w:w w:val="89"/>
                </w:rPr>
                <w:t>and certain of its affiliates, as lenders.</w:t>
              </w:r>
            </w:hyperlink>
          </w:p>
        </w:tc>
        <w:tc>
          <w:tcPr>
            <w:tcW w:w="3860" w:type="dxa"/>
            <w:vAlign w:val="bottom"/>
            <w:gridSpan w:val="19"/>
          </w:tcPr>
          <w:p>
            <w:pPr>
              <w:spacing w:after="0"/>
              <w:rPr>
                <w:sz w:val="10"/>
                <w:szCs w:val="10"/>
                <w:color w:val="auto"/>
              </w:rPr>
            </w:pPr>
          </w:p>
        </w:tc>
        <w:tc>
          <w:tcPr>
            <w:tcW w:w="640" w:type="dxa"/>
            <w:vAlign w:val="bottom"/>
          </w:tcPr>
          <w:p>
            <w:pPr>
              <w:spacing w:after="0"/>
              <w:rPr>
                <w:sz w:val="10"/>
                <w:szCs w:val="10"/>
                <w:color w:val="auto"/>
              </w:rPr>
            </w:pPr>
          </w:p>
        </w:tc>
      </w:tr>
      <w:tr>
        <w:trPr>
          <w:trHeight w:val="250"/>
        </w:trPr>
        <w:tc>
          <w:tcPr>
            <w:tcW w:w="800" w:type="dxa"/>
            <w:vAlign w:val="bottom"/>
          </w:tcPr>
          <w:p>
            <w:pPr>
              <w:ind w:left="100"/>
              <w:spacing w:after="0"/>
              <w:rPr>
                <w:sz w:val="20"/>
                <w:szCs w:val="20"/>
                <w:color w:val="auto"/>
              </w:rPr>
            </w:pPr>
            <w:r>
              <w:rPr>
                <w:rFonts w:ascii="Arial" w:cs="Arial" w:eastAsia="Arial" w:hAnsi="Arial"/>
                <w:sz w:val="12"/>
                <w:szCs w:val="12"/>
                <w:color w:val="auto"/>
              </w:rPr>
              <w:t>10.3</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60" w:type="dxa"/>
            <w:vAlign w:val="bottom"/>
            <w:tcBorders>
              <w:bottom w:val="single" w:sz="8" w:color="0000EE"/>
            </w:tcBorders>
            <w:gridSpan w:val="16"/>
          </w:tcPr>
          <w:p>
            <w:pPr>
              <w:spacing w:after="0"/>
              <w:rPr>
                <w:rFonts w:ascii="Arial" w:cs="Arial" w:eastAsia="Arial" w:hAnsi="Arial"/>
                <w:sz w:val="12"/>
                <w:szCs w:val="12"/>
                <w:color w:val="0000EE"/>
                <w:w w:val="89"/>
              </w:rPr>
            </w:pPr>
            <w:hyperlink r:id="rId98">
              <w:r>
                <w:rPr>
                  <w:rFonts w:ascii="Arial" w:cs="Arial" w:eastAsia="Arial" w:hAnsi="Arial"/>
                  <w:sz w:val="12"/>
                  <w:szCs w:val="12"/>
                  <w:color w:val="0000EE"/>
                  <w:w w:val="89"/>
                </w:rPr>
                <w:t>Second Amended and Restated Loan Agreement, dated March 20, 2020, by and among Venus Concept USA Inc.,</w:t>
              </w:r>
            </w:hyperlink>
          </w:p>
        </w:tc>
        <w:tc>
          <w:tcPr>
            <w:tcW w:w="220" w:type="dxa"/>
            <w:vAlign w:val="bottom"/>
            <w:gridSpan w:val="7"/>
          </w:tcPr>
          <w:p>
            <w:pPr>
              <w:spacing w:after="0"/>
              <w:rPr>
                <w:sz w:val="21"/>
                <w:szCs w:val="21"/>
                <w:color w:val="auto"/>
              </w:rPr>
            </w:pPr>
          </w:p>
        </w:tc>
        <w:tc>
          <w:tcPr>
            <w:tcW w:w="640" w:type="dxa"/>
            <w:vAlign w:val="bottom"/>
          </w:tcPr>
          <w:p>
            <w:pPr>
              <w:ind w:left="160"/>
              <w:spacing w:after="0"/>
              <w:rPr>
                <w:sz w:val="20"/>
                <w:szCs w:val="20"/>
                <w:color w:val="auto"/>
              </w:rPr>
            </w:pPr>
            <w:r>
              <w:rPr>
                <w:rFonts w:ascii="Arial" w:cs="Arial" w:eastAsia="Arial" w:hAnsi="Arial"/>
                <w:sz w:val="12"/>
                <w:szCs w:val="12"/>
                <w:color w:val="auto"/>
              </w:rPr>
              <w:t>8-K</w:t>
            </w:r>
          </w:p>
        </w:tc>
      </w:tr>
      <w:tr>
        <w:trPr>
          <w:trHeight w:val="124"/>
        </w:trPr>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80" w:type="dxa"/>
            <w:vAlign w:val="bottom"/>
            <w:gridSpan w:val="23"/>
          </w:tcPr>
          <w:p>
            <w:pPr>
              <w:spacing w:after="0" w:line="124" w:lineRule="exact"/>
              <w:rPr>
                <w:rFonts w:ascii="Arial" w:cs="Arial" w:eastAsia="Arial" w:hAnsi="Arial"/>
                <w:sz w:val="12"/>
                <w:szCs w:val="12"/>
                <w:color w:val="0000EE"/>
              </w:rPr>
            </w:pPr>
            <w:hyperlink r:id="rId98">
              <w:r>
                <w:rPr>
                  <w:rFonts w:ascii="Arial" w:cs="Arial" w:eastAsia="Arial" w:hAnsi="Arial"/>
                  <w:sz w:val="12"/>
                  <w:szCs w:val="12"/>
                  <w:color w:val="0000EE"/>
                </w:rPr>
                <w:t>Venus Concept Canada Corp., Venus Concept Inc. and City National Bank of Florida.</w:t>
              </w:r>
            </w:hyperlink>
          </w:p>
        </w:tc>
        <w:tc>
          <w:tcPr>
            <w:tcW w:w="640" w:type="dxa"/>
            <w:vAlign w:val="bottom"/>
          </w:tcPr>
          <w:p>
            <w:pPr>
              <w:spacing w:after="0"/>
              <w:rPr>
                <w:sz w:val="10"/>
                <w:szCs w:val="10"/>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24"/>
        </w:trPr>
        <w:tc>
          <w:tcPr>
            <w:tcW w:w="800" w:type="dxa"/>
            <w:vAlign w:val="bottom"/>
          </w:tcPr>
          <w:p>
            <w:pPr>
              <w:ind w:left="100"/>
              <w:spacing w:after="0" w:line="124" w:lineRule="exact"/>
              <w:rPr>
                <w:sz w:val="20"/>
                <w:szCs w:val="20"/>
                <w:color w:val="auto"/>
              </w:rPr>
            </w:pPr>
            <w:r>
              <w:rPr>
                <w:rFonts w:ascii="Arial" w:cs="Arial" w:eastAsia="Arial" w:hAnsi="Arial"/>
                <w:sz w:val="12"/>
                <w:szCs w:val="12"/>
                <w:color w:val="auto"/>
              </w:rPr>
              <w:t>10.4</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80" w:type="dxa"/>
            <w:vAlign w:val="bottom"/>
            <w:gridSpan w:val="23"/>
          </w:tcPr>
          <w:p>
            <w:pPr>
              <w:spacing w:after="0" w:line="124" w:lineRule="exact"/>
              <w:rPr>
                <w:rFonts w:ascii="Arial" w:cs="Arial" w:eastAsia="Arial" w:hAnsi="Arial"/>
                <w:sz w:val="12"/>
                <w:szCs w:val="12"/>
                <w:color w:val="0000EE"/>
                <w:w w:val="90"/>
              </w:rPr>
            </w:pPr>
            <w:hyperlink r:id="rId99">
              <w:r>
                <w:rPr>
                  <w:rFonts w:ascii="Arial" w:cs="Arial" w:eastAsia="Arial" w:hAnsi="Arial"/>
                  <w:sz w:val="12"/>
                  <w:szCs w:val="12"/>
                  <w:color w:val="0000EE"/>
                  <w:w w:val="90"/>
                </w:rPr>
                <w:t>Second Amended and Restated Guaranty of Payment and Performance, dated as of March 20, 2020, by and between</w:t>
              </w:r>
            </w:hyperlink>
          </w:p>
        </w:tc>
        <w:tc>
          <w:tcPr>
            <w:tcW w:w="640" w:type="dxa"/>
            <w:vAlign w:val="bottom"/>
          </w:tcPr>
          <w:p>
            <w:pPr>
              <w:ind w:left="160"/>
              <w:spacing w:after="0" w:line="124" w:lineRule="exact"/>
              <w:rPr>
                <w:sz w:val="20"/>
                <w:szCs w:val="20"/>
                <w:color w:val="auto"/>
              </w:rPr>
            </w:pPr>
            <w:r>
              <w:rPr>
                <w:rFonts w:ascii="Arial" w:cs="Arial" w:eastAsia="Arial" w:hAnsi="Arial"/>
                <w:sz w:val="12"/>
                <w:szCs w:val="12"/>
                <w:color w:val="auto"/>
              </w:rPr>
              <w:t>8-K</w:t>
            </w:r>
          </w:p>
        </w:tc>
      </w:tr>
      <w:tr>
        <w:trPr>
          <w:trHeight w:val="142"/>
        </w:trPr>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580" w:type="dxa"/>
            <w:vAlign w:val="bottom"/>
            <w:tcBorders>
              <w:top w:val="single" w:sz="8" w:color="0000EE"/>
            </w:tcBorders>
            <w:gridSpan w:val="19"/>
          </w:tcPr>
          <w:p>
            <w:pPr>
              <w:spacing w:after="0"/>
              <w:rPr>
                <w:rFonts w:ascii="Arial" w:cs="Arial" w:eastAsia="Arial" w:hAnsi="Arial"/>
                <w:sz w:val="12"/>
                <w:szCs w:val="12"/>
                <w:u w:val="single" w:color="auto"/>
                <w:color w:val="0000EE"/>
                <w:w w:val="93"/>
              </w:rPr>
            </w:pPr>
            <w:hyperlink r:id="rId99">
              <w:r>
                <w:rPr>
                  <w:rFonts w:ascii="Arial" w:cs="Arial" w:eastAsia="Arial" w:hAnsi="Arial"/>
                  <w:sz w:val="12"/>
                  <w:szCs w:val="12"/>
                  <w:u w:val="single" w:color="auto"/>
                  <w:color w:val="0000EE"/>
                  <w:w w:val="93"/>
                </w:rPr>
                <w:t>Venus Concept USA Inc., Venus Concept Canada Corp., Venus Concept Inc., and City National Bank of Florida.</w:t>
              </w:r>
            </w:hyperlink>
          </w:p>
        </w:tc>
        <w:tc>
          <w:tcPr>
            <w:tcW w:w="100" w:type="dxa"/>
            <w:vAlign w:val="bottom"/>
            <w:gridSpan w:val="4"/>
          </w:tcPr>
          <w:p>
            <w:pPr>
              <w:spacing w:after="0"/>
              <w:rPr>
                <w:sz w:val="12"/>
                <w:szCs w:val="12"/>
                <w:color w:val="auto"/>
              </w:rPr>
            </w:pPr>
          </w:p>
        </w:tc>
        <w:tc>
          <w:tcPr>
            <w:tcW w:w="640" w:type="dxa"/>
            <w:vAlign w:val="bottom"/>
          </w:tcPr>
          <w:p>
            <w:pPr>
              <w:spacing w:after="0"/>
              <w:rPr>
                <w:sz w:val="12"/>
                <w:szCs w:val="12"/>
                <w:color w:val="auto"/>
              </w:rPr>
            </w:pPr>
          </w:p>
        </w:tc>
      </w:tr>
      <w:tr>
        <w:trPr>
          <w:trHeight w:val="126"/>
        </w:trPr>
        <w:tc>
          <w:tcPr>
            <w:tcW w:w="800" w:type="dxa"/>
            <w:vAlign w:val="bottom"/>
          </w:tcPr>
          <w:p>
            <w:pPr>
              <w:ind w:left="100"/>
              <w:spacing w:after="0" w:line="126" w:lineRule="exact"/>
              <w:rPr>
                <w:sz w:val="20"/>
                <w:szCs w:val="20"/>
                <w:color w:val="auto"/>
              </w:rPr>
            </w:pPr>
            <w:r>
              <w:rPr>
                <w:rFonts w:ascii="Arial" w:cs="Arial" w:eastAsia="Arial" w:hAnsi="Arial"/>
                <w:sz w:val="12"/>
                <w:szCs w:val="12"/>
                <w:color w:val="auto"/>
              </w:rPr>
              <w:t>10.5</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300" w:type="dxa"/>
            <w:vAlign w:val="bottom"/>
            <w:tcBorders>
              <w:bottom w:val="single" w:sz="8" w:color="0000EE"/>
            </w:tcBorders>
            <w:gridSpan w:val="11"/>
          </w:tcPr>
          <w:p>
            <w:pPr>
              <w:spacing w:after="0" w:line="126" w:lineRule="exact"/>
              <w:rPr>
                <w:rFonts w:ascii="Arial" w:cs="Arial" w:eastAsia="Arial" w:hAnsi="Arial"/>
                <w:sz w:val="12"/>
                <w:szCs w:val="12"/>
                <w:color w:val="0000EE"/>
                <w:w w:val="90"/>
              </w:rPr>
            </w:pPr>
            <w:hyperlink r:id="rId100">
              <w:r>
                <w:rPr>
                  <w:rFonts w:ascii="Arial" w:cs="Arial" w:eastAsia="Arial" w:hAnsi="Arial"/>
                  <w:sz w:val="12"/>
                  <w:szCs w:val="12"/>
                  <w:color w:val="0000EE"/>
                  <w:w w:val="90"/>
                </w:rPr>
                <w:t>Third Amended and Restated Revolving Promissory Note, dated as of March 20, 2020, by and between Venus</w:t>
              </w:r>
            </w:hyperlink>
          </w:p>
        </w:tc>
        <w:tc>
          <w:tcPr>
            <w:tcW w:w="380" w:type="dxa"/>
            <w:vAlign w:val="bottom"/>
            <w:gridSpan w:val="12"/>
          </w:tcPr>
          <w:p>
            <w:pPr>
              <w:spacing w:after="0"/>
              <w:rPr>
                <w:sz w:val="10"/>
                <w:szCs w:val="10"/>
                <w:color w:val="auto"/>
              </w:rPr>
            </w:pPr>
          </w:p>
        </w:tc>
        <w:tc>
          <w:tcPr>
            <w:tcW w:w="640" w:type="dxa"/>
            <w:vAlign w:val="bottom"/>
          </w:tcPr>
          <w:p>
            <w:pPr>
              <w:ind w:left="160"/>
              <w:spacing w:after="0" w:line="126" w:lineRule="exact"/>
              <w:rPr>
                <w:sz w:val="20"/>
                <w:szCs w:val="20"/>
                <w:color w:val="auto"/>
              </w:rPr>
            </w:pPr>
            <w:r>
              <w:rPr>
                <w:rFonts w:ascii="Arial" w:cs="Arial" w:eastAsia="Arial" w:hAnsi="Arial"/>
                <w:sz w:val="12"/>
                <w:szCs w:val="12"/>
                <w:color w:val="auto"/>
              </w:rPr>
              <w:t>8-K</w:t>
            </w:r>
          </w:p>
        </w:tc>
      </w:tr>
      <w:tr>
        <w:trPr>
          <w:trHeight w:val="142"/>
        </w:trPr>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80" w:type="dxa"/>
            <w:vAlign w:val="bottom"/>
            <w:gridSpan w:val="23"/>
          </w:tcPr>
          <w:p>
            <w:pPr>
              <w:spacing w:after="0"/>
              <w:rPr>
                <w:rFonts w:ascii="Arial" w:cs="Arial" w:eastAsia="Arial" w:hAnsi="Arial"/>
                <w:sz w:val="12"/>
                <w:szCs w:val="12"/>
                <w:u w:val="single" w:color="auto"/>
                <w:color w:val="0000EE"/>
              </w:rPr>
            </w:pPr>
            <w:hyperlink r:id="rId100">
              <w:r>
                <w:rPr>
                  <w:rFonts w:ascii="Arial" w:cs="Arial" w:eastAsia="Arial" w:hAnsi="Arial"/>
                  <w:sz w:val="12"/>
                  <w:szCs w:val="12"/>
                  <w:u w:val="single" w:color="auto"/>
                  <w:color w:val="0000EE"/>
                </w:rPr>
                <w:t>Concept USA Inc., Venus Concept Canada Corp., Venus Concept Inc., and City National Bank of Florida.</w:t>
              </w:r>
            </w:hyperlink>
          </w:p>
        </w:tc>
        <w:tc>
          <w:tcPr>
            <w:tcW w:w="640" w:type="dxa"/>
            <w:vAlign w:val="bottom"/>
          </w:tcPr>
          <w:p>
            <w:pPr>
              <w:spacing w:after="0"/>
              <w:rPr>
                <w:sz w:val="12"/>
                <w:szCs w:val="12"/>
                <w:color w:val="auto"/>
              </w:rPr>
            </w:pPr>
          </w:p>
        </w:tc>
      </w:tr>
      <w:tr>
        <w:trPr>
          <w:trHeight w:val="126"/>
        </w:trPr>
        <w:tc>
          <w:tcPr>
            <w:tcW w:w="800" w:type="dxa"/>
            <w:vAlign w:val="bottom"/>
          </w:tcPr>
          <w:p>
            <w:pPr>
              <w:ind w:left="100"/>
              <w:spacing w:after="0" w:line="126" w:lineRule="exact"/>
              <w:rPr>
                <w:sz w:val="20"/>
                <w:szCs w:val="20"/>
                <w:color w:val="auto"/>
              </w:rPr>
            </w:pPr>
            <w:r>
              <w:rPr>
                <w:rFonts w:ascii="Arial" w:cs="Arial" w:eastAsia="Arial" w:hAnsi="Arial"/>
                <w:sz w:val="12"/>
                <w:szCs w:val="12"/>
                <w:color w:val="auto"/>
              </w:rPr>
              <w:t>10.6</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80" w:type="dxa"/>
            <w:vAlign w:val="bottom"/>
            <w:gridSpan w:val="23"/>
          </w:tcPr>
          <w:p>
            <w:pPr>
              <w:spacing w:after="0" w:line="126" w:lineRule="exact"/>
              <w:rPr>
                <w:rFonts w:ascii="Arial" w:cs="Arial" w:eastAsia="Arial" w:hAnsi="Arial"/>
                <w:sz w:val="12"/>
                <w:szCs w:val="12"/>
                <w:color w:val="0000EE"/>
                <w:w w:val="94"/>
              </w:rPr>
            </w:pPr>
            <w:hyperlink r:id="rId101">
              <w:r>
                <w:rPr>
                  <w:rFonts w:ascii="Arial" w:cs="Arial" w:eastAsia="Arial" w:hAnsi="Arial"/>
                  <w:sz w:val="12"/>
                  <w:szCs w:val="12"/>
                  <w:color w:val="0000EE"/>
                  <w:w w:val="94"/>
                </w:rPr>
                <w:t>Security Agreement, dated as of March 20, 2020, by and between Venus Concept Inc. and City National Bank of</w:t>
              </w:r>
            </w:hyperlink>
          </w:p>
        </w:tc>
        <w:tc>
          <w:tcPr>
            <w:tcW w:w="640" w:type="dxa"/>
            <w:vAlign w:val="bottom"/>
          </w:tcPr>
          <w:p>
            <w:pPr>
              <w:ind w:left="160"/>
              <w:spacing w:after="0" w:line="126" w:lineRule="exact"/>
              <w:rPr>
                <w:sz w:val="20"/>
                <w:szCs w:val="20"/>
                <w:color w:val="auto"/>
              </w:rPr>
            </w:pPr>
            <w:r>
              <w:rPr>
                <w:rFonts w:ascii="Arial" w:cs="Arial" w:eastAsia="Arial" w:hAnsi="Arial"/>
                <w:sz w:val="12"/>
                <w:szCs w:val="12"/>
                <w:color w:val="auto"/>
              </w:rPr>
              <w:t>8-K</w:t>
            </w:r>
          </w:p>
        </w:tc>
      </w:tr>
      <w:tr>
        <w:trPr>
          <w:trHeight w:val="124"/>
        </w:trPr>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89"/>
              </w:rPr>
            </w:pPr>
            <w:hyperlink r:id="rId101">
              <w:r>
                <w:rPr>
                  <w:rFonts w:ascii="Arial" w:cs="Arial" w:eastAsia="Arial" w:hAnsi="Arial"/>
                  <w:sz w:val="12"/>
                  <w:szCs w:val="12"/>
                  <w:color w:val="0000EE"/>
                  <w:w w:val="89"/>
                </w:rPr>
                <w:t>Florida.</w:t>
              </w:r>
            </w:hyperlink>
          </w:p>
        </w:tc>
        <w:tc>
          <w:tcPr>
            <w:tcW w:w="5020" w:type="dxa"/>
            <w:vAlign w:val="bottom"/>
            <w:tcBorders>
              <w:top w:val="single" w:sz="8" w:color="0000EE"/>
            </w:tcBorders>
            <w:gridSpan w:val="12"/>
          </w:tcPr>
          <w:p>
            <w:pPr>
              <w:spacing w:after="0"/>
              <w:rPr>
                <w:sz w:val="10"/>
                <w:szCs w:val="10"/>
                <w:color w:val="auto"/>
              </w:rPr>
            </w:pPr>
          </w:p>
        </w:tc>
        <w:tc>
          <w:tcPr>
            <w:tcW w:w="280" w:type="dxa"/>
            <w:vAlign w:val="bottom"/>
            <w:gridSpan w:val="10"/>
          </w:tcPr>
          <w:p>
            <w:pPr>
              <w:spacing w:after="0"/>
              <w:rPr>
                <w:sz w:val="10"/>
                <w:szCs w:val="10"/>
                <w:color w:val="auto"/>
              </w:rPr>
            </w:pPr>
          </w:p>
        </w:tc>
        <w:tc>
          <w:tcPr>
            <w:tcW w:w="640" w:type="dxa"/>
            <w:vAlign w:val="bottom"/>
          </w:tcPr>
          <w:p>
            <w:pPr>
              <w:spacing w:after="0"/>
              <w:rPr>
                <w:sz w:val="10"/>
                <w:szCs w:val="10"/>
                <w:color w:val="auto"/>
              </w:rPr>
            </w:pPr>
          </w:p>
        </w:tc>
      </w:tr>
      <w:tr>
        <w:trPr>
          <w:trHeight w:val="124"/>
        </w:trPr>
        <w:tc>
          <w:tcPr>
            <w:tcW w:w="800" w:type="dxa"/>
            <w:vAlign w:val="bottom"/>
          </w:tcPr>
          <w:p>
            <w:pPr>
              <w:ind w:left="100"/>
              <w:spacing w:after="0" w:line="124" w:lineRule="exact"/>
              <w:rPr>
                <w:sz w:val="20"/>
                <w:szCs w:val="20"/>
                <w:color w:val="auto"/>
              </w:rPr>
            </w:pPr>
            <w:r>
              <w:rPr>
                <w:rFonts w:ascii="Arial" w:cs="Arial" w:eastAsia="Arial" w:hAnsi="Arial"/>
                <w:sz w:val="12"/>
                <w:szCs w:val="12"/>
                <w:color w:val="auto"/>
              </w:rPr>
              <w:t>10.7</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80" w:type="dxa"/>
            <w:vAlign w:val="bottom"/>
            <w:gridSpan w:val="23"/>
          </w:tcPr>
          <w:p>
            <w:pPr>
              <w:spacing w:after="0" w:line="124" w:lineRule="exact"/>
              <w:rPr>
                <w:rFonts w:ascii="Arial" w:cs="Arial" w:eastAsia="Arial" w:hAnsi="Arial"/>
                <w:sz w:val="12"/>
                <w:szCs w:val="12"/>
                <w:color w:val="0000EE"/>
                <w:w w:val="97"/>
              </w:rPr>
            </w:pPr>
            <w:hyperlink r:id="rId102">
              <w:r>
                <w:rPr>
                  <w:rFonts w:ascii="Arial" w:cs="Arial" w:eastAsia="Arial" w:hAnsi="Arial"/>
                  <w:sz w:val="12"/>
                  <w:szCs w:val="12"/>
                  <w:color w:val="0000EE"/>
                  <w:w w:val="97"/>
                </w:rPr>
                <w:t>Third Amended and Restated Intercreditor Agreement, dated March 20, 2020, by and between Madryn Health</w:t>
              </w:r>
            </w:hyperlink>
          </w:p>
        </w:tc>
        <w:tc>
          <w:tcPr>
            <w:tcW w:w="640" w:type="dxa"/>
            <w:vAlign w:val="bottom"/>
          </w:tcPr>
          <w:p>
            <w:pPr>
              <w:ind w:left="160"/>
              <w:spacing w:after="0" w:line="124" w:lineRule="exact"/>
              <w:rPr>
                <w:sz w:val="20"/>
                <w:szCs w:val="20"/>
                <w:color w:val="auto"/>
              </w:rPr>
            </w:pPr>
            <w:r>
              <w:rPr>
                <w:rFonts w:ascii="Arial" w:cs="Arial" w:eastAsia="Arial" w:hAnsi="Arial"/>
                <w:sz w:val="12"/>
                <w:szCs w:val="12"/>
                <w:color w:val="auto"/>
              </w:rPr>
              <w:t>8-K</w:t>
            </w:r>
          </w:p>
        </w:tc>
      </w:tr>
      <w:tr>
        <w:trPr>
          <w:trHeight w:val="124"/>
        </w:trPr>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80" w:type="dxa"/>
            <w:vAlign w:val="bottom"/>
            <w:tcBorders>
              <w:top w:val="single" w:sz="8" w:color="0000EE"/>
            </w:tcBorders>
            <w:gridSpan w:val="10"/>
          </w:tcPr>
          <w:p>
            <w:pPr>
              <w:spacing w:after="0" w:line="124" w:lineRule="exact"/>
              <w:rPr>
                <w:rFonts w:ascii="Arial" w:cs="Arial" w:eastAsia="Arial" w:hAnsi="Arial"/>
                <w:sz w:val="12"/>
                <w:szCs w:val="12"/>
                <w:color w:val="0000EE"/>
              </w:rPr>
            </w:pPr>
            <w:hyperlink r:id="rId102">
              <w:r>
                <w:rPr>
                  <w:rFonts w:ascii="Arial" w:cs="Arial" w:eastAsia="Arial" w:hAnsi="Arial"/>
                  <w:sz w:val="12"/>
                  <w:szCs w:val="12"/>
                  <w:color w:val="0000EE"/>
                </w:rPr>
                <w:t>Partners, L.P. and City National Bank of Florida.</w:t>
              </w:r>
            </w:hyperlink>
          </w:p>
        </w:tc>
        <w:tc>
          <w:tcPr>
            <w:tcW w:w="400" w:type="dxa"/>
            <w:vAlign w:val="bottom"/>
            <w:gridSpan w:val="13"/>
          </w:tcPr>
          <w:p>
            <w:pPr>
              <w:spacing w:after="0"/>
              <w:rPr>
                <w:sz w:val="10"/>
                <w:szCs w:val="10"/>
                <w:color w:val="auto"/>
              </w:rPr>
            </w:pPr>
          </w:p>
        </w:tc>
        <w:tc>
          <w:tcPr>
            <w:tcW w:w="640" w:type="dxa"/>
            <w:vAlign w:val="bottom"/>
          </w:tcPr>
          <w:p>
            <w:pPr>
              <w:spacing w:after="0"/>
              <w:rPr>
                <w:sz w:val="10"/>
                <w:szCs w:val="10"/>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24"/>
        </w:trPr>
        <w:tc>
          <w:tcPr>
            <w:tcW w:w="800" w:type="dxa"/>
            <w:vAlign w:val="bottom"/>
          </w:tcPr>
          <w:p>
            <w:pPr>
              <w:ind w:left="100"/>
              <w:spacing w:after="0" w:line="124" w:lineRule="exact"/>
              <w:rPr>
                <w:sz w:val="20"/>
                <w:szCs w:val="20"/>
                <w:color w:val="auto"/>
              </w:rPr>
            </w:pPr>
            <w:r>
              <w:rPr>
                <w:rFonts w:ascii="Arial" w:cs="Arial" w:eastAsia="Arial" w:hAnsi="Arial"/>
                <w:sz w:val="12"/>
                <w:szCs w:val="12"/>
                <w:color w:val="auto"/>
              </w:rPr>
              <w:t>10.8</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80" w:type="dxa"/>
            <w:vAlign w:val="bottom"/>
            <w:gridSpan w:val="23"/>
          </w:tcPr>
          <w:p>
            <w:pPr>
              <w:spacing w:after="0" w:line="124" w:lineRule="exact"/>
              <w:rPr>
                <w:rFonts w:ascii="Arial" w:cs="Arial" w:eastAsia="Arial" w:hAnsi="Arial"/>
                <w:sz w:val="12"/>
                <w:szCs w:val="12"/>
                <w:color w:val="0000EE"/>
                <w:w w:val="96"/>
              </w:rPr>
            </w:pPr>
            <w:hyperlink r:id="rId103">
              <w:r>
                <w:rPr>
                  <w:rFonts w:ascii="Arial" w:cs="Arial" w:eastAsia="Arial" w:hAnsi="Arial"/>
                  <w:sz w:val="12"/>
                  <w:szCs w:val="12"/>
                  <w:color w:val="0000EE"/>
                  <w:w w:val="96"/>
                </w:rPr>
                <w:t>SBA Payroll Protection Program Note dated April 21, 2020, by Venus Concept Inc. and in favor of City National</w:t>
              </w:r>
            </w:hyperlink>
          </w:p>
        </w:tc>
        <w:tc>
          <w:tcPr>
            <w:tcW w:w="640" w:type="dxa"/>
            <w:vAlign w:val="bottom"/>
          </w:tcPr>
          <w:p>
            <w:pPr>
              <w:ind w:left="160"/>
              <w:spacing w:after="0" w:line="124" w:lineRule="exact"/>
              <w:rPr>
                <w:sz w:val="20"/>
                <w:szCs w:val="20"/>
                <w:color w:val="auto"/>
              </w:rPr>
            </w:pPr>
            <w:r>
              <w:rPr>
                <w:rFonts w:ascii="Arial" w:cs="Arial" w:eastAsia="Arial" w:hAnsi="Arial"/>
                <w:sz w:val="12"/>
                <w:szCs w:val="12"/>
                <w:color w:val="auto"/>
              </w:rPr>
              <w:t>8-K</w:t>
            </w:r>
          </w:p>
        </w:tc>
      </w:tr>
      <w:tr>
        <w:trPr>
          <w:trHeight w:val="124"/>
        </w:trPr>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20" w:type="dxa"/>
            <w:vAlign w:val="bottom"/>
            <w:tcBorders>
              <w:top w:val="single" w:sz="8" w:color="0000EE"/>
            </w:tcBorders>
            <w:gridSpan w:val="14"/>
          </w:tcPr>
          <w:p>
            <w:pPr>
              <w:spacing w:after="0" w:line="124" w:lineRule="exact"/>
              <w:rPr>
                <w:rFonts w:ascii="Arial" w:cs="Arial" w:eastAsia="Arial" w:hAnsi="Arial"/>
                <w:sz w:val="12"/>
                <w:szCs w:val="12"/>
                <w:color w:val="0000EE"/>
              </w:rPr>
            </w:pPr>
            <w:hyperlink r:id="rId103">
              <w:r>
                <w:rPr>
                  <w:rFonts w:ascii="Arial" w:cs="Arial" w:eastAsia="Arial" w:hAnsi="Arial"/>
                  <w:sz w:val="12"/>
                  <w:szCs w:val="12"/>
                  <w:color w:val="0000EE"/>
                </w:rPr>
                <w:t>Bank of Florida.</w:t>
              </w:r>
            </w:hyperlink>
          </w:p>
        </w:tc>
        <w:tc>
          <w:tcPr>
            <w:tcW w:w="260" w:type="dxa"/>
            <w:vAlign w:val="bottom"/>
            <w:gridSpan w:val="9"/>
          </w:tcPr>
          <w:p>
            <w:pPr>
              <w:spacing w:after="0"/>
              <w:rPr>
                <w:sz w:val="10"/>
                <w:szCs w:val="10"/>
                <w:color w:val="auto"/>
              </w:rPr>
            </w:pPr>
          </w:p>
        </w:tc>
        <w:tc>
          <w:tcPr>
            <w:tcW w:w="640" w:type="dxa"/>
            <w:vAlign w:val="bottom"/>
          </w:tcPr>
          <w:p>
            <w:pPr>
              <w:spacing w:after="0"/>
              <w:rPr>
                <w:sz w:val="10"/>
                <w:szCs w:val="10"/>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1520" w:type="dxa"/>
            <w:vAlign w:val="bottom"/>
            <w:gridSpan w:val="1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42"/>
        </w:trPr>
        <w:tc>
          <w:tcPr>
            <w:tcW w:w="800" w:type="dxa"/>
            <w:vAlign w:val="bottom"/>
          </w:tcPr>
          <w:p>
            <w:pPr>
              <w:ind w:left="100"/>
              <w:spacing w:after="0"/>
              <w:rPr>
                <w:sz w:val="20"/>
                <w:szCs w:val="20"/>
                <w:color w:val="auto"/>
              </w:rPr>
            </w:pPr>
            <w:r>
              <w:rPr>
                <w:rFonts w:ascii="Arial" w:cs="Arial" w:eastAsia="Arial" w:hAnsi="Arial"/>
                <w:sz w:val="12"/>
                <w:szCs w:val="12"/>
                <w:color w:val="auto"/>
              </w:rPr>
              <w:t>10.9#</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80" w:type="dxa"/>
            <w:vAlign w:val="bottom"/>
            <w:gridSpan w:val="23"/>
          </w:tcPr>
          <w:p>
            <w:pPr>
              <w:spacing w:after="0"/>
              <w:rPr>
                <w:rFonts w:ascii="Arial" w:cs="Arial" w:eastAsia="Arial" w:hAnsi="Arial"/>
                <w:sz w:val="12"/>
                <w:szCs w:val="12"/>
                <w:u w:val="single" w:color="auto"/>
                <w:color w:val="0000EE"/>
                <w:w w:val="99"/>
              </w:rPr>
            </w:pPr>
            <w:hyperlink r:id="rId104">
              <w:r>
                <w:rPr>
                  <w:rFonts w:ascii="Arial" w:cs="Arial" w:eastAsia="Arial" w:hAnsi="Arial"/>
                  <w:sz w:val="12"/>
                  <w:szCs w:val="12"/>
                  <w:u w:val="single" w:color="auto"/>
                  <w:color w:val="0000EE"/>
                  <w:w w:val="99"/>
                </w:rPr>
                <w:t>Employment Agreement, dated January 24, 2020, by and between Chad A. Zaring and Venus Concept Inc.</w:t>
              </w:r>
            </w:hyperlink>
          </w:p>
        </w:tc>
        <w:tc>
          <w:tcPr>
            <w:tcW w:w="640" w:type="dxa"/>
            <w:vAlign w:val="bottom"/>
          </w:tcPr>
          <w:p>
            <w:pPr>
              <w:ind w:left="160"/>
              <w:spacing w:after="0"/>
              <w:rPr>
                <w:sz w:val="20"/>
                <w:szCs w:val="20"/>
                <w:color w:val="auto"/>
              </w:rPr>
            </w:pPr>
            <w:r>
              <w:rPr>
                <w:rFonts w:ascii="Arial" w:cs="Arial" w:eastAsia="Arial" w:hAnsi="Arial"/>
                <w:sz w:val="12"/>
                <w:szCs w:val="12"/>
                <w:color w:val="auto"/>
              </w:rPr>
              <w:t>8-K</w:t>
            </w:r>
          </w:p>
        </w:tc>
      </w:tr>
      <w:tr>
        <w:trPr>
          <w:trHeight w:val="126"/>
        </w:trPr>
        <w:tc>
          <w:tcPr>
            <w:tcW w:w="800" w:type="dxa"/>
            <w:vAlign w:val="bottom"/>
          </w:tcPr>
          <w:p>
            <w:pPr>
              <w:ind w:left="100"/>
              <w:spacing w:after="0" w:line="126" w:lineRule="exact"/>
              <w:rPr>
                <w:sz w:val="20"/>
                <w:szCs w:val="20"/>
                <w:color w:val="auto"/>
              </w:rPr>
            </w:pPr>
            <w:r>
              <w:rPr>
                <w:rFonts w:ascii="Arial" w:cs="Arial" w:eastAsia="Arial" w:hAnsi="Arial"/>
                <w:sz w:val="12"/>
                <w:szCs w:val="12"/>
                <w:color w:val="auto"/>
              </w:rPr>
              <w:t>31.1</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80" w:type="dxa"/>
            <w:vAlign w:val="bottom"/>
            <w:gridSpan w:val="23"/>
          </w:tcPr>
          <w:p>
            <w:pPr>
              <w:spacing w:after="0" w:line="126" w:lineRule="exact"/>
              <w:rPr>
                <w:rFonts w:ascii="Arial" w:cs="Arial" w:eastAsia="Arial" w:hAnsi="Arial"/>
                <w:sz w:val="12"/>
                <w:szCs w:val="12"/>
                <w:color w:val="0000EE"/>
                <w:w w:val="91"/>
              </w:rPr>
            </w:pPr>
            <w:hyperlink w:anchor="page71">
              <w:r>
                <w:rPr>
                  <w:rFonts w:ascii="Arial" w:cs="Arial" w:eastAsia="Arial" w:hAnsi="Arial"/>
                  <w:sz w:val="12"/>
                  <w:szCs w:val="12"/>
                  <w:color w:val="0000EE"/>
                  <w:w w:val="91"/>
                </w:rPr>
                <w:t>Certification of Principal Executive Officer Pursuant to Rules 13a-14(a) and 15d-14(a) under the Securities Exchange</w:t>
              </w:r>
            </w:hyperlink>
          </w:p>
        </w:tc>
        <w:tc>
          <w:tcPr>
            <w:tcW w:w="640" w:type="dxa"/>
            <w:vAlign w:val="bottom"/>
          </w:tcPr>
          <w:p>
            <w:pPr>
              <w:spacing w:after="0"/>
              <w:rPr>
                <w:sz w:val="10"/>
                <w:szCs w:val="10"/>
                <w:color w:val="auto"/>
              </w:rPr>
            </w:pPr>
          </w:p>
        </w:tc>
      </w:tr>
      <w:tr>
        <w:trPr>
          <w:trHeight w:val="124"/>
        </w:trPr>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120" w:type="dxa"/>
            <w:vAlign w:val="bottom"/>
            <w:tcBorders>
              <w:top w:val="single" w:sz="8" w:color="0000EE"/>
              <w:bottom w:val="single" w:sz="8" w:color="0000EE"/>
            </w:tcBorders>
            <w:gridSpan w:val="8"/>
          </w:tcPr>
          <w:p>
            <w:pPr>
              <w:spacing w:after="0" w:line="124" w:lineRule="exact"/>
              <w:rPr>
                <w:rFonts w:ascii="Arial" w:cs="Arial" w:eastAsia="Arial" w:hAnsi="Arial"/>
                <w:sz w:val="12"/>
                <w:szCs w:val="12"/>
                <w:color w:val="0000EE"/>
                <w:w w:val="90"/>
              </w:rPr>
            </w:pPr>
            <w:hyperlink w:anchor="page71">
              <w:r>
                <w:rPr>
                  <w:rFonts w:ascii="Arial" w:cs="Arial" w:eastAsia="Arial" w:hAnsi="Arial"/>
                  <w:sz w:val="12"/>
                  <w:szCs w:val="12"/>
                  <w:color w:val="0000EE"/>
                  <w:w w:val="90"/>
                </w:rPr>
                <w:t>Act of 1934, as Adopted Pursuant to Section 302 of the Sarbanes- Oxley Act of 2002.</w:t>
              </w:r>
            </w:hyperlink>
          </w:p>
        </w:tc>
        <w:tc>
          <w:tcPr>
            <w:tcW w:w="1520" w:type="dxa"/>
            <w:vAlign w:val="bottom"/>
            <w:tcBorders>
              <w:top w:val="single" w:sz="8" w:color="0000EE"/>
            </w:tcBorders>
            <w:gridSpan w:val="13"/>
          </w:tcPr>
          <w:p>
            <w:pPr>
              <w:spacing w:after="0"/>
              <w:rPr>
                <w:sz w:val="10"/>
                <w:szCs w:val="10"/>
                <w:color w:val="auto"/>
              </w:rPr>
            </w:pPr>
          </w:p>
        </w:tc>
        <w:tc>
          <w:tcPr>
            <w:tcW w:w="40" w:type="dxa"/>
            <w:vAlign w:val="bottom"/>
            <w:gridSpan w:val="2"/>
          </w:tcPr>
          <w:p>
            <w:pPr>
              <w:spacing w:after="0"/>
              <w:rPr>
                <w:sz w:val="10"/>
                <w:szCs w:val="10"/>
                <w:color w:val="auto"/>
              </w:rPr>
            </w:pPr>
          </w:p>
        </w:tc>
        <w:tc>
          <w:tcPr>
            <w:tcW w:w="640" w:type="dxa"/>
            <w:vAlign w:val="bottom"/>
          </w:tcPr>
          <w:p>
            <w:pPr>
              <w:spacing w:after="0"/>
              <w:rPr>
                <w:sz w:val="10"/>
                <w:szCs w:val="10"/>
                <w:color w:val="auto"/>
              </w:rPr>
            </w:pPr>
          </w:p>
        </w:tc>
      </w:tr>
      <w:tr>
        <w:trPr>
          <w:trHeight w:val="295"/>
        </w:trPr>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40" w:type="dxa"/>
            <w:vAlign w:val="bottom"/>
            <w:gridSpan w:val="10"/>
          </w:tcPr>
          <w:p>
            <w:pPr>
              <w:jc w:val="right"/>
              <w:ind w:right="600"/>
              <w:spacing w:after="0"/>
              <w:rPr>
                <w:sz w:val="20"/>
                <w:szCs w:val="20"/>
                <w:color w:val="auto"/>
              </w:rPr>
            </w:pPr>
            <w:r>
              <w:rPr>
                <w:rFonts w:ascii="Arial" w:cs="Arial" w:eastAsia="Arial" w:hAnsi="Arial"/>
                <w:sz w:val="12"/>
                <w:szCs w:val="12"/>
                <w:color w:val="auto"/>
              </w:rPr>
              <w:t>55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189470" cy="11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4"/>
              </w:rPr>
              <w:t>Filed</w:t>
            </w:r>
          </w:p>
        </w:tc>
        <w:tc>
          <w:tcPr>
            <w:tcW w:w="0" w:type="dxa"/>
            <w:vAlign w:val="bottom"/>
          </w:tcPr>
          <w:p>
            <w:pPr>
              <w:spacing w:after="0"/>
              <w:rPr>
                <w:sz w:val="1"/>
                <w:szCs w:val="1"/>
                <w:color w:val="auto"/>
              </w:rPr>
            </w:pPr>
          </w:p>
        </w:tc>
      </w:tr>
      <w:tr>
        <w:trPr>
          <w:trHeight w:val="113"/>
        </w:trPr>
        <w:tc>
          <w:tcPr>
            <w:tcW w:w="1240" w:type="dxa"/>
            <w:vAlign w:val="bottom"/>
            <w:gridSpan w:val="2"/>
          </w:tcPr>
          <w:p>
            <w:pPr>
              <w:ind w:left="400"/>
              <w:spacing w:after="0" w:line="114" w:lineRule="exact"/>
              <w:rPr>
                <w:sz w:val="20"/>
                <w:szCs w:val="20"/>
                <w:color w:val="auto"/>
              </w:rPr>
            </w:pPr>
            <w:r>
              <w:rPr>
                <w:rFonts w:ascii="Arial" w:cs="Arial" w:eastAsia="Arial" w:hAnsi="Arial"/>
                <w:sz w:val="10"/>
                <w:szCs w:val="10"/>
                <w:b w:val="1"/>
                <w:bCs w:val="1"/>
                <w:color w:val="auto"/>
              </w:rPr>
              <w:t>Date</w:t>
            </w:r>
          </w:p>
        </w:tc>
        <w:tc>
          <w:tcPr>
            <w:tcW w:w="1240" w:type="dxa"/>
            <w:vAlign w:val="bottom"/>
            <w:gridSpan w:val="2"/>
          </w:tcPr>
          <w:p>
            <w:pPr>
              <w:ind w:left="340"/>
              <w:spacing w:after="0" w:line="114" w:lineRule="exact"/>
              <w:rPr>
                <w:sz w:val="20"/>
                <w:szCs w:val="20"/>
                <w:color w:val="auto"/>
              </w:rPr>
            </w:pPr>
            <w:r>
              <w:rPr>
                <w:rFonts w:ascii="Arial" w:cs="Arial" w:eastAsia="Arial" w:hAnsi="Arial"/>
                <w:sz w:val="10"/>
                <w:szCs w:val="10"/>
                <w:b w:val="1"/>
                <w:bCs w:val="1"/>
                <w:color w:val="auto"/>
              </w:rPr>
              <w:t>Number</w:t>
            </w:r>
          </w:p>
        </w:tc>
        <w:tc>
          <w:tcPr>
            <w:tcW w:w="102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9"/>
              </w:rPr>
              <w:t>Herewith</w:t>
            </w:r>
          </w:p>
        </w:tc>
        <w:tc>
          <w:tcPr>
            <w:tcW w:w="0" w:type="dxa"/>
            <w:vAlign w:val="bottom"/>
          </w:tcPr>
          <w:p>
            <w:pPr>
              <w:spacing w:after="0"/>
              <w:rPr>
                <w:sz w:val="1"/>
                <w:szCs w:val="1"/>
                <w:color w:val="auto"/>
              </w:rPr>
            </w:pPr>
          </w:p>
        </w:tc>
      </w:tr>
      <w:tr>
        <w:trPr>
          <w:trHeight w:val="277"/>
        </w:trPr>
        <w:tc>
          <w:tcPr>
            <w:tcW w:w="1000" w:type="dxa"/>
            <w:vAlign w:val="bottom"/>
            <w:tcBorders>
              <w:top w:val="single" w:sz="8" w:color="auto"/>
            </w:tcBorders>
          </w:tcPr>
          <w:p>
            <w:pPr>
              <w:ind w:left="360"/>
              <w:spacing w:after="0"/>
              <w:rPr>
                <w:sz w:val="20"/>
                <w:szCs w:val="20"/>
                <w:color w:val="auto"/>
              </w:rPr>
            </w:pPr>
            <w:r>
              <w:rPr>
                <w:rFonts w:ascii="Arial" w:cs="Arial" w:eastAsia="Arial" w:hAnsi="Arial"/>
                <w:sz w:val="12"/>
                <w:szCs w:val="12"/>
                <w:color w:val="auto"/>
              </w:rPr>
              <w:t>10-17-17</w:t>
            </w:r>
          </w:p>
        </w:tc>
        <w:tc>
          <w:tcPr>
            <w:tcW w:w="240" w:type="dxa"/>
            <w:vAlign w:val="bottom"/>
          </w:tcPr>
          <w:p>
            <w:pPr>
              <w:spacing w:after="0"/>
              <w:rPr>
                <w:sz w:val="24"/>
                <w:szCs w:val="24"/>
                <w:color w:val="auto"/>
              </w:rPr>
            </w:pPr>
          </w:p>
        </w:tc>
        <w:tc>
          <w:tcPr>
            <w:tcW w:w="1000" w:type="dxa"/>
            <w:vAlign w:val="bottom"/>
            <w:tcBorders>
              <w:top w:val="single" w:sz="8" w:color="auto"/>
            </w:tcBorders>
          </w:tcPr>
          <w:p>
            <w:pPr>
              <w:ind w:left="660"/>
              <w:spacing w:after="0"/>
              <w:rPr>
                <w:sz w:val="20"/>
                <w:szCs w:val="20"/>
                <w:color w:val="auto"/>
              </w:rPr>
            </w:pPr>
            <w:r>
              <w:rPr>
                <w:rFonts w:ascii="Arial" w:cs="Arial" w:eastAsia="Arial" w:hAnsi="Arial"/>
                <w:sz w:val="12"/>
                <w:szCs w:val="12"/>
                <w:color w:val="auto"/>
              </w:rPr>
              <w:t>3.1</w:t>
            </w:r>
          </w:p>
        </w:tc>
        <w:tc>
          <w:tcPr>
            <w:tcW w:w="24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000" w:type="dxa"/>
            <w:vAlign w:val="bottom"/>
          </w:tcPr>
          <w:p>
            <w:pPr>
              <w:ind w:left="360"/>
              <w:spacing w:after="0"/>
              <w:rPr>
                <w:sz w:val="20"/>
                <w:szCs w:val="20"/>
                <w:color w:val="auto"/>
              </w:rPr>
            </w:pPr>
            <w:r>
              <w:rPr>
                <w:rFonts w:ascii="Arial" w:cs="Arial" w:eastAsia="Arial" w:hAnsi="Arial"/>
                <w:sz w:val="12"/>
                <w:szCs w:val="12"/>
                <w:color w:val="auto"/>
              </w:rPr>
              <w:t>11-7-19</w:t>
            </w:r>
          </w:p>
        </w:tc>
        <w:tc>
          <w:tcPr>
            <w:tcW w:w="240" w:type="dxa"/>
            <w:vAlign w:val="bottom"/>
          </w:tcPr>
          <w:p>
            <w:pPr>
              <w:spacing w:after="0"/>
              <w:rPr>
                <w:sz w:val="12"/>
                <w:szCs w:val="12"/>
                <w:color w:val="auto"/>
              </w:rPr>
            </w:pPr>
          </w:p>
        </w:tc>
        <w:tc>
          <w:tcPr>
            <w:tcW w:w="1000" w:type="dxa"/>
            <w:vAlign w:val="bottom"/>
          </w:tcPr>
          <w:p>
            <w:pPr>
              <w:ind w:left="660"/>
              <w:spacing w:after="0"/>
              <w:rPr>
                <w:sz w:val="20"/>
                <w:szCs w:val="20"/>
                <w:color w:val="auto"/>
              </w:rPr>
            </w:pPr>
            <w:r>
              <w:rPr>
                <w:rFonts w:ascii="Arial" w:cs="Arial" w:eastAsia="Arial" w:hAnsi="Arial"/>
                <w:sz w:val="12"/>
                <w:szCs w:val="12"/>
                <w:color w:val="auto"/>
              </w:rPr>
              <w:t>3.1</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00" w:type="dxa"/>
            <w:vAlign w:val="bottom"/>
          </w:tcPr>
          <w:p>
            <w:pPr>
              <w:ind w:left="360"/>
              <w:spacing w:after="0"/>
              <w:rPr>
                <w:sz w:val="20"/>
                <w:szCs w:val="20"/>
                <w:color w:val="auto"/>
              </w:rPr>
            </w:pPr>
            <w:r>
              <w:rPr>
                <w:rFonts w:ascii="Arial" w:cs="Arial" w:eastAsia="Arial" w:hAnsi="Arial"/>
                <w:sz w:val="12"/>
                <w:szCs w:val="12"/>
                <w:color w:val="auto"/>
              </w:rPr>
              <w:t>11-7-19</w:t>
            </w:r>
          </w:p>
        </w:tc>
        <w:tc>
          <w:tcPr>
            <w:tcW w:w="240" w:type="dxa"/>
            <w:vAlign w:val="bottom"/>
          </w:tcPr>
          <w:p>
            <w:pPr>
              <w:spacing w:after="0"/>
              <w:rPr>
                <w:sz w:val="13"/>
                <w:szCs w:val="13"/>
                <w:color w:val="auto"/>
              </w:rPr>
            </w:pPr>
          </w:p>
        </w:tc>
        <w:tc>
          <w:tcPr>
            <w:tcW w:w="1000" w:type="dxa"/>
            <w:vAlign w:val="bottom"/>
          </w:tcPr>
          <w:p>
            <w:pPr>
              <w:ind w:left="660"/>
              <w:spacing w:after="0"/>
              <w:rPr>
                <w:sz w:val="20"/>
                <w:szCs w:val="20"/>
                <w:color w:val="auto"/>
              </w:rPr>
            </w:pPr>
            <w:r>
              <w:rPr>
                <w:rFonts w:ascii="Arial" w:cs="Arial" w:eastAsia="Arial" w:hAnsi="Arial"/>
                <w:sz w:val="12"/>
                <w:szCs w:val="12"/>
                <w:color w:val="auto"/>
              </w:rPr>
              <w:t>3.2</w:t>
            </w:r>
          </w:p>
        </w:tc>
        <w:tc>
          <w:tcPr>
            <w:tcW w:w="240" w:type="dxa"/>
            <w:vAlign w:val="bottom"/>
          </w:tcPr>
          <w:p>
            <w:pPr>
              <w:spacing w:after="0"/>
              <w:rPr>
                <w:sz w:val="13"/>
                <w:szCs w:val="13"/>
                <w:color w:val="auto"/>
              </w:rPr>
            </w:pPr>
          </w:p>
        </w:tc>
        <w:tc>
          <w:tcPr>
            <w:tcW w:w="1020" w:type="dxa"/>
            <w:vAlign w:val="bottom"/>
            <w:vMerge w:val="restart"/>
          </w:tcPr>
          <w:p>
            <w:pPr>
              <w:ind w:left="68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44"/>
        </w:trPr>
        <w:tc>
          <w:tcPr>
            <w:tcW w:w="1000" w:type="dxa"/>
            <w:vAlign w:val="bottom"/>
            <w:vMerge w:val="restart"/>
          </w:tcPr>
          <w:p>
            <w:pPr>
              <w:ind w:left="360"/>
              <w:spacing w:after="0"/>
              <w:rPr>
                <w:sz w:val="20"/>
                <w:szCs w:val="20"/>
                <w:color w:val="auto"/>
              </w:rPr>
            </w:pPr>
            <w:r>
              <w:rPr>
                <w:rFonts w:ascii="Arial" w:cs="Arial" w:eastAsia="Arial" w:hAnsi="Arial"/>
                <w:sz w:val="12"/>
                <w:szCs w:val="12"/>
                <w:color w:val="auto"/>
              </w:rPr>
              <w:t>9-18-17</w:t>
            </w:r>
          </w:p>
        </w:tc>
        <w:tc>
          <w:tcPr>
            <w:tcW w:w="240" w:type="dxa"/>
            <w:vAlign w:val="bottom"/>
          </w:tcPr>
          <w:p>
            <w:pPr>
              <w:spacing w:after="0"/>
              <w:rPr>
                <w:sz w:val="12"/>
                <w:szCs w:val="12"/>
                <w:color w:val="auto"/>
              </w:rPr>
            </w:pPr>
          </w:p>
        </w:tc>
        <w:tc>
          <w:tcPr>
            <w:tcW w:w="1000" w:type="dxa"/>
            <w:vAlign w:val="bottom"/>
            <w:vMerge w:val="restart"/>
          </w:tcPr>
          <w:p>
            <w:pPr>
              <w:ind w:left="660"/>
              <w:spacing w:after="0"/>
              <w:rPr>
                <w:sz w:val="20"/>
                <w:szCs w:val="20"/>
                <w:color w:val="auto"/>
              </w:rPr>
            </w:pPr>
            <w:r>
              <w:rPr>
                <w:rFonts w:ascii="Arial" w:cs="Arial" w:eastAsia="Arial" w:hAnsi="Arial"/>
                <w:sz w:val="12"/>
                <w:szCs w:val="12"/>
                <w:color w:val="auto"/>
              </w:rPr>
              <w:t>4.2</w:t>
            </w: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00" w:type="dxa"/>
            <w:vAlign w:val="bottom"/>
          </w:tcPr>
          <w:p>
            <w:pPr>
              <w:ind w:left="360"/>
              <w:spacing w:after="0"/>
              <w:rPr>
                <w:sz w:val="20"/>
                <w:szCs w:val="20"/>
                <w:color w:val="auto"/>
              </w:rPr>
            </w:pPr>
            <w:r>
              <w:rPr>
                <w:rFonts w:ascii="Arial" w:cs="Arial" w:eastAsia="Arial" w:hAnsi="Arial"/>
                <w:sz w:val="12"/>
                <w:szCs w:val="12"/>
                <w:color w:val="auto"/>
              </w:rPr>
              <w:t>3-30-20</w:t>
            </w:r>
          </w:p>
        </w:tc>
        <w:tc>
          <w:tcPr>
            <w:tcW w:w="240" w:type="dxa"/>
            <w:vAlign w:val="bottom"/>
          </w:tcPr>
          <w:p>
            <w:pPr>
              <w:spacing w:after="0"/>
              <w:rPr>
                <w:sz w:val="12"/>
                <w:szCs w:val="12"/>
                <w:color w:val="auto"/>
              </w:rPr>
            </w:pPr>
          </w:p>
        </w:tc>
        <w:tc>
          <w:tcPr>
            <w:tcW w:w="1000" w:type="dxa"/>
            <w:vAlign w:val="bottom"/>
          </w:tcPr>
          <w:p>
            <w:pPr>
              <w:ind w:left="660"/>
              <w:spacing w:after="0"/>
              <w:rPr>
                <w:sz w:val="20"/>
                <w:szCs w:val="20"/>
                <w:color w:val="auto"/>
              </w:rPr>
            </w:pPr>
            <w:r>
              <w:rPr>
                <w:rFonts w:ascii="Arial" w:cs="Arial" w:eastAsia="Arial" w:hAnsi="Arial"/>
                <w:sz w:val="12"/>
                <w:szCs w:val="12"/>
                <w:color w:val="auto"/>
              </w:rPr>
              <w:t>4.3</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00" w:type="dxa"/>
            <w:vAlign w:val="bottom"/>
          </w:tcPr>
          <w:p>
            <w:pPr>
              <w:ind w:left="360"/>
              <w:spacing w:after="0"/>
              <w:rPr>
                <w:sz w:val="20"/>
                <w:szCs w:val="20"/>
                <w:color w:val="auto"/>
              </w:rPr>
            </w:pPr>
            <w:r>
              <w:rPr>
                <w:rFonts w:ascii="Arial" w:cs="Arial" w:eastAsia="Arial" w:hAnsi="Arial"/>
                <w:sz w:val="12"/>
                <w:szCs w:val="12"/>
                <w:color w:val="auto"/>
              </w:rPr>
              <w:t>3-30-20</w:t>
            </w:r>
          </w:p>
        </w:tc>
        <w:tc>
          <w:tcPr>
            <w:tcW w:w="240" w:type="dxa"/>
            <w:vAlign w:val="bottom"/>
          </w:tcPr>
          <w:p>
            <w:pPr>
              <w:spacing w:after="0"/>
              <w:rPr>
                <w:sz w:val="13"/>
                <w:szCs w:val="13"/>
                <w:color w:val="auto"/>
              </w:rPr>
            </w:pPr>
          </w:p>
        </w:tc>
        <w:tc>
          <w:tcPr>
            <w:tcW w:w="1000" w:type="dxa"/>
            <w:vAlign w:val="bottom"/>
          </w:tcPr>
          <w:p>
            <w:pPr>
              <w:ind w:left="660"/>
              <w:spacing w:after="0"/>
              <w:rPr>
                <w:sz w:val="20"/>
                <w:szCs w:val="20"/>
                <w:color w:val="auto"/>
              </w:rPr>
            </w:pPr>
            <w:r>
              <w:rPr>
                <w:rFonts w:ascii="Arial" w:cs="Arial" w:eastAsia="Arial" w:hAnsi="Arial"/>
                <w:sz w:val="12"/>
                <w:szCs w:val="12"/>
                <w:color w:val="auto"/>
              </w:rPr>
              <w:t>4.12</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360"/>
              <w:spacing w:after="0"/>
              <w:rPr>
                <w:sz w:val="20"/>
                <w:szCs w:val="20"/>
                <w:color w:val="auto"/>
              </w:rPr>
            </w:pPr>
            <w:r>
              <w:rPr>
                <w:rFonts w:ascii="Arial" w:cs="Arial" w:eastAsia="Arial" w:hAnsi="Arial"/>
                <w:sz w:val="12"/>
                <w:szCs w:val="12"/>
                <w:color w:val="auto"/>
              </w:rPr>
              <w:t>3-30-20</w:t>
            </w:r>
          </w:p>
        </w:tc>
        <w:tc>
          <w:tcPr>
            <w:tcW w:w="240" w:type="dxa"/>
            <w:vAlign w:val="bottom"/>
          </w:tcPr>
          <w:p>
            <w:pPr>
              <w:spacing w:after="0"/>
              <w:rPr>
                <w:sz w:val="24"/>
                <w:szCs w:val="24"/>
                <w:color w:val="auto"/>
              </w:rPr>
            </w:pPr>
          </w:p>
        </w:tc>
        <w:tc>
          <w:tcPr>
            <w:tcW w:w="1000" w:type="dxa"/>
            <w:vAlign w:val="bottom"/>
          </w:tcPr>
          <w:p>
            <w:pPr>
              <w:ind w:left="660"/>
              <w:spacing w:after="0"/>
              <w:rPr>
                <w:sz w:val="20"/>
                <w:szCs w:val="20"/>
                <w:color w:val="auto"/>
              </w:rPr>
            </w:pPr>
            <w:r>
              <w:rPr>
                <w:rFonts w:ascii="Arial" w:cs="Arial" w:eastAsia="Arial" w:hAnsi="Arial"/>
                <w:sz w:val="12"/>
                <w:szCs w:val="12"/>
                <w:color w:val="auto"/>
              </w:rPr>
              <w:t>4.13</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ind w:left="68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558"/>
        </w:trPr>
        <w:tc>
          <w:tcPr>
            <w:tcW w:w="1000" w:type="dxa"/>
            <w:vAlign w:val="bottom"/>
          </w:tcPr>
          <w:p>
            <w:pPr>
              <w:ind w:left="360"/>
              <w:spacing w:after="0"/>
              <w:rPr>
                <w:sz w:val="20"/>
                <w:szCs w:val="20"/>
                <w:color w:val="auto"/>
              </w:rPr>
            </w:pPr>
            <w:r>
              <w:rPr>
                <w:rFonts w:ascii="Arial" w:cs="Arial" w:eastAsia="Arial" w:hAnsi="Arial"/>
                <w:sz w:val="12"/>
                <w:szCs w:val="12"/>
                <w:color w:val="auto"/>
              </w:rPr>
              <w:t>4-30-20</w:t>
            </w:r>
          </w:p>
        </w:tc>
        <w:tc>
          <w:tcPr>
            <w:tcW w:w="240" w:type="dxa"/>
            <w:vAlign w:val="bottom"/>
          </w:tcPr>
          <w:p>
            <w:pPr>
              <w:spacing w:after="0"/>
              <w:rPr>
                <w:sz w:val="24"/>
                <w:szCs w:val="24"/>
                <w:color w:val="auto"/>
              </w:rPr>
            </w:pPr>
          </w:p>
        </w:tc>
        <w:tc>
          <w:tcPr>
            <w:tcW w:w="1000" w:type="dxa"/>
            <w:vAlign w:val="bottom"/>
          </w:tcPr>
          <w:p>
            <w:pPr>
              <w:ind w:left="660"/>
              <w:spacing w:after="0"/>
              <w:rPr>
                <w:sz w:val="20"/>
                <w:szCs w:val="20"/>
                <w:color w:val="auto"/>
              </w:rPr>
            </w:pPr>
            <w:r>
              <w:rPr>
                <w:rFonts w:ascii="Arial" w:cs="Arial" w:eastAsia="Arial" w:hAnsi="Arial"/>
                <w:sz w:val="12"/>
                <w:szCs w:val="12"/>
                <w:color w:val="auto"/>
              </w:rPr>
              <w:t>10.1</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1000" w:type="dxa"/>
            <w:vAlign w:val="bottom"/>
          </w:tcPr>
          <w:p>
            <w:pPr>
              <w:ind w:left="360"/>
              <w:spacing w:after="0"/>
              <w:rPr>
                <w:sz w:val="20"/>
                <w:szCs w:val="20"/>
                <w:color w:val="auto"/>
              </w:rPr>
            </w:pPr>
            <w:r>
              <w:rPr>
                <w:rFonts w:ascii="Arial" w:cs="Arial" w:eastAsia="Arial" w:hAnsi="Arial"/>
                <w:sz w:val="12"/>
                <w:szCs w:val="12"/>
                <w:color w:val="auto"/>
              </w:rPr>
              <w:t>3- 24-20</w:t>
            </w:r>
          </w:p>
        </w:tc>
        <w:tc>
          <w:tcPr>
            <w:tcW w:w="240" w:type="dxa"/>
            <w:vAlign w:val="bottom"/>
          </w:tcPr>
          <w:p>
            <w:pPr>
              <w:spacing w:after="0"/>
              <w:rPr>
                <w:sz w:val="24"/>
                <w:szCs w:val="24"/>
                <w:color w:val="auto"/>
              </w:rPr>
            </w:pPr>
          </w:p>
        </w:tc>
        <w:tc>
          <w:tcPr>
            <w:tcW w:w="1000" w:type="dxa"/>
            <w:vAlign w:val="bottom"/>
          </w:tcPr>
          <w:p>
            <w:pPr>
              <w:ind w:left="660"/>
              <w:spacing w:after="0"/>
              <w:rPr>
                <w:sz w:val="20"/>
                <w:szCs w:val="20"/>
                <w:color w:val="auto"/>
              </w:rPr>
            </w:pPr>
            <w:r>
              <w:rPr>
                <w:rFonts w:ascii="Arial" w:cs="Arial" w:eastAsia="Arial" w:hAnsi="Arial"/>
                <w:sz w:val="12"/>
                <w:szCs w:val="12"/>
                <w:color w:val="auto"/>
              </w:rPr>
              <w:t>10.1</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360"/>
              <w:spacing w:after="0"/>
              <w:rPr>
                <w:sz w:val="20"/>
                <w:szCs w:val="20"/>
                <w:color w:val="auto"/>
              </w:rPr>
            </w:pPr>
            <w:r>
              <w:rPr>
                <w:rFonts w:ascii="Arial" w:cs="Arial" w:eastAsia="Arial" w:hAnsi="Arial"/>
                <w:sz w:val="12"/>
                <w:szCs w:val="12"/>
                <w:color w:val="auto"/>
              </w:rPr>
              <w:t>3- 24-20</w:t>
            </w:r>
          </w:p>
        </w:tc>
        <w:tc>
          <w:tcPr>
            <w:tcW w:w="240" w:type="dxa"/>
            <w:vAlign w:val="bottom"/>
          </w:tcPr>
          <w:p>
            <w:pPr>
              <w:spacing w:after="0"/>
              <w:rPr>
                <w:sz w:val="24"/>
                <w:szCs w:val="24"/>
                <w:color w:val="auto"/>
              </w:rPr>
            </w:pPr>
          </w:p>
        </w:tc>
        <w:tc>
          <w:tcPr>
            <w:tcW w:w="1000" w:type="dxa"/>
            <w:vAlign w:val="bottom"/>
          </w:tcPr>
          <w:p>
            <w:pPr>
              <w:ind w:left="660"/>
              <w:spacing w:after="0"/>
              <w:rPr>
                <w:sz w:val="20"/>
                <w:szCs w:val="20"/>
                <w:color w:val="auto"/>
              </w:rPr>
            </w:pPr>
            <w:r>
              <w:rPr>
                <w:rFonts w:ascii="Arial" w:cs="Arial" w:eastAsia="Arial" w:hAnsi="Arial"/>
                <w:sz w:val="12"/>
                <w:szCs w:val="12"/>
                <w:color w:val="auto"/>
              </w:rPr>
              <w:t>10.2</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360"/>
              <w:spacing w:after="0"/>
              <w:rPr>
                <w:sz w:val="20"/>
                <w:szCs w:val="20"/>
                <w:color w:val="auto"/>
              </w:rPr>
            </w:pPr>
            <w:r>
              <w:rPr>
                <w:rFonts w:ascii="Arial" w:cs="Arial" w:eastAsia="Arial" w:hAnsi="Arial"/>
                <w:sz w:val="12"/>
                <w:szCs w:val="12"/>
                <w:color w:val="auto"/>
              </w:rPr>
              <w:t>3- 24-20</w:t>
            </w:r>
          </w:p>
        </w:tc>
        <w:tc>
          <w:tcPr>
            <w:tcW w:w="240" w:type="dxa"/>
            <w:vAlign w:val="bottom"/>
          </w:tcPr>
          <w:p>
            <w:pPr>
              <w:spacing w:after="0"/>
              <w:rPr>
                <w:sz w:val="24"/>
                <w:szCs w:val="24"/>
                <w:color w:val="auto"/>
              </w:rPr>
            </w:pPr>
          </w:p>
        </w:tc>
        <w:tc>
          <w:tcPr>
            <w:tcW w:w="1000" w:type="dxa"/>
            <w:vAlign w:val="bottom"/>
          </w:tcPr>
          <w:p>
            <w:pPr>
              <w:ind w:left="660"/>
              <w:spacing w:after="0"/>
              <w:rPr>
                <w:sz w:val="20"/>
                <w:szCs w:val="20"/>
                <w:color w:val="auto"/>
              </w:rPr>
            </w:pPr>
            <w:r>
              <w:rPr>
                <w:rFonts w:ascii="Arial" w:cs="Arial" w:eastAsia="Arial" w:hAnsi="Arial"/>
                <w:sz w:val="12"/>
                <w:szCs w:val="12"/>
                <w:color w:val="auto"/>
              </w:rPr>
              <w:t>10.3</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360"/>
              <w:spacing w:after="0"/>
              <w:rPr>
                <w:sz w:val="20"/>
                <w:szCs w:val="20"/>
                <w:color w:val="auto"/>
              </w:rPr>
            </w:pPr>
            <w:r>
              <w:rPr>
                <w:rFonts w:ascii="Arial" w:cs="Arial" w:eastAsia="Arial" w:hAnsi="Arial"/>
                <w:sz w:val="12"/>
                <w:szCs w:val="12"/>
                <w:color w:val="auto"/>
              </w:rPr>
              <w:t>3- 24-20</w:t>
            </w:r>
          </w:p>
        </w:tc>
        <w:tc>
          <w:tcPr>
            <w:tcW w:w="240" w:type="dxa"/>
            <w:vAlign w:val="bottom"/>
          </w:tcPr>
          <w:p>
            <w:pPr>
              <w:spacing w:after="0"/>
              <w:rPr>
                <w:sz w:val="24"/>
                <w:szCs w:val="24"/>
                <w:color w:val="auto"/>
              </w:rPr>
            </w:pPr>
          </w:p>
        </w:tc>
        <w:tc>
          <w:tcPr>
            <w:tcW w:w="1000" w:type="dxa"/>
            <w:vAlign w:val="bottom"/>
          </w:tcPr>
          <w:p>
            <w:pPr>
              <w:ind w:left="660"/>
              <w:spacing w:after="0"/>
              <w:rPr>
                <w:sz w:val="20"/>
                <w:szCs w:val="20"/>
                <w:color w:val="auto"/>
              </w:rPr>
            </w:pPr>
            <w:r>
              <w:rPr>
                <w:rFonts w:ascii="Arial" w:cs="Arial" w:eastAsia="Arial" w:hAnsi="Arial"/>
                <w:sz w:val="12"/>
                <w:szCs w:val="12"/>
                <w:color w:val="auto"/>
              </w:rPr>
              <w:t>10.4</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360"/>
              <w:spacing w:after="0"/>
              <w:rPr>
                <w:sz w:val="20"/>
                <w:szCs w:val="20"/>
                <w:color w:val="auto"/>
              </w:rPr>
            </w:pPr>
            <w:r>
              <w:rPr>
                <w:rFonts w:ascii="Arial" w:cs="Arial" w:eastAsia="Arial" w:hAnsi="Arial"/>
                <w:sz w:val="12"/>
                <w:szCs w:val="12"/>
                <w:color w:val="auto"/>
              </w:rPr>
              <w:t>3- 24-20</w:t>
            </w:r>
          </w:p>
        </w:tc>
        <w:tc>
          <w:tcPr>
            <w:tcW w:w="240" w:type="dxa"/>
            <w:vAlign w:val="bottom"/>
          </w:tcPr>
          <w:p>
            <w:pPr>
              <w:spacing w:after="0"/>
              <w:rPr>
                <w:sz w:val="24"/>
                <w:szCs w:val="24"/>
                <w:color w:val="auto"/>
              </w:rPr>
            </w:pPr>
          </w:p>
        </w:tc>
        <w:tc>
          <w:tcPr>
            <w:tcW w:w="1000" w:type="dxa"/>
            <w:vAlign w:val="bottom"/>
          </w:tcPr>
          <w:p>
            <w:pPr>
              <w:ind w:left="660"/>
              <w:spacing w:after="0"/>
              <w:rPr>
                <w:sz w:val="20"/>
                <w:szCs w:val="20"/>
                <w:color w:val="auto"/>
              </w:rPr>
            </w:pPr>
            <w:r>
              <w:rPr>
                <w:rFonts w:ascii="Arial" w:cs="Arial" w:eastAsia="Arial" w:hAnsi="Arial"/>
                <w:sz w:val="12"/>
                <w:szCs w:val="12"/>
                <w:color w:val="auto"/>
              </w:rPr>
              <w:t>10.5</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360"/>
              <w:spacing w:after="0"/>
              <w:rPr>
                <w:sz w:val="20"/>
                <w:szCs w:val="20"/>
                <w:color w:val="auto"/>
              </w:rPr>
            </w:pPr>
            <w:r>
              <w:rPr>
                <w:rFonts w:ascii="Arial" w:cs="Arial" w:eastAsia="Arial" w:hAnsi="Arial"/>
                <w:sz w:val="12"/>
                <w:szCs w:val="12"/>
                <w:color w:val="auto"/>
              </w:rPr>
              <w:t>4-30-20</w:t>
            </w:r>
          </w:p>
        </w:tc>
        <w:tc>
          <w:tcPr>
            <w:tcW w:w="240" w:type="dxa"/>
            <w:vAlign w:val="bottom"/>
          </w:tcPr>
          <w:p>
            <w:pPr>
              <w:spacing w:after="0"/>
              <w:rPr>
                <w:sz w:val="24"/>
                <w:szCs w:val="24"/>
                <w:color w:val="auto"/>
              </w:rPr>
            </w:pPr>
          </w:p>
        </w:tc>
        <w:tc>
          <w:tcPr>
            <w:tcW w:w="1000" w:type="dxa"/>
            <w:vAlign w:val="bottom"/>
          </w:tcPr>
          <w:p>
            <w:pPr>
              <w:ind w:left="660"/>
              <w:spacing w:after="0"/>
              <w:rPr>
                <w:sz w:val="20"/>
                <w:szCs w:val="20"/>
                <w:color w:val="auto"/>
              </w:rPr>
            </w:pPr>
            <w:r>
              <w:rPr>
                <w:rFonts w:ascii="Arial" w:cs="Arial" w:eastAsia="Arial" w:hAnsi="Arial"/>
                <w:sz w:val="12"/>
                <w:szCs w:val="12"/>
                <w:color w:val="auto"/>
              </w:rPr>
              <w:t>10.2</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360"/>
              <w:spacing w:after="0"/>
              <w:rPr>
                <w:sz w:val="20"/>
                <w:szCs w:val="20"/>
                <w:color w:val="auto"/>
              </w:rPr>
            </w:pPr>
            <w:r>
              <w:rPr>
                <w:rFonts w:ascii="Arial" w:cs="Arial" w:eastAsia="Arial" w:hAnsi="Arial"/>
                <w:sz w:val="12"/>
                <w:szCs w:val="12"/>
                <w:color w:val="auto"/>
              </w:rPr>
              <w:t>1-30-20</w:t>
            </w:r>
          </w:p>
        </w:tc>
        <w:tc>
          <w:tcPr>
            <w:tcW w:w="240" w:type="dxa"/>
            <w:vAlign w:val="bottom"/>
          </w:tcPr>
          <w:p>
            <w:pPr>
              <w:spacing w:after="0"/>
              <w:rPr>
                <w:sz w:val="24"/>
                <w:szCs w:val="24"/>
                <w:color w:val="auto"/>
              </w:rPr>
            </w:pPr>
          </w:p>
        </w:tc>
        <w:tc>
          <w:tcPr>
            <w:tcW w:w="1000" w:type="dxa"/>
            <w:vAlign w:val="bottom"/>
          </w:tcPr>
          <w:p>
            <w:pPr>
              <w:ind w:left="660"/>
              <w:spacing w:after="0"/>
              <w:rPr>
                <w:sz w:val="20"/>
                <w:szCs w:val="20"/>
                <w:color w:val="auto"/>
              </w:rPr>
            </w:pPr>
            <w:r>
              <w:rPr>
                <w:rFonts w:ascii="Arial" w:cs="Arial" w:eastAsia="Arial" w:hAnsi="Arial"/>
                <w:sz w:val="12"/>
                <w:szCs w:val="12"/>
                <w:color w:val="auto"/>
              </w:rPr>
              <w:t>10.1</w:t>
            </w:r>
          </w:p>
        </w:tc>
        <w:tc>
          <w:tcPr>
            <w:tcW w:w="240" w:type="dxa"/>
            <w:vAlign w:val="bottom"/>
          </w:tcPr>
          <w:p>
            <w:pPr>
              <w:spacing w:after="0"/>
              <w:rPr>
                <w:sz w:val="24"/>
                <w:szCs w:val="24"/>
                <w:color w:val="auto"/>
              </w:rPr>
            </w:pPr>
          </w:p>
        </w:tc>
        <w:tc>
          <w:tcPr>
            <w:tcW w:w="1020" w:type="dxa"/>
            <w:vAlign w:val="bottom"/>
            <w:vMerge w:val="restart"/>
          </w:tcPr>
          <w:p>
            <w:pPr>
              <w:ind w:left="68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44"/>
        </w:trPr>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2">
            <w:col w:w="7560" w:space="240"/>
            <w:col w:w="3500"/>
          </w:cols>
          <w:pgMar w:left="300" w:top="271" w:right="299" w:bottom="1440" w:gutter="0" w:footer="0" w:header="0"/>
        </w:sectPr>
      </w:pPr>
    </w:p>
    <w:bookmarkStart w:id="56" w:name="page57"/>
    <w:bookmarkEnd w:id="56"/>
    <w:p>
      <w:pPr>
        <w:spacing w:after="0" w:line="1" w:lineRule="exact"/>
        <w:rPr>
          <w:sz w:val="20"/>
          <w:szCs w:val="20"/>
          <w:color w:val="auto"/>
        </w:rPr>
      </w:pPr>
    </w:p>
    <w:tbl>
      <w:tblPr>
        <w:tblLayout w:type="fixed"/>
        <w:tblInd w:w="108" w:type="dxa"/>
        <w:tblCellMar>
          <w:top w:w="0" w:type="dxa"/>
          <w:left w:w="0" w:type="dxa"/>
          <w:bottom w:w="0" w:type="dxa"/>
          <w:right w:w="0" w:type="dxa"/>
        </w:tblCellMar>
      </w:tblPr>
      <w:tr>
        <w:trPr>
          <w:trHeight w:val="144"/>
        </w:trPr>
        <w:tc>
          <w:tcPr>
            <w:tcW w:w="1140" w:type="dxa"/>
            <w:vAlign w:val="bottom"/>
          </w:tcPr>
          <w:p>
            <w:pPr>
              <w:spacing w:after="0"/>
              <w:rPr>
                <w:sz w:val="20"/>
                <w:szCs w:val="20"/>
                <w:color w:val="auto"/>
              </w:rPr>
            </w:pPr>
            <w:r>
              <w:rPr>
                <w:rFonts w:ascii="Arial" w:cs="Arial" w:eastAsia="Arial" w:hAnsi="Arial"/>
                <w:sz w:val="12"/>
                <w:szCs w:val="12"/>
                <w:color w:val="auto"/>
              </w:rPr>
              <w:t>31.2</w:t>
            </w:r>
          </w:p>
        </w:tc>
        <w:tc>
          <w:tcPr>
            <w:tcW w:w="7680" w:type="dxa"/>
            <w:vAlign w:val="bottom"/>
            <w:gridSpan w:val="6"/>
          </w:tcPr>
          <w:p>
            <w:pPr>
              <w:spacing w:after="0"/>
              <w:rPr>
                <w:rFonts w:ascii="Arial" w:cs="Arial" w:eastAsia="Arial" w:hAnsi="Arial"/>
                <w:sz w:val="12"/>
                <w:szCs w:val="12"/>
                <w:u w:val="single" w:color="auto"/>
                <w:color w:val="0000EE"/>
              </w:rPr>
            </w:pPr>
            <w:hyperlink w:anchor="page73">
              <w:r>
                <w:rPr>
                  <w:rFonts w:ascii="Arial" w:cs="Arial" w:eastAsia="Arial" w:hAnsi="Arial"/>
                  <w:sz w:val="12"/>
                  <w:szCs w:val="12"/>
                  <w:u w:val="single" w:color="auto"/>
                  <w:color w:val="0000EE"/>
                </w:rPr>
                <w:t>Certification of Principal Financial Officer Pursuant to</w:t>
              </w:r>
            </w:hyperlink>
          </w:p>
        </w:tc>
        <w:tc>
          <w:tcPr>
            <w:tcW w:w="2140" w:type="dxa"/>
            <w:vAlign w:val="bottom"/>
          </w:tcPr>
          <w:p>
            <w:pPr>
              <w:ind w:left="2040"/>
              <w:spacing w:after="0"/>
              <w:rPr>
                <w:sz w:val="20"/>
                <w:szCs w:val="20"/>
                <w:color w:val="auto"/>
              </w:rPr>
            </w:pPr>
            <w:r>
              <w:rPr>
                <w:rFonts w:ascii="Arial" w:cs="Arial" w:eastAsia="Arial" w:hAnsi="Arial"/>
                <w:sz w:val="12"/>
                <w:szCs w:val="12"/>
                <w:color w:val="auto"/>
                <w:w w:val="99"/>
              </w:rPr>
              <w:t>X</w:t>
            </w:r>
          </w:p>
        </w:tc>
      </w:tr>
      <w:tr>
        <w:trPr>
          <w:trHeight w:val="126"/>
        </w:trPr>
        <w:tc>
          <w:tcPr>
            <w:tcW w:w="1140" w:type="dxa"/>
            <w:vAlign w:val="bottom"/>
          </w:tcPr>
          <w:p>
            <w:pPr>
              <w:spacing w:after="0"/>
              <w:rPr>
                <w:sz w:val="10"/>
                <w:szCs w:val="10"/>
                <w:color w:val="auto"/>
              </w:rPr>
            </w:pPr>
          </w:p>
        </w:tc>
        <w:tc>
          <w:tcPr>
            <w:tcW w:w="7680" w:type="dxa"/>
            <w:vAlign w:val="bottom"/>
            <w:gridSpan w:val="6"/>
          </w:tcPr>
          <w:p>
            <w:pPr>
              <w:spacing w:after="0" w:line="126" w:lineRule="exact"/>
              <w:rPr>
                <w:rFonts w:ascii="Arial" w:cs="Arial" w:eastAsia="Arial" w:hAnsi="Arial"/>
                <w:sz w:val="12"/>
                <w:szCs w:val="12"/>
                <w:color w:val="0000EE"/>
              </w:rPr>
            </w:pPr>
            <w:hyperlink w:anchor="page73">
              <w:r>
                <w:rPr>
                  <w:rFonts w:ascii="Arial" w:cs="Arial" w:eastAsia="Arial" w:hAnsi="Arial"/>
                  <w:sz w:val="12"/>
                  <w:szCs w:val="12"/>
                  <w:color w:val="0000EE"/>
                </w:rPr>
                <w:t>Rules 13a-14(a) and 15d-14(a) under the Securities Exchange Act of 1934, as Adopted Pursuant to Section 302 of the</w:t>
              </w:r>
            </w:hyperlink>
          </w:p>
        </w:tc>
        <w:tc>
          <w:tcPr>
            <w:tcW w:w="2140" w:type="dxa"/>
            <w:vAlign w:val="bottom"/>
          </w:tcPr>
          <w:p>
            <w:pPr>
              <w:spacing w:after="0"/>
              <w:rPr>
                <w:sz w:val="10"/>
                <w:szCs w:val="10"/>
                <w:color w:val="auto"/>
              </w:rPr>
            </w:pPr>
          </w:p>
        </w:tc>
      </w:tr>
      <w:tr>
        <w:trPr>
          <w:trHeight w:val="124"/>
        </w:trPr>
        <w:tc>
          <w:tcPr>
            <w:tcW w:w="1140" w:type="dxa"/>
            <w:vAlign w:val="bottom"/>
          </w:tcPr>
          <w:p>
            <w:pPr>
              <w:spacing w:after="0"/>
              <w:rPr>
                <w:sz w:val="10"/>
                <w:szCs w:val="10"/>
                <w:color w:val="auto"/>
              </w:rPr>
            </w:pPr>
          </w:p>
        </w:tc>
        <w:tc>
          <w:tcPr>
            <w:tcW w:w="5640" w:type="dxa"/>
            <w:vAlign w:val="bottom"/>
            <w:tcBorders>
              <w:top w:val="single" w:sz="8" w:color="0000EE"/>
            </w:tcBorders>
            <w:gridSpan w:val="5"/>
          </w:tcPr>
          <w:p>
            <w:pPr>
              <w:spacing w:after="0" w:line="124" w:lineRule="exact"/>
              <w:rPr>
                <w:rFonts w:ascii="Arial" w:cs="Arial" w:eastAsia="Arial" w:hAnsi="Arial"/>
                <w:sz w:val="12"/>
                <w:szCs w:val="12"/>
                <w:color w:val="0000EE"/>
              </w:rPr>
            </w:pPr>
            <w:hyperlink w:anchor="page73">
              <w:r>
                <w:rPr>
                  <w:rFonts w:ascii="Arial" w:cs="Arial" w:eastAsia="Arial" w:hAnsi="Arial"/>
                  <w:sz w:val="12"/>
                  <w:szCs w:val="12"/>
                  <w:color w:val="0000EE"/>
                </w:rPr>
                <w:t>Sarbanes- Oxley Act of 2002.</w:t>
              </w:r>
            </w:hyperlink>
          </w:p>
        </w:tc>
        <w:tc>
          <w:tcPr>
            <w:tcW w:w="2040" w:type="dxa"/>
            <w:vAlign w:val="bottom"/>
          </w:tcPr>
          <w:p>
            <w:pPr>
              <w:spacing w:after="0"/>
              <w:rPr>
                <w:sz w:val="10"/>
                <w:szCs w:val="10"/>
                <w:color w:val="auto"/>
              </w:rPr>
            </w:pPr>
          </w:p>
        </w:tc>
        <w:tc>
          <w:tcPr>
            <w:tcW w:w="2140" w:type="dxa"/>
            <w:vAlign w:val="bottom"/>
          </w:tcPr>
          <w:p>
            <w:pPr>
              <w:spacing w:after="0"/>
              <w:rPr>
                <w:sz w:val="10"/>
                <w:szCs w:val="10"/>
                <w:color w:val="auto"/>
              </w:rPr>
            </w:pPr>
          </w:p>
        </w:tc>
      </w:tr>
      <w:tr>
        <w:trPr>
          <w:trHeight w:val="20"/>
        </w:trPr>
        <w:tc>
          <w:tcPr>
            <w:tcW w:w="114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24"/>
        </w:trPr>
        <w:tc>
          <w:tcPr>
            <w:tcW w:w="1140" w:type="dxa"/>
            <w:vAlign w:val="bottom"/>
          </w:tcPr>
          <w:p>
            <w:pPr>
              <w:spacing w:after="0" w:line="124" w:lineRule="exact"/>
              <w:rPr>
                <w:sz w:val="20"/>
                <w:szCs w:val="20"/>
                <w:color w:val="auto"/>
              </w:rPr>
            </w:pPr>
            <w:r>
              <w:rPr>
                <w:rFonts w:ascii="Arial" w:cs="Arial" w:eastAsia="Arial" w:hAnsi="Arial"/>
                <w:sz w:val="12"/>
                <w:szCs w:val="12"/>
                <w:color w:val="auto"/>
              </w:rPr>
              <w:t>32.1*</w:t>
            </w:r>
          </w:p>
        </w:tc>
        <w:tc>
          <w:tcPr>
            <w:tcW w:w="5600" w:type="dxa"/>
            <w:vAlign w:val="bottom"/>
            <w:tcBorders>
              <w:bottom w:val="single" w:sz="8" w:color="0000EE"/>
            </w:tcBorders>
            <w:gridSpan w:val="4"/>
          </w:tcPr>
          <w:p>
            <w:pPr>
              <w:spacing w:after="0" w:line="124" w:lineRule="exact"/>
              <w:rPr>
                <w:rFonts w:ascii="Arial" w:cs="Arial" w:eastAsia="Arial" w:hAnsi="Arial"/>
                <w:sz w:val="12"/>
                <w:szCs w:val="12"/>
                <w:color w:val="0000EE"/>
                <w:w w:val="91"/>
              </w:rPr>
            </w:pPr>
            <w:hyperlink w:anchor="page75">
              <w:r>
                <w:rPr>
                  <w:rFonts w:ascii="Arial" w:cs="Arial" w:eastAsia="Arial" w:hAnsi="Arial"/>
                  <w:sz w:val="12"/>
                  <w:szCs w:val="12"/>
                  <w:color w:val="0000EE"/>
                  <w:w w:val="91"/>
                </w:rPr>
                <w:t>Certification of Principal Executive Officer Pursuant to 18 U.S.C. Section 1350, as Adopted Pursuant to Section 906</w:t>
              </w:r>
            </w:hyperlink>
          </w:p>
        </w:tc>
        <w:tc>
          <w:tcPr>
            <w:tcW w:w="2080" w:type="dxa"/>
            <w:vAlign w:val="bottom"/>
            <w:gridSpan w:val="2"/>
          </w:tcPr>
          <w:p>
            <w:pPr>
              <w:spacing w:after="0"/>
              <w:rPr>
                <w:sz w:val="10"/>
                <w:szCs w:val="10"/>
                <w:color w:val="auto"/>
              </w:rPr>
            </w:pPr>
          </w:p>
        </w:tc>
        <w:tc>
          <w:tcPr>
            <w:tcW w:w="2140" w:type="dxa"/>
            <w:vAlign w:val="bottom"/>
          </w:tcPr>
          <w:p>
            <w:pPr>
              <w:ind w:left="2040"/>
              <w:spacing w:after="0" w:line="124" w:lineRule="exact"/>
              <w:rPr>
                <w:sz w:val="20"/>
                <w:szCs w:val="20"/>
                <w:color w:val="auto"/>
              </w:rPr>
            </w:pPr>
            <w:r>
              <w:rPr>
                <w:rFonts w:ascii="Arial" w:cs="Arial" w:eastAsia="Arial" w:hAnsi="Arial"/>
                <w:sz w:val="12"/>
                <w:szCs w:val="12"/>
                <w:color w:val="auto"/>
                <w:w w:val="99"/>
              </w:rPr>
              <w:t>X</w:t>
            </w:r>
          </w:p>
        </w:tc>
      </w:tr>
      <w:tr>
        <w:trPr>
          <w:trHeight w:val="124"/>
        </w:trPr>
        <w:tc>
          <w:tcPr>
            <w:tcW w:w="1140" w:type="dxa"/>
            <w:vAlign w:val="bottom"/>
          </w:tcPr>
          <w:p>
            <w:pPr>
              <w:spacing w:after="0"/>
              <w:rPr>
                <w:sz w:val="10"/>
                <w:szCs w:val="10"/>
                <w:color w:val="auto"/>
              </w:rPr>
            </w:pPr>
          </w:p>
        </w:tc>
        <w:tc>
          <w:tcPr>
            <w:tcW w:w="7680" w:type="dxa"/>
            <w:vAlign w:val="bottom"/>
            <w:gridSpan w:val="6"/>
          </w:tcPr>
          <w:p>
            <w:pPr>
              <w:spacing w:after="0" w:line="124" w:lineRule="exact"/>
              <w:rPr>
                <w:rFonts w:ascii="Arial" w:cs="Arial" w:eastAsia="Arial" w:hAnsi="Arial"/>
                <w:sz w:val="12"/>
                <w:szCs w:val="12"/>
                <w:color w:val="0000EE"/>
              </w:rPr>
            </w:pPr>
            <w:hyperlink w:anchor="page75">
              <w:r>
                <w:rPr>
                  <w:rFonts w:ascii="Arial" w:cs="Arial" w:eastAsia="Arial" w:hAnsi="Arial"/>
                  <w:sz w:val="12"/>
                  <w:szCs w:val="12"/>
                  <w:color w:val="0000EE"/>
                </w:rPr>
                <w:t>of the Sarbanes-Oxley Act of 2002.</w:t>
              </w:r>
            </w:hyperlink>
          </w:p>
        </w:tc>
        <w:tc>
          <w:tcPr>
            <w:tcW w:w="2140" w:type="dxa"/>
            <w:vAlign w:val="bottom"/>
          </w:tcPr>
          <w:p>
            <w:pPr>
              <w:spacing w:after="0"/>
              <w:rPr>
                <w:sz w:val="10"/>
                <w:szCs w:val="10"/>
                <w:color w:val="auto"/>
              </w:rPr>
            </w:pPr>
          </w:p>
        </w:tc>
      </w:tr>
      <w:tr>
        <w:trPr>
          <w:trHeight w:val="20"/>
        </w:trPr>
        <w:tc>
          <w:tcPr>
            <w:tcW w:w="114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24"/>
        </w:trPr>
        <w:tc>
          <w:tcPr>
            <w:tcW w:w="1140" w:type="dxa"/>
            <w:vAlign w:val="bottom"/>
          </w:tcPr>
          <w:p>
            <w:pPr>
              <w:spacing w:after="0" w:line="124" w:lineRule="exact"/>
              <w:rPr>
                <w:sz w:val="20"/>
                <w:szCs w:val="20"/>
                <w:color w:val="auto"/>
              </w:rPr>
            </w:pPr>
            <w:r>
              <w:rPr>
                <w:rFonts w:ascii="Arial" w:cs="Arial" w:eastAsia="Arial" w:hAnsi="Arial"/>
                <w:sz w:val="12"/>
                <w:szCs w:val="12"/>
                <w:color w:val="auto"/>
              </w:rPr>
              <w:t>32.2*</w:t>
            </w:r>
          </w:p>
        </w:tc>
        <w:tc>
          <w:tcPr>
            <w:tcW w:w="7680" w:type="dxa"/>
            <w:vAlign w:val="bottom"/>
            <w:gridSpan w:val="6"/>
          </w:tcPr>
          <w:p>
            <w:pPr>
              <w:spacing w:after="0" w:line="124" w:lineRule="exact"/>
              <w:rPr>
                <w:rFonts w:ascii="Arial" w:cs="Arial" w:eastAsia="Arial" w:hAnsi="Arial"/>
                <w:sz w:val="12"/>
                <w:szCs w:val="12"/>
                <w:color w:val="0000EE"/>
              </w:rPr>
            </w:pPr>
            <w:hyperlink w:anchor="page77">
              <w:r>
                <w:rPr>
                  <w:rFonts w:ascii="Arial" w:cs="Arial" w:eastAsia="Arial" w:hAnsi="Arial"/>
                  <w:sz w:val="12"/>
                  <w:szCs w:val="12"/>
                  <w:color w:val="0000EE"/>
                </w:rPr>
                <w:t>Certification of Principal Financial Officer Pursuant to 18 U.S.C. Section 1350, as Adopted Pursuant to Section 906</w:t>
              </w:r>
            </w:hyperlink>
          </w:p>
        </w:tc>
        <w:tc>
          <w:tcPr>
            <w:tcW w:w="2140" w:type="dxa"/>
            <w:vAlign w:val="bottom"/>
          </w:tcPr>
          <w:p>
            <w:pPr>
              <w:ind w:left="2040"/>
              <w:spacing w:after="0" w:line="124" w:lineRule="exact"/>
              <w:rPr>
                <w:sz w:val="20"/>
                <w:szCs w:val="20"/>
                <w:color w:val="auto"/>
              </w:rPr>
            </w:pPr>
            <w:r>
              <w:rPr>
                <w:rFonts w:ascii="Arial" w:cs="Arial" w:eastAsia="Arial" w:hAnsi="Arial"/>
                <w:sz w:val="12"/>
                <w:szCs w:val="12"/>
                <w:color w:val="auto"/>
                <w:w w:val="99"/>
              </w:rPr>
              <w:t>X</w:t>
            </w:r>
          </w:p>
        </w:tc>
      </w:tr>
      <w:tr>
        <w:trPr>
          <w:trHeight w:val="124"/>
        </w:trPr>
        <w:tc>
          <w:tcPr>
            <w:tcW w:w="1140" w:type="dxa"/>
            <w:vAlign w:val="bottom"/>
          </w:tcPr>
          <w:p>
            <w:pPr>
              <w:spacing w:after="0"/>
              <w:rPr>
                <w:sz w:val="10"/>
                <w:szCs w:val="10"/>
                <w:color w:val="auto"/>
              </w:rPr>
            </w:pPr>
          </w:p>
        </w:tc>
        <w:tc>
          <w:tcPr>
            <w:tcW w:w="5560" w:type="dxa"/>
            <w:vAlign w:val="bottom"/>
            <w:tcBorders>
              <w:top w:val="single" w:sz="8" w:color="0000EE"/>
            </w:tcBorders>
            <w:gridSpan w:val="3"/>
          </w:tcPr>
          <w:p>
            <w:pPr>
              <w:spacing w:after="0" w:line="124" w:lineRule="exact"/>
              <w:rPr>
                <w:rFonts w:ascii="Arial" w:cs="Arial" w:eastAsia="Arial" w:hAnsi="Arial"/>
                <w:sz w:val="12"/>
                <w:szCs w:val="12"/>
                <w:color w:val="0000EE"/>
              </w:rPr>
            </w:pPr>
            <w:hyperlink w:anchor="page77">
              <w:r>
                <w:rPr>
                  <w:rFonts w:ascii="Arial" w:cs="Arial" w:eastAsia="Arial" w:hAnsi="Arial"/>
                  <w:sz w:val="12"/>
                  <w:szCs w:val="12"/>
                  <w:color w:val="0000EE"/>
                </w:rPr>
                <w:t>of the Sarbanes-Oxley Act of 2002.</w:t>
              </w:r>
            </w:hyperlink>
          </w:p>
        </w:tc>
        <w:tc>
          <w:tcPr>
            <w:tcW w:w="2120" w:type="dxa"/>
            <w:vAlign w:val="bottom"/>
            <w:gridSpan w:val="3"/>
          </w:tcPr>
          <w:p>
            <w:pPr>
              <w:spacing w:after="0"/>
              <w:rPr>
                <w:sz w:val="10"/>
                <w:szCs w:val="10"/>
                <w:color w:val="auto"/>
              </w:rPr>
            </w:pPr>
          </w:p>
        </w:tc>
        <w:tc>
          <w:tcPr>
            <w:tcW w:w="2140" w:type="dxa"/>
            <w:vAlign w:val="bottom"/>
          </w:tcPr>
          <w:p>
            <w:pPr>
              <w:spacing w:after="0"/>
              <w:rPr>
                <w:sz w:val="10"/>
                <w:szCs w:val="10"/>
                <w:color w:val="auto"/>
              </w:rPr>
            </w:pPr>
          </w:p>
        </w:tc>
      </w:tr>
      <w:tr>
        <w:trPr>
          <w:trHeight w:val="142"/>
        </w:trPr>
        <w:tc>
          <w:tcPr>
            <w:tcW w:w="1140" w:type="dxa"/>
            <w:vAlign w:val="bottom"/>
          </w:tcPr>
          <w:p>
            <w:pPr>
              <w:spacing w:after="0"/>
              <w:rPr>
                <w:sz w:val="20"/>
                <w:szCs w:val="20"/>
                <w:color w:val="auto"/>
              </w:rPr>
            </w:pPr>
            <w:r>
              <w:rPr>
                <w:rFonts w:ascii="Arial" w:cs="Arial" w:eastAsia="Arial" w:hAnsi="Arial"/>
                <w:sz w:val="12"/>
                <w:szCs w:val="12"/>
                <w:color w:val="auto"/>
              </w:rPr>
              <w:t>101.INS</w:t>
            </w:r>
          </w:p>
        </w:tc>
        <w:tc>
          <w:tcPr>
            <w:tcW w:w="1700" w:type="dxa"/>
            <w:vAlign w:val="bottom"/>
            <w:tcBorders>
              <w:top w:val="single" w:sz="8" w:color="0000EE"/>
            </w:tcBorders>
            <w:gridSpan w:val="2"/>
          </w:tcPr>
          <w:p>
            <w:pPr>
              <w:spacing w:after="0"/>
              <w:rPr>
                <w:sz w:val="20"/>
                <w:szCs w:val="20"/>
                <w:color w:val="auto"/>
              </w:rPr>
            </w:pPr>
            <w:r>
              <w:rPr>
                <w:rFonts w:ascii="Arial" w:cs="Arial" w:eastAsia="Arial" w:hAnsi="Arial"/>
                <w:sz w:val="12"/>
                <w:szCs w:val="12"/>
                <w:color w:val="auto"/>
              </w:rPr>
              <w:t>XBRL Instance Document</w:t>
            </w:r>
          </w:p>
        </w:tc>
        <w:tc>
          <w:tcPr>
            <w:tcW w:w="5980" w:type="dxa"/>
            <w:vAlign w:val="bottom"/>
            <w:gridSpan w:val="4"/>
          </w:tcPr>
          <w:p>
            <w:pPr>
              <w:spacing w:after="0"/>
              <w:rPr>
                <w:sz w:val="12"/>
                <w:szCs w:val="12"/>
                <w:color w:val="auto"/>
              </w:rPr>
            </w:pPr>
          </w:p>
        </w:tc>
        <w:tc>
          <w:tcPr>
            <w:tcW w:w="2140" w:type="dxa"/>
            <w:vAlign w:val="bottom"/>
          </w:tcPr>
          <w:p>
            <w:pPr>
              <w:ind w:left="2040"/>
              <w:spacing w:after="0"/>
              <w:rPr>
                <w:sz w:val="20"/>
                <w:szCs w:val="20"/>
                <w:color w:val="auto"/>
              </w:rPr>
            </w:pPr>
            <w:r>
              <w:rPr>
                <w:rFonts w:ascii="Arial" w:cs="Arial" w:eastAsia="Arial" w:hAnsi="Arial"/>
                <w:sz w:val="12"/>
                <w:szCs w:val="12"/>
                <w:color w:val="auto"/>
                <w:w w:val="99"/>
              </w:rPr>
              <w:t>X</w:t>
            </w:r>
          </w:p>
        </w:tc>
      </w:tr>
      <w:tr>
        <w:trPr>
          <w:trHeight w:val="144"/>
        </w:trPr>
        <w:tc>
          <w:tcPr>
            <w:tcW w:w="1140" w:type="dxa"/>
            <w:vAlign w:val="bottom"/>
          </w:tcPr>
          <w:p>
            <w:pPr>
              <w:spacing w:after="0"/>
              <w:rPr>
                <w:sz w:val="20"/>
                <w:szCs w:val="20"/>
                <w:color w:val="auto"/>
              </w:rPr>
            </w:pPr>
            <w:r>
              <w:rPr>
                <w:rFonts w:ascii="Arial" w:cs="Arial" w:eastAsia="Arial" w:hAnsi="Arial"/>
                <w:sz w:val="12"/>
                <w:szCs w:val="12"/>
                <w:color w:val="auto"/>
              </w:rPr>
              <w:t>101.SCH</w:t>
            </w:r>
          </w:p>
        </w:tc>
        <w:tc>
          <w:tcPr>
            <w:tcW w:w="7680" w:type="dxa"/>
            <w:vAlign w:val="bottom"/>
            <w:gridSpan w:val="6"/>
          </w:tcPr>
          <w:p>
            <w:pPr>
              <w:spacing w:after="0"/>
              <w:rPr>
                <w:sz w:val="20"/>
                <w:szCs w:val="20"/>
                <w:color w:val="auto"/>
              </w:rPr>
            </w:pPr>
            <w:r>
              <w:rPr>
                <w:rFonts w:ascii="Arial" w:cs="Arial" w:eastAsia="Arial" w:hAnsi="Arial"/>
                <w:sz w:val="12"/>
                <w:szCs w:val="12"/>
                <w:color w:val="auto"/>
              </w:rPr>
              <w:t>XBRL Taxonomy Extension Schema Document</w:t>
            </w:r>
          </w:p>
        </w:tc>
        <w:tc>
          <w:tcPr>
            <w:tcW w:w="2140" w:type="dxa"/>
            <w:vAlign w:val="bottom"/>
          </w:tcPr>
          <w:p>
            <w:pPr>
              <w:ind w:left="2040"/>
              <w:spacing w:after="0"/>
              <w:rPr>
                <w:sz w:val="20"/>
                <w:szCs w:val="20"/>
                <w:color w:val="auto"/>
              </w:rPr>
            </w:pPr>
            <w:r>
              <w:rPr>
                <w:rFonts w:ascii="Arial" w:cs="Arial" w:eastAsia="Arial" w:hAnsi="Arial"/>
                <w:sz w:val="12"/>
                <w:szCs w:val="12"/>
                <w:color w:val="auto"/>
                <w:w w:val="99"/>
              </w:rPr>
              <w:t>X</w:t>
            </w:r>
          </w:p>
        </w:tc>
      </w:tr>
      <w:tr>
        <w:trPr>
          <w:trHeight w:val="144"/>
        </w:trPr>
        <w:tc>
          <w:tcPr>
            <w:tcW w:w="1140" w:type="dxa"/>
            <w:vAlign w:val="bottom"/>
          </w:tcPr>
          <w:p>
            <w:pPr>
              <w:spacing w:after="0"/>
              <w:rPr>
                <w:sz w:val="20"/>
                <w:szCs w:val="20"/>
                <w:color w:val="auto"/>
              </w:rPr>
            </w:pPr>
            <w:r>
              <w:rPr>
                <w:rFonts w:ascii="Arial" w:cs="Arial" w:eastAsia="Arial" w:hAnsi="Arial"/>
                <w:sz w:val="12"/>
                <w:szCs w:val="12"/>
                <w:color w:val="auto"/>
              </w:rPr>
              <w:t>101.CAL</w:t>
            </w:r>
          </w:p>
        </w:tc>
        <w:tc>
          <w:tcPr>
            <w:tcW w:w="7680" w:type="dxa"/>
            <w:vAlign w:val="bottom"/>
            <w:gridSpan w:val="6"/>
          </w:tcPr>
          <w:p>
            <w:pPr>
              <w:spacing w:after="0"/>
              <w:rPr>
                <w:sz w:val="20"/>
                <w:szCs w:val="20"/>
                <w:color w:val="auto"/>
              </w:rPr>
            </w:pPr>
            <w:r>
              <w:rPr>
                <w:rFonts w:ascii="Arial" w:cs="Arial" w:eastAsia="Arial" w:hAnsi="Arial"/>
                <w:sz w:val="12"/>
                <w:szCs w:val="12"/>
                <w:color w:val="auto"/>
              </w:rPr>
              <w:t>XBRL Taxonomy Extension Calculation Linkbase Document</w:t>
            </w:r>
          </w:p>
        </w:tc>
        <w:tc>
          <w:tcPr>
            <w:tcW w:w="2140" w:type="dxa"/>
            <w:vAlign w:val="bottom"/>
          </w:tcPr>
          <w:p>
            <w:pPr>
              <w:ind w:left="2040"/>
              <w:spacing w:after="0"/>
              <w:rPr>
                <w:sz w:val="20"/>
                <w:szCs w:val="20"/>
                <w:color w:val="auto"/>
              </w:rPr>
            </w:pPr>
            <w:r>
              <w:rPr>
                <w:rFonts w:ascii="Arial" w:cs="Arial" w:eastAsia="Arial" w:hAnsi="Arial"/>
                <w:sz w:val="12"/>
                <w:szCs w:val="12"/>
                <w:color w:val="auto"/>
                <w:w w:val="99"/>
              </w:rPr>
              <w:t>X</w:t>
            </w:r>
          </w:p>
        </w:tc>
      </w:tr>
      <w:tr>
        <w:trPr>
          <w:trHeight w:val="144"/>
        </w:trPr>
        <w:tc>
          <w:tcPr>
            <w:tcW w:w="1140" w:type="dxa"/>
            <w:vAlign w:val="bottom"/>
          </w:tcPr>
          <w:p>
            <w:pPr>
              <w:spacing w:after="0"/>
              <w:rPr>
                <w:sz w:val="20"/>
                <w:szCs w:val="20"/>
                <w:color w:val="auto"/>
              </w:rPr>
            </w:pPr>
            <w:r>
              <w:rPr>
                <w:rFonts w:ascii="Arial" w:cs="Arial" w:eastAsia="Arial" w:hAnsi="Arial"/>
                <w:sz w:val="12"/>
                <w:szCs w:val="12"/>
                <w:color w:val="auto"/>
              </w:rPr>
              <w:t>101.DEF</w:t>
            </w:r>
          </w:p>
        </w:tc>
        <w:tc>
          <w:tcPr>
            <w:tcW w:w="7680" w:type="dxa"/>
            <w:vAlign w:val="bottom"/>
            <w:gridSpan w:val="6"/>
          </w:tcPr>
          <w:p>
            <w:pPr>
              <w:spacing w:after="0"/>
              <w:rPr>
                <w:sz w:val="20"/>
                <w:szCs w:val="20"/>
                <w:color w:val="auto"/>
              </w:rPr>
            </w:pPr>
            <w:r>
              <w:rPr>
                <w:rFonts w:ascii="Arial" w:cs="Arial" w:eastAsia="Arial" w:hAnsi="Arial"/>
                <w:sz w:val="12"/>
                <w:szCs w:val="12"/>
                <w:color w:val="auto"/>
              </w:rPr>
              <w:t>XBRL Taxonomy Extension Definition Linkbase Document</w:t>
            </w:r>
          </w:p>
        </w:tc>
        <w:tc>
          <w:tcPr>
            <w:tcW w:w="2140" w:type="dxa"/>
            <w:vAlign w:val="bottom"/>
          </w:tcPr>
          <w:p>
            <w:pPr>
              <w:ind w:left="2040"/>
              <w:spacing w:after="0"/>
              <w:rPr>
                <w:sz w:val="20"/>
                <w:szCs w:val="20"/>
                <w:color w:val="auto"/>
              </w:rPr>
            </w:pPr>
            <w:r>
              <w:rPr>
                <w:rFonts w:ascii="Arial" w:cs="Arial" w:eastAsia="Arial" w:hAnsi="Arial"/>
                <w:sz w:val="12"/>
                <w:szCs w:val="12"/>
                <w:color w:val="auto"/>
                <w:w w:val="99"/>
              </w:rPr>
              <w:t>X</w:t>
            </w:r>
          </w:p>
        </w:tc>
      </w:tr>
      <w:tr>
        <w:trPr>
          <w:trHeight w:val="144"/>
        </w:trPr>
        <w:tc>
          <w:tcPr>
            <w:tcW w:w="1140" w:type="dxa"/>
            <w:vAlign w:val="bottom"/>
          </w:tcPr>
          <w:p>
            <w:pPr>
              <w:spacing w:after="0"/>
              <w:rPr>
                <w:sz w:val="20"/>
                <w:szCs w:val="20"/>
                <w:color w:val="auto"/>
              </w:rPr>
            </w:pPr>
            <w:r>
              <w:rPr>
                <w:rFonts w:ascii="Arial" w:cs="Arial" w:eastAsia="Arial" w:hAnsi="Arial"/>
                <w:sz w:val="12"/>
                <w:szCs w:val="12"/>
                <w:color w:val="auto"/>
              </w:rPr>
              <w:t>101.LAB</w:t>
            </w:r>
          </w:p>
        </w:tc>
        <w:tc>
          <w:tcPr>
            <w:tcW w:w="7680" w:type="dxa"/>
            <w:vAlign w:val="bottom"/>
            <w:gridSpan w:val="6"/>
          </w:tcPr>
          <w:p>
            <w:pPr>
              <w:spacing w:after="0"/>
              <w:rPr>
                <w:sz w:val="20"/>
                <w:szCs w:val="20"/>
                <w:color w:val="auto"/>
              </w:rPr>
            </w:pPr>
            <w:r>
              <w:rPr>
                <w:rFonts w:ascii="Arial" w:cs="Arial" w:eastAsia="Arial" w:hAnsi="Arial"/>
                <w:sz w:val="12"/>
                <w:szCs w:val="12"/>
                <w:color w:val="auto"/>
              </w:rPr>
              <w:t>XBRL Taxonomy Extension Label Linkbase Document</w:t>
            </w:r>
          </w:p>
        </w:tc>
        <w:tc>
          <w:tcPr>
            <w:tcW w:w="2140" w:type="dxa"/>
            <w:vAlign w:val="bottom"/>
          </w:tcPr>
          <w:p>
            <w:pPr>
              <w:ind w:left="2040"/>
              <w:spacing w:after="0"/>
              <w:rPr>
                <w:sz w:val="20"/>
                <w:szCs w:val="20"/>
                <w:color w:val="auto"/>
              </w:rPr>
            </w:pPr>
            <w:r>
              <w:rPr>
                <w:rFonts w:ascii="Arial" w:cs="Arial" w:eastAsia="Arial" w:hAnsi="Arial"/>
                <w:sz w:val="12"/>
                <w:szCs w:val="12"/>
                <w:color w:val="auto"/>
                <w:w w:val="99"/>
              </w:rPr>
              <w:t>X</w:t>
            </w:r>
          </w:p>
        </w:tc>
      </w:tr>
      <w:tr>
        <w:trPr>
          <w:trHeight w:val="153"/>
        </w:trPr>
        <w:tc>
          <w:tcPr>
            <w:tcW w:w="1140" w:type="dxa"/>
            <w:vAlign w:val="bottom"/>
          </w:tcPr>
          <w:p>
            <w:pPr>
              <w:spacing w:after="0"/>
              <w:rPr>
                <w:sz w:val="20"/>
                <w:szCs w:val="20"/>
                <w:color w:val="auto"/>
              </w:rPr>
            </w:pPr>
            <w:r>
              <w:rPr>
                <w:rFonts w:ascii="Arial" w:cs="Arial" w:eastAsia="Arial" w:hAnsi="Arial"/>
                <w:sz w:val="12"/>
                <w:szCs w:val="12"/>
                <w:color w:val="auto"/>
              </w:rPr>
              <w:t>101.PRE</w:t>
            </w:r>
          </w:p>
        </w:tc>
        <w:tc>
          <w:tcPr>
            <w:tcW w:w="7680" w:type="dxa"/>
            <w:vAlign w:val="bottom"/>
            <w:gridSpan w:val="6"/>
          </w:tcPr>
          <w:p>
            <w:pPr>
              <w:spacing w:after="0"/>
              <w:rPr>
                <w:sz w:val="20"/>
                <w:szCs w:val="20"/>
                <w:color w:val="auto"/>
              </w:rPr>
            </w:pPr>
            <w:r>
              <w:rPr>
                <w:rFonts w:ascii="Arial" w:cs="Arial" w:eastAsia="Arial" w:hAnsi="Arial"/>
                <w:sz w:val="12"/>
                <w:szCs w:val="12"/>
                <w:color w:val="auto"/>
              </w:rPr>
              <w:t>XBRL Taxonomy Extension Presentation Linkbase Document</w:t>
            </w:r>
          </w:p>
        </w:tc>
        <w:tc>
          <w:tcPr>
            <w:tcW w:w="2140" w:type="dxa"/>
            <w:vAlign w:val="bottom"/>
          </w:tcPr>
          <w:p>
            <w:pPr>
              <w:ind w:left="2040"/>
              <w:spacing w:after="0"/>
              <w:rPr>
                <w:sz w:val="20"/>
                <w:szCs w:val="20"/>
                <w:color w:val="auto"/>
              </w:rPr>
            </w:pPr>
            <w:r>
              <w:rPr>
                <w:rFonts w:ascii="Arial" w:cs="Arial" w:eastAsia="Arial" w:hAnsi="Arial"/>
                <w:sz w:val="12"/>
                <w:szCs w:val="12"/>
                <w:color w:val="auto"/>
                <w:w w:val="99"/>
              </w:rPr>
              <w:t>X</w:t>
            </w:r>
          </w:p>
        </w:tc>
      </w:tr>
    </w:tbl>
    <w:p>
      <w:pPr>
        <w:spacing w:after="0" w:line="135" w:lineRule="exact"/>
        <w:rPr>
          <w:sz w:val="20"/>
          <w:szCs w:val="20"/>
          <w:color w:val="auto"/>
        </w:rPr>
      </w:pPr>
    </w:p>
    <w:p>
      <w:pPr>
        <w:ind w:left="488" w:hanging="488"/>
        <w:spacing w:after="0"/>
        <w:tabs>
          <w:tab w:leader="none" w:pos="488"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Indicates management contract or compensatory plan.</w:t>
      </w:r>
    </w:p>
    <w:p>
      <w:pPr>
        <w:spacing w:after="0" w:line="15" w:lineRule="exact"/>
        <w:rPr>
          <w:sz w:val="20"/>
          <w:szCs w:val="20"/>
          <w:color w:val="auto"/>
        </w:rPr>
      </w:pPr>
    </w:p>
    <w:p>
      <w:pPr>
        <w:ind w:left="8" w:hanging="8"/>
        <w:spacing w:after="0" w:line="255" w:lineRule="auto"/>
        <w:tabs>
          <w:tab w:leader="none" w:pos="5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certification attached as Exhibit 32.1 and Exhibit 32.2 that accompanies this Quarterly Report on Form 10-Q is not deemed filed with the Securities and Exchange Commission and is not to be incorporated by reference into any filing of Venus Concept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71"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89470" cy="11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8"/>
          </w:cols>
          <w:pgMar w:left="292" w:top="275"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6400"/>
        <w:spacing w:after="0"/>
        <w:rPr>
          <w:sz w:val="20"/>
          <w:szCs w:val="20"/>
          <w:color w:val="auto"/>
        </w:rPr>
      </w:pPr>
      <w:r>
        <w:rPr>
          <w:rFonts w:ascii="Arial" w:cs="Arial" w:eastAsia="Arial" w:hAnsi="Arial"/>
          <w:sz w:val="12"/>
          <w:szCs w:val="12"/>
          <w:color w:val="auto"/>
        </w:rPr>
        <w:t>Venus Concept Inc.</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260" w:type="dxa"/>
            <w:vAlign w:val="bottom"/>
          </w:tcPr>
          <w:p>
            <w:pPr>
              <w:spacing w:after="0"/>
              <w:rPr>
                <w:sz w:val="20"/>
                <w:szCs w:val="20"/>
                <w:color w:val="auto"/>
              </w:rPr>
            </w:pPr>
            <w:r>
              <w:rPr>
                <w:rFonts w:ascii="Arial" w:cs="Arial" w:eastAsia="Arial" w:hAnsi="Arial"/>
                <w:sz w:val="12"/>
                <w:szCs w:val="12"/>
                <w:color w:val="auto"/>
              </w:rPr>
              <w:t>Date: May 14, 2020</w:t>
            </w:r>
          </w:p>
        </w:tc>
        <w:tc>
          <w:tcPr>
            <w:tcW w:w="3520" w:type="dxa"/>
            <w:vAlign w:val="bottom"/>
          </w:tcPr>
          <w:p>
            <w:pPr>
              <w:ind w:left="3140"/>
              <w:spacing w:after="0"/>
              <w:rPr>
                <w:sz w:val="20"/>
                <w:szCs w:val="20"/>
                <w:color w:val="auto"/>
              </w:rPr>
            </w:pPr>
            <w:r>
              <w:rPr>
                <w:rFonts w:ascii="Arial" w:cs="Arial" w:eastAsia="Arial" w:hAnsi="Arial"/>
                <w:sz w:val="12"/>
                <w:szCs w:val="12"/>
                <w:color w:val="auto"/>
              </w:rPr>
              <w:t>By:</w:t>
            </w: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/s/ Domenic Serafino</w:t>
            </w:r>
          </w:p>
        </w:tc>
      </w:tr>
      <w:tr>
        <w:trPr>
          <w:trHeight w:val="138"/>
        </w:trPr>
        <w:tc>
          <w:tcPr>
            <w:tcW w:w="32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520" w:type="dxa"/>
            <w:vAlign w:val="bottom"/>
          </w:tcPr>
          <w:p>
            <w:pPr>
              <w:jc w:val="center"/>
              <w:spacing w:after="0"/>
              <w:rPr>
                <w:sz w:val="20"/>
                <w:szCs w:val="20"/>
                <w:color w:val="auto"/>
              </w:rPr>
            </w:pPr>
            <w:r>
              <w:rPr>
                <w:rFonts w:ascii="Arial" w:cs="Arial" w:eastAsia="Arial" w:hAnsi="Arial"/>
                <w:sz w:val="12"/>
                <w:szCs w:val="12"/>
                <w:b w:val="1"/>
                <w:bCs w:val="1"/>
                <w:color w:val="auto"/>
                <w:w w:val="90"/>
              </w:rPr>
              <w:t>Domenic Serafino</w:t>
            </w:r>
          </w:p>
        </w:tc>
      </w:tr>
      <w:tr>
        <w:trPr>
          <w:trHeight w:val="157"/>
        </w:trPr>
        <w:tc>
          <w:tcPr>
            <w:tcW w:w="32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4520" w:type="dxa"/>
            <w:vAlign w:val="bottom"/>
          </w:tcPr>
          <w:p>
            <w:pPr>
              <w:jc w:val="center"/>
              <w:spacing w:after="0"/>
              <w:rPr>
                <w:sz w:val="20"/>
                <w:szCs w:val="20"/>
                <w:color w:val="auto"/>
              </w:rPr>
            </w:pPr>
            <w:r>
              <w:rPr>
                <w:rFonts w:ascii="Arial" w:cs="Arial" w:eastAsia="Arial" w:hAnsi="Arial"/>
                <w:sz w:val="12"/>
                <w:szCs w:val="12"/>
                <w:b w:val="1"/>
                <w:bCs w:val="1"/>
                <w:color w:val="auto"/>
                <w:w w:val="92"/>
              </w:rPr>
              <w:t>Chief Executive Officer</w:t>
            </w:r>
          </w:p>
        </w:tc>
      </w:tr>
      <w:tr>
        <w:trPr>
          <w:trHeight w:val="306"/>
        </w:trPr>
        <w:tc>
          <w:tcPr>
            <w:tcW w:w="3260" w:type="dxa"/>
            <w:vAlign w:val="bottom"/>
          </w:tcPr>
          <w:p>
            <w:pPr>
              <w:spacing w:after="0"/>
              <w:rPr>
                <w:sz w:val="20"/>
                <w:szCs w:val="20"/>
                <w:color w:val="auto"/>
              </w:rPr>
            </w:pPr>
            <w:r>
              <w:rPr>
                <w:rFonts w:ascii="Arial" w:cs="Arial" w:eastAsia="Arial" w:hAnsi="Arial"/>
                <w:sz w:val="12"/>
                <w:szCs w:val="12"/>
                <w:color w:val="auto"/>
              </w:rPr>
              <w:t>Date: May 14, 2020</w:t>
            </w:r>
          </w:p>
        </w:tc>
        <w:tc>
          <w:tcPr>
            <w:tcW w:w="3520" w:type="dxa"/>
            <w:vAlign w:val="bottom"/>
          </w:tcPr>
          <w:p>
            <w:pPr>
              <w:ind w:left="3140"/>
              <w:spacing w:after="0"/>
              <w:rPr>
                <w:sz w:val="20"/>
                <w:szCs w:val="20"/>
                <w:color w:val="auto"/>
              </w:rPr>
            </w:pPr>
            <w:r>
              <w:rPr>
                <w:rFonts w:ascii="Arial" w:cs="Arial" w:eastAsia="Arial" w:hAnsi="Arial"/>
                <w:sz w:val="12"/>
                <w:szCs w:val="12"/>
                <w:color w:val="auto"/>
              </w:rPr>
              <w:t>By:</w:t>
            </w: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0"/>
              </w:rPr>
              <w:t>/s/ Domenic Della Penna</w:t>
            </w:r>
          </w:p>
        </w:tc>
      </w:tr>
      <w:tr>
        <w:trPr>
          <w:trHeight w:val="138"/>
        </w:trPr>
        <w:tc>
          <w:tcPr>
            <w:tcW w:w="32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520" w:type="dxa"/>
            <w:vAlign w:val="bottom"/>
          </w:tcPr>
          <w:p>
            <w:pPr>
              <w:jc w:val="center"/>
              <w:spacing w:after="0"/>
              <w:rPr>
                <w:sz w:val="20"/>
                <w:szCs w:val="20"/>
                <w:color w:val="auto"/>
              </w:rPr>
            </w:pPr>
            <w:r>
              <w:rPr>
                <w:rFonts w:ascii="Arial" w:cs="Arial" w:eastAsia="Arial" w:hAnsi="Arial"/>
                <w:sz w:val="12"/>
                <w:szCs w:val="12"/>
                <w:b w:val="1"/>
                <w:bCs w:val="1"/>
                <w:color w:val="auto"/>
                <w:w w:val="90"/>
              </w:rPr>
              <w:t>Domenic Della Penna</w:t>
            </w:r>
          </w:p>
        </w:tc>
      </w:tr>
      <w:tr>
        <w:trPr>
          <w:trHeight w:val="157"/>
        </w:trPr>
        <w:tc>
          <w:tcPr>
            <w:tcW w:w="32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4520" w:type="dxa"/>
            <w:vAlign w:val="bottom"/>
          </w:tcPr>
          <w:p>
            <w:pPr>
              <w:jc w:val="center"/>
              <w:spacing w:after="0"/>
              <w:rPr>
                <w:sz w:val="20"/>
                <w:szCs w:val="20"/>
                <w:color w:val="auto"/>
              </w:rPr>
            </w:pPr>
            <w:r>
              <w:rPr>
                <w:rFonts w:ascii="Arial" w:cs="Arial" w:eastAsia="Arial" w:hAnsi="Arial"/>
                <w:sz w:val="12"/>
                <w:szCs w:val="12"/>
                <w:b w:val="1"/>
                <w:bCs w:val="1"/>
                <w:color w:val="auto"/>
                <w:w w:val="92"/>
              </w:rPr>
              <w:t>Chief Financial Officer</w:t>
            </w:r>
          </w:p>
        </w:tc>
      </w:tr>
      <w:tr>
        <w:trPr>
          <w:trHeight w:val="432"/>
        </w:trPr>
        <w:tc>
          <w:tcPr>
            <w:tcW w:w="3260" w:type="dxa"/>
            <w:vAlign w:val="bottom"/>
          </w:tcPr>
          <w:p>
            <w:pPr>
              <w:spacing w:after="0"/>
              <w:rPr>
                <w:sz w:val="24"/>
                <w:szCs w:val="24"/>
                <w:color w:val="auto"/>
              </w:rPr>
            </w:pPr>
          </w:p>
        </w:tc>
        <w:tc>
          <w:tcPr>
            <w:tcW w:w="3520" w:type="dxa"/>
            <w:vAlign w:val="bottom"/>
          </w:tcPr>
          <w:p>
            <w:pPr>
              <w:jc w:val="right"/>
              <w:ind w:right="1020"/>
              <w:spacing w:after="0"/>
              <w:rPr>
                <w:sz w:val="20"/>
                <w:szCs w:val="20"/>
                <w:color w:val="auto"/>
              </w:rPr>
            </w:pPr>
            <w:r>
              <w:rPr>
                <w:rFonts w:ascii="Arial" w:cs="Arial" w:eastAsia="Arial" w:hAnsi="Arial"/>
                <w:sz w:val="12"/>
                <w:szCs w:val="12"/>
                <w:color w:val="auto"/>
              </w:rPr>
              <w:t>57</w:t>
            </w:r>
          </w:p>
        </w:tc>
        <w:tc>
          <w:tcPr>
            <w:tcW w:w="4520" w:type="dxa"/>
            <w:vAlign w:val="bottom"/>
          </w:tcPr>
          <w:p>
            <w:pPr>
              <w:spacing w:after="0"/>
              <w:rPr>
                <w:sz w:val="24"/>
                <w:szCs w:val="24"/>
                <w:color w:val="auto"/>
              </w:rPr>
            </w:pPr>
          </w:p>
        </w:tc>
      </w:tr>
    </w:tbl>
    <w:p>
      <w:pPr>
        <w:sectPr>
          <w:pgSz w:w="11900" w:h="16838" w:orient="portrait"/>
          <w:cols w:equalWidth="0" w:num="1">
            <w:col w:w="11300"/>
          </w:cols>
          <w:pgMar w:left="300" w:top="271" w:right="299" w:bottom="1440" w:gutter="0" w:footer="0" w:header="0"/>
        </w:sectPr>
      </w:pPr>
    </w:p>
    <w:bookmarkStart w:id="58" w:name="page59"/>
    <w:bookmarkEnd w:id="58"/>
    <w:p>
      <w:pPr>
        <w:jc w:val="right"/>
        <w:spacing w:after="0"/>
        <w:rPr>
          <w:sz w:val="20"/>
          <w:szCs w:val="20"/>
          <w:color w:val="auto"/>
        </w:rPr>
      </w:pPr>
      <w:r>
        <w:rPr>
          <w:rFonts w:ascii="Arial" w:cs="Arial" w:eastAsia="Arial" w:hAnsi="Arial"/>
          <w:sz w:val="13"/>
          <w:szCs w:val="13"/>
          <w:b w:val="1"/>
          <w:bCs w:val="1"/>
          <w:color w:val="auto"/>
        </w:rPr>
        <w:t>Exhibit 4.1</w:t>
      </w:r>
    </w:p>
    <w:p>
      <w:pPr>
        <w:spacing w:after="0" w:line="202" w:lineRule="exact"/>
        <w:rPr>
          <w:sz w:val="20"/>
          <w:szCs w:val="20"/>
          <w:color w:val="auto"/>
        </w:rPr>
      </w:pPr>
    </w:p>
    <w:p>
      <w:pPr>
        <w:ind w:left="2380"/>
        <w:spacing w:after="0"/>
        <w:rPr>
          <w:sz w:val="20"/>
          <w:szCs w:val="20"/>
          <w:color w:val="auto"/>
        </w:rPr>
      </w:pPr>
      <w:r>
        <w:rPr>
          <w:rFonts w:ascii="Arial" w:cs="Arial" w:eastAsia="Arial" w:hAnsi="Arial"/>
          <w:sz w:val="13"/>
          <w:szCs w:val="13"/>
          <w:b w:val="1"/>
          <w:bCs w:val="1"/>
          <w:color w:val="auto"/>
        </w:rPr>
        <w:t>DESCRIPTION OF SECURITIES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General</w:t>
      </w:r>
    </w:p>
    <w:p>
      <w:pPr>
        <w:spacing w:after="0" w:line="71" w:lineRule="exact"/>
        <w:rPr>
          <w:sz w:val="20"/>
          <w:szCs w:val="20"/>
          <w:color w:val="auto"/>
        </w:rPr>
      </w:pPr>
    </w:p>
    <w:p>
      <w:pPr>
        <w:ind w:right="60"/>
        <w:spacing w:after="0" w:line="271" w:lineRule="auto"/>
        <w:rPr>
          <w:sz w:val="20"/>
          <w:szCs w:val="20"/>
          <w:color w:val="auto"/>
        </w:rPr>
      </w:pPr>
      <w:r>
        <w:rPr>
          <w:rFonts w:ascii="Arial" w:cs="Arial" w:eastAsia="Arial" w:hAnsi="Arial"/>
          <w:sz w:val="13"/>
          <w:szCs w:val="13"/>
          <w:color w:val="231F20"/>
        </w:rPr>
        <w:t>Our authorized capital stock consists of 300,000,000 shares of Common Stock, $0.0001 par value per share, and 10,000,000 shares of preferred stock, $0.0001 par value per share. As of December 31, 2019, there were outstanding:</w:t>
      </w:r>
    </w:p>
    <w:p>
      <w:pPr>
        <w:spacing w:after="0" w:line="31" w:lineRule="exact"/>
        <w:rPr>
          <w:sz w:val="20"/>
          <w:szCs w:val="20"/>
          <w:color w:val="auto"/>
        </w:rPr>
      </w:pPr>
    </w:p>
    <w:p>
      <w:pPr>
        <w:ind w:left="940" w:hanging="309"/>
        <w:spacing w:after="0"/>
        <w:tabs>
          <w:tab w:leader="none" w:pos="940" w:val="left"/>
        </w:tabs>
        <w:numPr>
          <w:ilvl w:val="0"/>
          <w:numId w:val="22"/>
        </w:numPr>
        <w:rPr>
          <w:rFonts w:ascii="Arial" w:cs="Arial" w:eastAsia="Arial" w:hAnsi="Arial"/>
          <w:sz w:val="12"/>
          <w:szCs w:val="12"/>
          <w:color w:val="231F20"/>
        </w:rPr>
      </w:pPr>
      <w:r>
        <w:rPr>
          <w:rFonts w:ascii="Arial" w:cs="Arial" w:eastAsia="Arial" w:hAnsi="Arial"/>
          <w:sz w:val="13"/>
          <w:szCs w:val="13"/>
          <w:color w:val="231F20"/>
        </w:rPr>
        <w:t>29,894,285 shares of our Common Stock held by approximately 163 stockholders of record;</w:t>
      </w:r>
    </w:p>
    <w:p>
      <w:pPr>
        <w:spacing w:after="0" w:line="66" w:lineRule="exact"/>
        <w:rPr>
          <w:rFonts w:ascii="Arial" w:cs="Arial" w:eastAsia="Arial" w:hAnsi="Arial"/>
          <w:sz w:val="12"/>
          <w:szCs w:val="12"/>
          <w:color w:val="231F20"/>
        </w:rPr>
      </w:pPr>
    </w:p>
    <w:p>
      <w:pPr>
        <w:ind w:left="940" w:hanging="309"/>
        <w:spacing w:after="0"/>
        <w:tabs>
          <w:tab w:leader="none" w:pos="940" w:val="left"/>
        </w:tabs>
        <w:numPr>
          <w:ilvl w:val="0"/>
          <w:numId w:val="22"/>
        </w:numPr>
        <w:rPr>
          <w:rFonts w:ascii="Arial" w:cs="Arial" w:eastAsia="Arial" w:hAnsi="Arial"/>
          <w:sz w:val="12"/>
          <w:szCs w:val="12"/>
          <w:color w:val="231F20"/>
        </w:rPr>
      </w:pPr>
      <w:r>
        <w:rPr>
          <w:rFonts w:ascii="Arial" w:cs="Arial" w:eastAsia="Arial" w:hAnsi="Arial"/>
          <w:sz w:val="13"/>
          <w:szCs w:val="13"/>
          <w:color w:val="231F20"/>
        </w:rPr>
        <w:t>3,278,439 shares of our Common Stock issuable upon exercise of outstanding stock options; and</w:t>
      </w:r>
    </w:p>
    <w:p>
      <w:pPr>
        <w:spacing w:after="0" w:line="66" w:lineRule="exact"/>
        <w:rPr>
          <w:rFonts w:ascii="Arial" w:cs="Arial" w:eastAsia="Arial" w:hAnsi="Arial"/>
          <w:sz w:val="12"/>
          <w:szCs w:val="12"/>
          <w:color w:val="231F20"/>
        </w:rPr>
      </w:pPr>
    </w:p>
    <w:p>
      <w:pPr>
        <w:ind w:left="940" w:hanging="309"/>
        <w:spacing w:after="0"/>
        <w:tabs>
          <w:tab w:leader="none" w:pos="940" w:val="left"/>
        </w:tabs>
        <w:numPr>
          <w:ilvl w:val="0"/>
          <w:numId w:val="22"/>
        </w:numPr>
        <w:rPr>
          <w:rFonts w:ascii="Arial" w:cs="Arial" w:eastAsia="Arial" w:hAnsi="Arial"/>
          <w:sz w:val="12"/>
          <w:szCs w:val="12"/>
          <w:color w:val="231F20"/>
        </w:rPr>
      </w:pPr>
      <w:r>
        <w:rPr>
          <w:rFonts w:ascii="Arial" w:cs="Arial" w:eastAsia="Arial" w:hAnsi="Arial"/>
          <w:sz w:val="13"/>
          <w:szCs w:val="13"/>
          <w:color w:val="231F20"/>
        </w:rPr>
        <w:t>3,990,061 shares of our Common Stock issuable upon exercise of outstanding warrants.</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231F20"/>
        </w:rPr>
        <w:t>The actual number of stockholders is greater than the number of record holders and includes stockholders who are beneficial owners but whose shares are held in street name by brokers and other nominees.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231F20"/>
        </w:rPr>
        <w:t>This number of holders of record also does not include stockholders whose shares may be held in trust by other entities.</w:t>
      </w:r>
    </w:p>
    <w:p>
      <w:pPr>
        <w:spacing w:after="0" w:line="147" w:lineRule="exact"/>
        <w:rPr>
          <w:sz w:val="20"/>
          <w:szCs w:val="20"/>
          <w:color w:val="auto"/>
        </w:rPr>
      </w:pPr>
    </w:p>
    <w:p>
      <w:pPr>
        <w:ind w:right="160"/>
        <w:spacing w:after="0" w:line="258" w:lineRule="auto"/>
        <w:rPr>
          <w:sz w:val="20"/>
          <w:szCs w:val="20"/>
          <w:color w:val="auto"/>
        </w:rPr>
      </w:pPr>
      <w:r>
        <w:rPr>
          <w:rFonts w:ascii="Arial" w:cs="Arial" w:eastAsia="Arial" w:hAnsi="Arial"/>
          <w:sz w:val="13"/>
          <w:szCs w:val="13"/>
          <w:color w:val="231F20"/>
        </w:rPr>
        <w:t>The following description of our capital stock and provisions of our amended and restated certificate of incorporation and amended and restated bylaws are summaries of material terms and provisions and are qualified by reference to our amended and restated certificate of incorporation and amended and restated bylaws, copies of which have been filed with the SEC and are incorporated by reference as exhibits to the Annual Report on Form 10-K for year ended 2019.</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Common Stock</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Voting Rights</w:t>
      </w:r>
    </w:p>
    <w:p>
      <w:pPr>
        <w:spacing w:after="0" w:line="58" w:lineRule="exact"/>
        <w:rPr>
          <w:sz w:val="20"/>
          <w:szCs w:val="20"/>
          <w:color w:val="auto"/>
        </w:rPr>
      </w:pPr>
    </w:p>
    <w:p>
      <w:pPr>
        <w:ind w:right="240"/>
        <w:spacing w:after="0" w:line="271" w:lineRule="auto"/>
        <w:rPr>
          <w:sz w:val="20"/>
          <w:szCs w:val="20"/>
          <w:color w:val="auto"/>
        </w:rPr>
      </w:pPr>
      <w:r>
        <w:rPr>
          <w:rFonts w:ascii="Arial" w:cs="Arial" w:eastAsia="Arial" w:hAnsi="Arial"/>
          <w:sz w:val="13"/>
          <w:szCs w:val="13"/>
          <w:color w:val="231F20"/>
        </w:rPr>
        <w:t>Each holder of our Common Stock is entitled to one vote for each share on all matters submitted to a vote of the stockholders, including the election of directors. Our stockholders do not have cumulative voting rights in the election of directors.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Dividends</w:t>
      </w:r>
    </w:p>
    <w:p>
      <w:pPr>
        <w:spacing w:after="0" w:line="67" w:lineRule="exact"/>
        <w:rPr>
          <w:sz w:val="20"/>
          <w:szCs w:val="20"/>
          <w:color w:val="auto"/>
        </w:rPr>
      </w:pPr>
    </w:p>
    <w:p>
      <w:pPr>
        <w:ind w:right="300"/>
        <w:spacing w:after="0" w:line="271" w:lineRule="auto"/>
        <w:rPr>
          <w:sz w:val="20"/>
          <w:szCs w:val="20"/>
          <w:color w:val="auto"/>
        </w:rPr>
      </w:pPr>
      <w:r>
        <w:rPr>
          <w:rFonts w:ascii="Arial" w:cs="Arial" w:eastAsia="Arial" w:hAnsi="Arial"/>
          <w:sz w:val="13"/>
          <w:szCs w:val="13"/>
          <w:color w:val="231F20"/>
        </w:rPr>
        <w:t>Subject to preferences that may be applicable to any then outstanding preferred stock, holders of our Common Stock are entitled to receive dividends, if any, as may be declared from time to time by our board of directors out of legally available funds. However, our current debt instruments restrict our ability to pay dividends.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Liquidation</w:t>
      </w:r>
    </w:p>
    <w:p>
      <w:pPr>
        <w:spacing w:after="0" w:line="67" w:lineRule="exact"/>
        <w:rPr>
          <w:sz w:val="20"/>
          <w:szCs w:val="20"/>
          <w:color w:val="auto"/>
        </w:rPr>
      </w:pPr>
    </w:p>
    <w:p>
      <w:pPr>
        <w:ind w:right="80"/>
        <w:spacing w:after="0" w:line="271" w:lineRule="auto"/>
        <w:rPr>
          <w:sz w:val="20"/>
          <w:szCs w:val="20"/>
          <w:color w:val="auto"/>
        </w:rPr>
      </w:pPr>
      <w:r>
        <w:rPr>
          <w:rFonts w:ascii="Arial" w:cs="Arial" w:eastAsia="Arial" w:hAnsi="Arial"/>
          <w:sz w:val="13"/>
          <w:szCs w:val="13"/>
          <w:color w:val="231F20"/>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Rights and Preferences</w:t>
      </w:r>
    </w:p>
    <w:p>
      <w:pPr>
        <w:spacing w:after="0" w:line="58" w:lineRule="exact"/>
        <w:rPr>
          <w:sz w:val="20"/>
          <w:szCs w:val="20"/>
          <w:color w:val="auto"/>
        </w:rPr>
      </w:pPr>
    </w:p>
    <w:p>
      <w:pPr>
        <w:jc w:val="both"/>
        <w:ind w:right="80"/>
        <w:spacing w:after="0" w:line="364" w:lineRule="auto"/>
        <w:rPr>
          <w:sz w:val="20"/>
          <w:szCs w:val="20"/>
          <w:color w:val="auto"/>
        </w:rPr>
      </w:pPr>
      <w:r>
        <w:rPr>
          <w:rFonts w:ascii="Arial" w:cs="Arial" w:eastAsia="Arial" w:hAnsi="Arial"/>
          <w:sz w:val="11"/>
          <w:szCs w:val="11"/>
          <w:color w:val="231F20"/>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Anti-Takeover Effects of Provisions of our Amended and Restated Certificate of Incorporation, our Amended and Restated Bylaws and Delaware Law</w:t>
      </w:r>
    </w:p>
    <w:p>
      <w:pPr>
        <w:spacing w:after="0" w:line="80" w:lineRule="exact"/>
        <w:rPr>
          <w:sz w:val="20"/>
          <w:szCs w:val="20"/>
          <w:color w:val="auto"/>
        </w:rPr>
      </w:pPr>
    </w:p>
    <w:p>
      <w:pPr>
        <w:ind w:right="480"/>
        <w:spacing w:after="0" w:line="271" w:lineRule="auto"/>
        <w:rPr>
          <w:sz w:val="20"/>
          <w:szCs w:val="20"/>
          <w:color w:val="auto"/>
        </w:rPr>
      </w:pPr>
      <w:r>
        <w:rPr>
          <w:rFonts w:ascii="Arial" w:cs="Arial" w:eastAsia="Arial" w:hAnsi="Arial"/>
          <w:sz w:val="13"/>
          <w:szCs w:val="13"/>
          <w:color w:val="231F20"/>
        </w:rPr>
        <w:t>Some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523875</wp:posOffset>
            </wp:positionV>
            <wp:extent cx="7189470" cy="11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940"/>
          </w:cols>
          <w:pgMar w:left="660" w:top="629" w:right="299" w:bottom="1440" w:gutter="0" w:footer="0" w:header="0"/>
        </w:sectPr>
      </w:pPr>
    </w:p>
    <w:bookmarkStart w:id="59" w:name="page60"/>
    <w:bookmarkEnd w:id="59"/>
    <w:p>
      <w:pPr>
        <w:ind w:right="160"/>
        <w:spacing w:after="0" w:line="271" w:lineRule="auto"/>
        <w:rPr>
          <w:sz w:val="20"/>
          <w:szCs w:val="20"/>
          <w:color w:val="auto"/>
        </w:rPr>
      </w:pPr>
      <w:r>
        <w:rPr>
          <w:rFonts w:ascii="Arial" w:cs="Arial" w:eastAsia="Arial" w:hAnsi="Arial"/>
          <w:sz w:val="13"/>
          <w:szCs w:val="13"/>
          <w:color w:val="231F20"/>
        </w:rPr>
        <w:t>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2"/>
          <w:szCs w:val="12"/>
          <w:color w:val="231F20"/>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Delaware Anti-Takeover Statute</w:t>
      </w:r>
    </w:p>
    <w:p>
      <w:pPr>
        <w:spacing w:after="0" w:line="76" w:lineRule="exact"/>
        <w:rPr>
          <w:sz w:val="20"/>
          <w:szCs w:val="20"/>
          <w:color w:val="auto"/>
        </w:rPr>
      </w:pPr>
    </w:p>
    <w:p>
      <w:pPr>
        <w:ind w:right="100"/>
        <w:spacing w:after="0" w:line="250" w:lineRule="auto"/>
        <w:rPr>
          <w:sz w:val="20"/>
          <w:szCs w:val="20"/>
          <w:color w:val="auto"/>
        </w:rPr>
      </w:pPr>
      <w:r>
        <w:rPr>
          <w:rFonts w:ascii="Arial" w:cs="Arial" w:eastAsia="Arial" w:hAnsi="Arial"/>
          <w:sz w:val="13"/>
          <w:szCs w:val="13"/>
          <w:color w:val="231F20"/>
        </w:rPr>
        <w:t>We are subject to Section 203 of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Undesignated Preferred Stock</w:t>
      </w:r>
    </w:p>
    <w:p>
      <w:pPr>
        <w:spacing w:after="0" w:line="76" w:lineRule="exact"/>
        <w:rPr>
          <w:sz w:val="20"/>
          <w:szCs w:val="20"/>
          <w:color w:val="auto"/>
        </w:rPr>
      </w:pPr>
    </w:p>
    <w:p>
      <w:pPr>
        <w:ind w:right="380"/>
        <w:spacing w:after="0" w:line="314" w:lineRule="auto"/>
        <w:rPr>
          <w:sz w:val="20"/>
          <w:szCs w:val="20"/>
          <w:color w:val="auto"/>
        </w:rPr>
      </w:pPr>
      <w:r>
        <w:rPr>
          <w:rFonts w:ascii="Arial" w:cs="Arial" w:eastAsia="Arial" w:hAnsi="Arial"/>
          <w:sz w:val="12"/>
          <w:szCs w:val="12"/>
          <w:color w:val="231F20"/>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Special Stockholder Meetings</w:t>
      </w:r>
    </w:p>
    <w:p>
      <w:pPr>
        <w:spacing w:after="0" w:line="76" w:lineRule="exact"/>
        <w:rPr>
          <w:sz w:val="20"/>
          <w:szCs w:val="20"/>
          <w:color w:val="auto"/>
        </w:rPr>
      </w:pPr>
    </w:p>
    <w:p>
      <w:pPr>
        <w:ind w:right="140"/>
        <w:spacing w:after="0" w:line="271" w:lineRule="auto"/>
        <w:rPr>
          <w:sz w:val="20"/>
          <w:szCs w:val="20"/>
          <w:color w:val="auto"/>
        </w:rPr>
      </w:pPr>
      <w:r>
        <w:rPr>
          <w:rFonts w:ascii="Arial" w:cs="Arial" w:eastAsia="Arial" w:hAnsi="Arial"/>
          <w:sz w:val="13"/>
          <w:szCs w:val="13"/>
          <w:color w:val="231F20"/>
        </w:rPr>
        <w:t>Our amended and restated bylaws provide that a special meeting of stockholders may be called at any time by the board of directors, chief executive officer or president (in the absence of a chief executive officer), but such special meeting may not be called by the stockholders or any other person or persons.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Requirements for Advance Notification of Stockholder Nominations and Proposals</w:t>
      </w:r>
    </w:p>
    <w:p>
      <w:pPr>
        <w:spacing w:after="0" w:line="76" w:lineRule="exact"/>
        <w:rPr>
          <w:sz w:val="20"/>
          <w:szCs w:val="20"/>
          <w:color w:val="auto"/>
        </w:rPr>
      </w:pPr>
    </w:p>
    <w:p>
      <w:pPr>
        <w:ind w:right="100"/>
        <w:spacing w:after="0" w:line="271" w:lineRule="auto"/>
        <w:rPr>
          <w:sz w:val="20"/>
          <w:szCs w:val="20"/>
          <w:color w:val="auto"/>
        </w:rPr>
      </w:pPr>
      <w:r>
        <w:rPr>
          <w:rFonts w:ascii="Arial" w:cs="Arial" w:eastAsia="Arial" w:hAnsi="Arial"/>
          <w:sz w:val="13"/>
          <w:szCs w:val="13"/>
          <w:color w:val="231F20"/>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Elimination of Stockholder Action by Written Consent</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231F20"/>
        </w:rPr>
        <w:t>Our amended and restated certificate of incorporation and our amended and restated bylaws eliminate the right of stockholders to act by written consent without a meeting.</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Classified Board; Election and Removal of Directors; Filling Vacancies</w:t>
      </w:r>
    </w:p>
    <w:p>
      <w:pPr>
        <w:spacing w:after="0" w:line="76" w:lineRule="exact"/>
        <w:rPr>
          <w:sz w:val="20"/>
          <w:szCs w:val="20"/>
          <w:color w:val="auto"/>
        </w:rPr>
      </w:pPr>
    </w:p>
    <w:p>
      <w:pPr>
        <w:ind w:right="20"/>
        <w:spacing w:after="0" w:line="282" w:lineRule="auto"/>
        <w:rPr>
          <w:sz w:val="20"/>
          <w:szCs w:val="20"/>
          <w:color w:val="auto"/>
        </w:rPr>
      </w:pPr>
      <w:r>
        <w:rPr>
          <w:rFonts w:ascii="Arial" w:cs="Arial" w:eastAsia="Arial" w:hAnsi="Arial"/>
          <w:sz w:val="12"/>
          <w:szCs w:val="12"/>
          <w:color w:val="231F20"/>
        </w:rPr>
        <w:t>Our board of directors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a 66 2/3% of the voting power of the then outstanding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520700</wp:posOffset>
            </wp:positionV>
            <wp:extent cx="7189470" cy="11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920"/>
          </w:cols>
          <w:pgMar w:left="660" w:top="633" w:right="319" w:bottom="1440" w:gutter="0" w:footer="0" w:header="0"/>
        </w:sectPr>
      </w:pPr>
    </w:p>
    <w:bookmarkStart w:id="60" w:name="page61"/>
    <w:bookmarkEnd w:id="60"/>
    <w:p>
      <w:pPr>
        <w:ind w:right="40"/>
        <w:spacing w:after="0" w:line="290" w:lineRule="auto"/>
        <w:rPr>
          <w:sz w:val="20"/>
          <w:szCs w:val="20"/>
          <w:color w:val="auto"/>
        </w:rPr>
      </w:pPr>
      <w:r>
        <w:rPr>
          <w:rFonts w:ascii="Arial" w:cs="Arial" w:eastAsia="Arial" w:hAnsi="Arial"/>
          <w:sz w:val="12"/>
          <w:szCs w:val="12"/>
          <w:color w:val="231F20"/>
        </w:rPr>
        <w:t>Furthermore, any vacancy on our board of directors, however occurring, including a vacancy resulting from an increase in the size of the board, may only be filled by a resolution of the board of 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Choice of Forum</w:t>
      </w:r>
    </w:p>
    <w:p>
      <w:pPr>
        <w:spacing w:after="0" w:line="76" w:lineRule="exact"/>
        <w:rPr>
          <w:sz w:val="20"/>
          <w:szCs w:val="20"/>
          <w:color w:val="auto"/>
        </w:rPr>
      </w:pPr>
    </w:p>
    <w:p>
      <w:pPr>
        <w:spacing w:after="0" w:line="272" w:lineRule="auto"/>
        <w:rPr>
          <w:sz w:val="20"/>
          <w:szCs w:val="20"/>
          <w:color w:val="auto"/>
        </w:rPr>
      </w:pPr>
      <w:r>
        <w:rPr>
          <w:rFonts w:ascii="Arial" w:cs="Arial" w:eastAsia="Arial" w:hAnsi="Arial"/>
          <w:sz w:val="12"/>
          <w:szCs w:val="12"/>
          <w:color w:val="231F20"/>
        </w:rPr>
        <w:t>Our amended and restated certificate of incorporation provides that, unless we consent in writing to the selection of an alternative forum, the Court of Chancery of the State of Delaware will be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Our certificate of incorporation also provides that the federal district courts of the United States of America shall be the exclusive forum for the resolution of any complaint asserting a cause of action arising under the Securities Act. However, the enforceability of similar federal court choice of forum provisions in other companies’ certificates of incorporation has been challenged in legal proceedings, and it is possible that a court could find this type of provision to be inapplicable or unenforceable. The choice of forum provisions may limit a stockholder’s ability to bring a claim in a judicial forum that it finds favorable for disputes with the combined company or its directors, officers or other employees, which may discourage such lawsuits against the combined company and its directors, officers and other employees.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Amendment of Charter Provisions</w:t>
      </w:r>
    </w:p>
    <w:p>
      <w:pPr>
        <w:spacing w:after="0" w:line="76" w:lineRule="exact"/>
        <w:rPr>
          <w:sz w:val="20"/>
          <w:szCs w:val="20"/>
          <w:color w:val="auto"/>
        </w:rPr>
      </w:pPr>
    </w:p>
    <w:p>
      <w:pPr>
        <w:ind w:right="120"/>
        <w:spacing w:after="0" w:line="271" w:lineRule="auto"/>
        <w:rPr>
          <w:sz w:val="20"/>
          <w:szCs w:val="20"/>
          <w:color w:val="auto"/>
        </w:rPr>
      </w:pPr>
      <w:r>
        <w:rPr>
          <w:rFonts w:ascii="Arial" w:cs="Arial" w:eastAsia="Arial" w:hAnsi="Arial"/>
          <w:sz w:val="13"/>
          <w:szCs w:val="13"/>
          <w:color w:val="231F20"/>
        </w:rPr>
        <w:t>The amendment of any of the above provisions, except for the provision making it possible for our board of directors to issue undesignated preferred stock, would require approval by a stockholder vote by the holders of at least a 662/3% of the voting power of the then outstanding voting stock, voting together as a single class.</w:t>
      </w:r>
    </w:p>
    <w:p>
      <w:pPr>
        <w:spacing w:after="0" w:line="112" w:lineRule="exact"/>
        <w:rPr>
          <w:sz w:val="20"/>
          <w:szCs w:val="20"/>
          <w:color w:val="auto"/>
        </w:rPr>
      </w:pPr>
    </w:p>
    <w:p>
      <w:pPr>
        <w:ind w:right="100"/>
        <w:spacing w:after="0" w:line="254" w:lineRule="auto"/>
        <w:rPr>
          <w:sz w:val="20"/>
          <w:szCs w:val="20"/>
          <w:color w:val="auto"/>
        </w:rPr>
      </w:pPr>
      <w:r>
        <w:rPr>
          <w:rFonts w:ascii="Arial" w:cs="Arial" w:eastAsia="Arial" w:hAnsi="Arial"/>
          <w:sz w:val="13"/>
          <w:szCs w:val="13"/>
          <w:color w:val="231F20"/>
        </w:rPr>
        <w:t>The provisions of the DGCL,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ectPr>
          <w:pgSz w:w="11900" w:h="16838" w:orient="portrait"/>
          <w:cols w:equalWidth="0" w:num="1">
            <w:col w:w="10920"/>
          </w:cols>
          <w:pgMar w:left="660" w:top="633" w:right="319" w:bottom="1440" w:gutter="0" w:footer="0" w:header="0"/>
        </w:sectPr>
      </w:pPr>
    </w:p>
    <w:bookmarkStart w:id="61" w:name="page62"/>
    <w:bookmarkEnd w:id="61"/>
    <w:p>
      <w:pPr>
        <w:ind w:left="10500"/>
        <w:spacing w:after="0"/>
        <w:rPr>
          <w:sz w:val="20"/>
          <w:szCs w:val="20"/>
          <w:color w:val="auto"/>
        </w:rPr>
      </w:pPr>
      <w:r>
        <w:rPr>
          <w:rFonts w:ascii="Arial" w:cs="Arial" w:eastAsia="Arial" w:hAnsi="Arial"/>
          <w:sz w:val="13"/>
          <w:szCs w:val="13"/>
          <w:b w:val="1"/>
          <w:bCs w:val="1"/>
          <w:color w:val="auto"/>
        </w:rPr>
        <w:t>Exhibit 10.1</w:t>
      </w:r>
    </w:p>
    <w:p>
      <w:pPr>
        <w:spacing w:after="0" w:line="232" w:lineRule="exact"/>
        <w:rPr>
          <w:sz w:val="20"/>
          <w:szCs w:val="20"/>
          <w:color w:val="auto"/>
        </w:rPr>
      </w:pPr>
    </w:p>
    <w:p>
      <w:pPr>
        <w:ind w:left="9800"/>
        <w:spacing w:after="0"/>
        <w:rPr>
          <w:sz w:val="20"/>
          <w:szCs w:val="20"/>
          <w:color w:val="auto"/>
        </w:rPr>
      </w:pPr>
      <w:r>
        <w:rPr>
          <w:rFonts w:ascii="Arial" w:cs="Arial" w:eastAsia="Arial" w:hAnsi="Arial"/>
          <w:sz w:val="13"/>
          <w:szCs w:val="13"/>
          <w:b w:val="1"/>
          <w:bCs w:val="1"/>
          <w:i w:val="1"/>
          <w:iCs w:val="1"/>
          <w:color w:val="auto"/>
        </w:rPr>
        <w:t>EXECUTION VERSION</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ELEVENTH AMENDMENT TO CREDIT AGREEMENT AND CONSENT AGREEMENT</w:t>
      </w:r>
    </w:p>
    <w:p>
      <w:pPr>
        <w:spacing w:after="0" w:line="161" w:lineRule="exact"/>
        <w:rPr>
          <w:sz w:val="20"/>
          <w:szCs w:val="20"/>
          <w:color w:val="auto"/>
        </w:rPr>
      </w:pPr>
    </w:p>
    <w:p>
      <w:pPr>
        <w:ind w:left="960"/>
        <w:spacing w:after="0"/>
        <w:tabs>
          <w:tab w:leader="none" w:pos="2160" w:val="left"/>
          <w:tab w:leader="none" w:pos="4600" w:val="left"/>
          <w:tab w:leader="none" w:pos="8200" w:val="left"/>
        </w:tabs>
        <w:rPr>
          <w:sz w:val="20"/>
          <w:szCs w:val="20"/>
          <w:color w:val="auto"/>
        </w:rPr>
      </w:pPr>
      <w:r>
        <w:rPr>
          <w:rFonts w:ascii="Arial" w:cs="Arial" w:eastAsia="Arial" w:hAnsi="Arial"/>
          <w:sz w:val="13"/>
          <w:szCs w:val="13"/>
          <w:color w:val="auto"/>
        </w:rPr>
        <w:t>THIS</w:t>
      </w:r>
      <w:r>
        <w:rPr>
          <w:sz w:val="20"/>
          <w:szCs w:val="20"/>
          <w:color w:val="auto"/>
        </w:rPr>
        <w:tab/>
      </w:r>
      <w:r>
        <w:rPr>
          <w:rFonts w:ascii="Arial" w:cs="Arial" w:eastAsia="Arial" w:hAnsi="Arial"/>
          <w:sz w:val="13"/>
          <w:szCs w:val="13"/>
          <w:color w:val="auto"/>
        </w:rPr>
        <w:t>ELEVENTH</w:t>
      </w:r>
      <w:r>
        <w:rPr>
          <w:sz w:val="20"/>
          <w:szCs w:val="20"/>
          <w:color w:val="auto"/>
        </w:rPr>
        <w:tab/>
      </w:r>
      <w:r>
        <w:rPr>
          <w:rFonts w:ascii="Arial" w:cs="Arial" w:eastAsia="Arial" w:hAnsi="Arial"/>
          <w:sz w:val="13"/>
          <w:szCs w:val="13"/>
          <w:color w:val="auto"/>
        </w:rPr>
        <w:t>AMENDMENT</w:t>
      </w:r>
      <w:r>
        <w:rPr>
          <w:sz w:val="20"/>
          <w:szCs w:val="20"/>
          <w:color w:val="auto"/>
        </w:rPr>
        <w:tab/>
      </w:r>
      <w:r>
        <w:rPr>
          <w:rFonts w:ascii="Arial" w:cs="Arial" w:eastAsia="Arial" w:hAnsi="Arial"/>
          <w:sz w:val="12"/>
          <w:szCs w:val="12"/>
          <w:color w:val="auto"/>
        </w:rPr>
        <w:t>TO</w:t>
      </w:r>
    </w:p>
    <w:p>
      <w:pPr>
        <w:spacing w:after="0" w:line="5" w:lineRule="exact"/>
        <w:rPr>
          <w:sz w:val="20"/>
          <w:szCs w:val="20"/>
          <w:color w:val="auto"/>
        </w:rPr>
      </w:pPr>
    </w:p>
    <w:p>
      <w:pPr>
        <w:jc w:val="both"/>
        <w:ind w:left="100" w:right="140"/>
        <w:spacing w:after="0" w:line="276" w:lineRule="auto"/>
        <w:rPr>
          <w:sz w:val="20"/>
          <w:szCs w:val="20"/>
          <w:color w:val="auto"/>
        </w:rPr>
      </w:pPr>
      <w:r>
        <w:rPr>
          <w:rFonts w:ascii="Arial" w:cs="Arial" w:eastAsia="Arial" w:hAnsi="Arial"/>
          <w:sz w:val="12"/>
          <w:szCs w:val="12"/>
          <w:color w:val="auto"/>
        </w:rPr>
        <w:t>AGREEMENT (this “</w:t>
      </w:r>
      <w:r>
        <w:rPr>
          <w:rFonts w:ascii="Arial" w:cs="Arial" w:eastAsia="Arial" w:hAnsi="Arial"/>
          <w:sz w:val="12"/>
          <w:szCs w:val="12"/>
          <w:u w:val="single" w:color="auto"/>
          <w:color w:val="auto"/>
        </w:rPr>
        <w:t>Agreement</w:t>
      </w:r>
      <w:r>
        <w:rPr>
          <w:rFonts w:ascii="Arial" w:cs="Arial" w:eastAsia="Arial" w:hAnsi="Arial"/>
          <w:sz w:val="12"/>
          <w:szCs w:val="12"/>
          <w:color w:val="auto"/>
        </w:rPr>
        <w:t>”) dated as of March 20, 2020 (the “</w:t>
      </w:r>
      <w:r>
        <w:rPr>
          <w:rFonts w:ascii="Arial" w:cs="Arial" w:eastAsia="Arial" w:hAnsi="Arial"/>
          <w:sz w:val="12"/>
          <w:szCs w:val="12"/>
          <w:u w:val="single" w:color="auto"/>
          <w:color w:val="auto"/>
        </w:rPr>
        <w:t>Eleventh Amendment Effective Date</w:t>
      </w:r>
      <w:r>
        <w:rPr>
          <w:rFonts w:ascii="Arial" w:cs="Arial" w:eastAsia="Arial" w:hAnsi="Arial"/>
          <w:sz w:val="12"/>
          <w:szCs w:val="12"/>
          <w:color w:val="auto"/>
        </w:rPr>
        <w:t>”) is entered into among VENUS CONCEPT CANADA CORP., an Ontario corporation (“</w:t>
      </w:r>
      <w:r>
        <w:rPr>
          <w:rFonts w:ascii="Arial" w:cs="Arial" w:eastAsia="Arial" w:hAnsi="Arial"/>
          <w:sz w:val="12"/>
          <w:szCs w:val="12"/>
          <w:u w:val="single" w:color="auto"/>
          <w:color w:val="auto"/>
        </w:rPr>
        <w:t>Venus</w:t>
      </w:r>
      <w:r>
        <w:rPr>
          <w:rFonts w:ascii="Arial" w:cs="Arial" w:eastAsia="Arial" w:hAnsi="Arial"/>
          <w:sz w:val="12"/>
          <w:szCs w:val="12"/>
          <w:color w:val="auto"/>
        </w:rPr>
        <w:t xml:space="preserve"> </w:t>
      </w:r>
      <w:r>
        <w:rPr>
          <w:rFonts w:ascii="Arial" w:cs="Arial" w:eastAsia="Arial" w:hAnsi="Arial"/>
          <w:sz w:val="12"/>
          <w:szCs w:val="12"/>
          <w:u w:val="single" w:color="auto"/>
          <w:color w:val="auto"/>
        </w:rPr>
        <w:t>Canada</w:t>
      </w:r>
      <w:r>
        <w:rPr>
          <w:rFonts w:ascii="Arial" w:cs="Arial" w:eastAsia="Arial" w:hAnsi="Arial"/>
          <w:sz w:val="12"/>
          <w:szCs w:val="12"/>
          <w:color w:val="auto"/>
        </w:rPr>
        <w:t>”), VENUS CONCEPT USA INC., a Delaware corporation (“</w:t>
      </w:r>
      <w:r>
        <w:rPr>
          <w:rFonts w:ascii="Arial" w:cs="Arial" w:eastAsia="Arial" w:hAnsi="Arial"/>
          <w:sz w:val="12"/>
          <w:szCs w:val="12"/>
          <w:u w:val="single" w:color="auto"/>
          <w:color w:val="auto"/>
        </w:rPr>
        <w:t>Venus USA</w:t>
      </w:r>
      <w:r>
        <w:rPr>
          <w:rFonts w:ascii="Arial" w:cs="Arial" w:eastAsia="Arial" w:hAnsi="Arial"/>
          <w:sz w:val="12"/>
          <w:szCs w:val="12"/>
          <w:color w:val="auto"/>
        </w:rPr>
        <w:t>” and together with Venus Canada, each a “</w:t>
      </w:r>
      <w:r>
        <w:rPr>
          <w:rFonts w:ascii="Arial" w:cs="Arial" w:eastAsia="Arial" w:hAnsi="Arial"/>
          <w:sz w:val="12"/>
          <w:szCs w:val="12"/>
          <w:u w:val="single" w:color="auto"/>
          <w:color w:val="auto"/>
        </w:rPr>
        <w:t>Borrower</w:t>
      </w:r>
      <w:r>
        <w:rPr>
          <w:rFonts w:ascii="Arial" w:cs="Arial" w:eastAsia="Arial" w:hAnsi="Arial"/>
          <w:sz w:val="12"/>
          <w:szCs w:val="12"/>
          <w:color w:val="auto"/>
        </w:rPr>
        <w:t>” and collectively, the “</w:t>
      </w:r>
      <w:r>
        <w:rPr>
          <w:rFonts w:ascii="Arial" w:cs="Arial" w:eastAsia="Arial" w:hAnsi="Arial"/>
          <w:sz w:val="12"/>
          <w:szCs w:val="12"/>
          <w:u w:val="single" w:color="auto"/>
          <w:color w:val="auto"/>
        </w:rPr>
        <w:t>Borrowers</w:t>
      </w:r>
      <w:r>
        <w:rPr>
          <w:rFonts w:ascii="Arial" w:cs="Arial" w:eastAsia="Arial" w:hAnsi="Arial"/>
          <w:sz w:val="12"/>
          <w:szCs w:val="12"/>
          <w:color w:val="auto"/>
        </w:rPr>
        <w:t>”), VENUS CONCEPT LTD., an Israeli corporation (the “</w:t>
      </w:r>
      <w:r>
        <w:rPr>
          <w:rFonts w:ascii="Arial" w:cs="Arial" w:eastAsia="Arial" w:hAnsi="Arial"/>
          <w:sz w:val="12"/>
          <w:szCs w:val="12"/>
          <w:u w:val="single" w:color="auto"/>
          <w:color w:val="auto"/>
        </w:rPr>
        <w:t>Parent</w:t>
      </w:r>
      <w:r>
        <w:rPr>
          <w:rFonts w:ascii="Arial" w:cs="Arial" w:eastAsia="Arial" w:hAnsi="Arial"/>
          <w:sz w:val="12"/>
          <w:szCs w:val="12"/>
          <w:color w:val="auto"/>
        </w:rPr>
        <w:t>”), VENUS CONCEPT INC., a Delaware corporation (the “</w:t>
      </w:r>
      <w:r>
        <w:rPr>
          <w:rFonts w:ascii="Arial" w:cs="Arial" w:eastAsia="Arial" w:hAnsi="Arial"/>
          <w:sz w:val="12"/>
          <w:szCs w:val="12"/>
          <w:u w:val="single" w:color="auto"/>
          <w:color w:val="auto"/>
        </w:rPr>
        <w:t>Super Parent</w:t>
      </w:r>
      <w:r>
        <w:rPr>
          <w:rFonts w:ascii="Arial" w:cs="Arial" w:eastAsia="Arial" w:hAnsi="Arial"/>
          <w:sz w:val="12"/>
          <w:szCs w:val="12"/>
          <w:color w:val="auto"/>
        </w:rPr>
        <w:t>”), the Lenders party hereto and MADRYN HEALTH PARTNERS, LP, a Delaware limited partnership, as Administrative Agent. All capitalized terms used herein and not otherwise defined herein shall have the meanings given to such terms in the Credit Agreement (as defined below).</w:t>
      </w:r>
    </w:p>
    <w:p>
      <w:pPr>
        <w:spacing w:after="0" w:line="111" w:lineRule="exact"/>
        <w:rPr>
          <w:sz w:val="20"/>
          <w:szCs w:val="20"/>
          <w:color w:val="auto"/>
        </w:rPr>
      </w:pPr>
    </w:p>
    <w:p>
      <w:pPr>
        <w:jc w:val="center"/>
        <w:ind w:right="40"/>
        <w:spacing w:after="0"/>
        <w:rPr>
          <w:sz w:val="20"/>
          <w:szCs w:val="20"/>
          <w:color w:val="auto"/>
        </w:rPr>
      </w:pPr>
      <w:r>
        <w:rPr>
          <w:rFonts w:ascii="Arial" w:cs="Arial" w:eastAsia="Arial" w:hAnsi="Arial"/>
          <w:sz w:val="13"/>
          <w:szCs w:val="13"/>
          <w:u w:val="single" w:color="auto"/>
          <w:color w:val="auto"/>
        </w:rPr>
        <w:t>RECITALS</w:t>
      </w:r>
    </w:p>
    <w:p>
      <w:pPr>
        <w:spacing w:after="0" w:line="139" w:lineRule="exact"/>
        <w:rPr>
          <w:sz w:val="20"/>
          <w:szCs w:val="20"/>
          <w:color w:val="auto"/>
        </w:rPr>
      </w:pPr>
    </w:p>
    <w:p>
      <w:pPr>
        <w:jc w:val="both"/>
        <w:ind w:left="100" w:right="140" w:firstLine="832"/>
        <w:spacing w:after="0" w:line="305" w:lineRule="auto"/>
        <w:rPr>
          <w:sz w:val="20"/>
          <w:szCs w:val="20"/>
          <w:color w:val="auto"/>
        </w:rPr>
      </w:pPr>
      <w:r>
        <w:rPr>
          <w:rFonts w:ascii="Arial" w:cs="Arial" w:eastAsia="Arial" w:hAnsi="Arial"/>
          <w:sz w:val="11"/>
          <w:szCs w:val="11"/>
          <w:color w:val="auto"/>
        </w:rPr>
        <w:t>WHEREAS, the Borrowers, the Parent, the Super Parent, the other Guarantors, the Lenders and the Administrative Agent are parties to that certain Credit Agreement dated as of October 11, 2016 (as amended by that certain First Amendment to Credit Agreement and Investment Documents dated as of May 25, 2017, that certain Second Amendment to Credit Agreement and Consent Agreement dated as of February 15, 2018, that certain Third Amendment to Credit Agreement and Waiver dated as of August 14, 2018, that certain Fourth Amendment to Credit Agreement dated as of January 11, 2019, that certain Fifth Amendment to Credit Agreement dated as of March 15, 2019, that certain Sixth Amendment to Credit Agreement and Consent dated as of April 25, 2019, that certain Seventh Amendment to Credit Agreement, Consent and Waiver dated as of June 25, 2019, that certain Omnibus Amendment and Waiver dated as of July 26, 2019, that certain Ninth Amendment to Credit Agreement dated as of August 14, 2019, that certain Tenth Amendment to Credit Agreement, Consent and Joinder Agreement dated as of November 7, 2019 and as further amended or modified from time to time, the “</w:t>
      </w:r>
      <w:r>
        <w:rPr>
          <w:rFonts w:ascii="Arial" w:cs="Arial" w:eastAsia="Arial" w:hAnsi="Arial"/>
          <w:sz w:val="11"/>
          <w:szCs w:val="11"/>
          <w:u w:val="single" w:color="auto"/>
          <w:color w:val="auto"/>
        </w:rPr>
        <w:t>Credit Agreement</w:t>
      </w:r>
      <w:r>
        <w:rPr>
          <w:rFonts w:ascii="Arial" w:cs="Arial" w:eastAsia="Arial" w:hAnsi="Arial"/>
          <w:sz w:val="11"/>
          <w:szCs w:val="11"/>
          <w:color w:val="auto"/>
        </w:rPr>
        <w:t>”);</w:t>
      </w:r>
    </w:p>
    <w:p>
      <w:pPr>
        <w:spacing w:after="0" w:line="98" w:lineRule="exact"/>
        <w:rPr>
          <w:sz w:val="20"/>
          <w:szCs w:val="20"/>
          <w:color w:val="auto"/>
        </w:rPr>
      </w:pPr>
    </w:p>
    <w:p>
      <w:pPr>
        <w:jc w:val="both"/>
        <w:ind w:left="100" w:right="140" w:firstLine="832"/>
        <w:spacing w:after="0" w:line="271" w:lineRule="auto"/>
        <w:rPr>
          <w:sz w:val="20"/>
          <w:szCs w:val="20"/>
          <w:color w:val="auto"/>
        </w:rPr>
      </w:pPr>
      <w:r>
        <w:rPr>
          <w:rFonts w:ascii="Arial" w:cs="Arial" w:eastAsia="Arial" w:hAnsi="Arial"/>
          <w:sz w:val="13"/>
          <w:szCs w:val="13"/>
          <w:color w:val="auto"/>
        </w:rPr>
        <w:t>WHEREAS, the Loan Parties intend to cause the Super Parent to become a borrower under the Permitted Senior Revolving Credit Documents (the “</w:t>
      </w:r>
      <w:r>
        <w:rPr>
          <w:rFonts w:ascii="Arial" w:cs="Arial" w:eastAsia="Arial" w:hAnsi="Arial"/>
          <w:sz w:val="13"/>
          <w:szCs w:val="13"/>
          <w:u w:val="single" w:color="auto"/>
          <w:color w:val="auto"/>
        </w:rPr>
        <w:t>Permitted Senior Revolving Credit</w:t>
      </w:r>
      <w:r>
        <w:rPr>
          <w:rFonts w:ascii="Arial" w:cs="Arial" w:eastAsia="Arial" w:hAnsi="Arial"/>
          <w:sz w:val="13"/>
          <w:szCs w:val="13"/>
          <w:color w:val="auto"/>
        </w:rPr>
        <w:t xml:space="preserve"> </w:t>
      </w:r>
      <w:r>
        <w:rPr>
          <w:rFonts w:ascii="Arial" w:cs="Arial" w:eastAsia="Arial" w:hAnsi="Arial"/>
          <w:sz w:val="13"/>
          <w:szCs w:val="13"/>
          <w:u w:val="single" w:color="auto"/>
          <w:color w:val="auto"/>
        </w:rPr>
        <w:t>Documents Amendment</w:t>
      </w:r>
      <w:r>
        <w:rPr>
          <w:rFonts w:ascii="Arial" w:cs="Arial" w:eastAsia="Arial" w:hAnsi="Arial"/>
          <w:sz w:val="13"/>
          <w:szCs w:val="13"/>
          <w:color w:val="auto"/>
        </w:rPr>
        <w:t>”) and have requested that the Credit Agreement be amended in connection therewith; and</w:t>
      </w:r>
    </w:p>
    <w:p>
      <w:pPr>
        <w:spacing w:after="0" w:line="103" w:lineRule="exact"/>
        <w:rPr>
          <w:sz w:val="20"/>
          <w:szCs w:val="20"/>
          <w:color w:val="auto"/>
        </w:rPr>
      </w:pPr>
    </w:p>
    <w:p>
      <w:pPr>
        <w:jc w:val="both"/>
        <w:ind w:left="100" w:right="140" w:firstLine="832"/>
        <w:spacing w:after="0" w:line="271" w:lineRule="auto"/>
        <w:rPr>
          <w:sz w:val="20"/>
          <w:szCs w:val="20"/>
          <w:color w:val="auto"/>
        </w:rPr>
      </w:pPr>
      <w:r>
        <w:rPr>
          <w:rFonts w:ascii="Arial" w:cs="Arial" w:eastAsia="Arial" w:hAnsi="Arial"/>
          <w:sz w:val="13"/>
          <w:szCs w:val="13"/>
          <w:color w:val="auto"/>
        </w:rPr>
        <w:t>WHEREAS, the Lenders are willing to amend the Credit Agreement and provide their consent to the consummation of the Permitted Senior Revolving Credit Documents Amendment, in each case, subject to the terms and conditions hereof;</w:t>
      </w:r>
    </w:p>
    <w:p>
      <w:pPr>
        <w:spacing w:after="0" w:line="121" w:lineRule="exact"/>
        <w:rPr>
          <w:sz w:val="20"/>
          <w:szCs w:val="20"/>
          <w:color w:val="auto"/>
        </w:rPr>
      </w:pPr>
    </w:p>
    <w:p>
      <w:pPr>
        <w:jc w:val="both"/>
        <w:ind w:left="100" w:right="140" w:firstLine="832"/>
        <w:spacing w:after="0" w:line="271" w:lineRule="auto"/>
        <w:rPr>
          <w:sz w:val="20"/>
          <w:szCs w:val="20"/>
          <w:color w:val="auto"/>
        </w:rPr>
      </w:pPr>
      <w:r>
        <w:rPr>
          <w:rFonts w:ascii="Arial" w:cs="Arial" w:eastAsia="Arial" w:hAnsi="Arial"/>
          <w:sz w:val="13"/>
          <w:szCs w:val="13"/>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0" w:type="dxa"/>
            <w:vAlign w:val="bottom"/>
          </w:tcPr>
          <w:p>
            <w:pPr>
              <w:jc w:val="right"/>
              <w:ind w:right="734"/>
              <w:spacing w:after="0"/>
              <w:rPr>
                <w:sz w:val="20"/>
                <w:szCs w:val="20"/>
                <w:color w:val="auto"/>
              </w:rPr>
            </w:pPr>
            <w:r>
              <w:rPr>
                <w:rFonts w:ascii="Arial" w:cs="Arial" w:eastAsia="Arial" w:hAnsi="Arial"/>
                <w:sz w:val="13"/>
                <w:szCs w:val="13"/>
                <w:color w:val="auto"/>
              </w:rPr>
              <w:t>1.</w:t>
            </w:r>
          </w:p>
        </w:tc>
        <w:tc>
          <w:tcPr>
            <w:tcW w:w="10360" w:type="dxa"/>
            <w:vAlign w:val="bottom"/>
            <w:gridSpan w:val="9"/>
          </w:tcPr>
          <w:p>
            <w:pPr>
              <w:ind w:left="640"/>
              <w:spacing w:after="0"/>
              <w:rPr>
                <w:sz w:val="20"/>
                <w:szCs w:val="20"/>
                <w:color w:val="auto"/>
              </w:rPr>
            </w:pPr>
            <w:r>
              <w:rPr>
                <w:rFonts w:ascii="Arial" w:cs="Arial" w:eastAsia="Arial" w:hAnsi="Arial"/>
                <w:sz w:val="13"/>
                <w:szCs w:val="13"/>
                <w:color w:val="auto"/>
              </w:rPr>
              <w:t>Amendments.Effective as of the Eleventh Amendment Effective Date, the Credit Agreement shall be amended as follows:</w:t>
            </w:r>
          </w:p>
        </w:tc>
      </w:tr>
      <w:tr>
        <w:trPr>
          <w:trHeight w:val="20"/>
        </w:trPr>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r>
        <w:trPr>
          <w:trHeight w:val="306"/>
        </w:trPr>
        <w:tc>
          <w:tcPr>
            <w:tcW w:w="960" w:type="dxa"/>
            <w:vAlign w:val="bottom"/>
          </w:tcPr>
          <w:p>
            <w:pPr>
              <w:jc w:val="right"/>
              <w:ind w:right="574"/>
              <w:spacing w:after="0"/>
              <w:rPr>
                <w:sz w:val="20"/>
                <w:szCs w:val="20"/>
                <w:color w:val="auto"/>
              </w:rPr>
            </w:pPr>
            <w:r>
              <w:rPr>
                <w:rFonts w:ascii="Arial" w:cs="Arial" w:eastAsia="Arial" w:hAnsi="Arial"/>
                <w:sz w:val="13"/>
                <w:szCs w:val="13"/>
                <w:color w:val="auto"/>
              </w:rPr>
              <w:t>(a)</w:t>
            </w:r>
          </w:p>
        </w:tc>
        <w:tc>
          <w:tcPr>
            <w:tcW w:w="640" w:type="dxa"/>
            <w:vAlign w:val="bottom"/>
          </w:tcPr>
          <w:p>
            <w:pPr>
              <w:spacing w:after="0"/>
              <w:rPr>
                <w:sz w:val="24"/>
                <w:szCs w:val="24"/>
                <w:color w:val="auto"/>
              </w:rPr>
            </w:pPr>
          </w:p>
        </w:tc>
        <w:tc>
          <w:tcPr>
            <w:tcW w:w="9720" w:type="dxa"/>
            <w:vAlign w:val="bottom"/>
            <w:gridSpan w:val="8"/>
          </w:tcPr>
          <w:p>
            <w:pPr>
              <w:ind w:left="120"/>
              <w:spacing w:after="0"/>
              <w:rPr>
                <w:sz w:val="20"/>
                <w:szCs w:val="20"/>
                <w:color w:val="auto"/>
              </w:rPr>
            </w:pPr>
            <w:r>
              <w:rPr>
                <w:rFonts w:ascii="Arial" w:cs="Arial" w:eastAsia="Arial" w:hAnsi="Arial"/>
                <w:sz w:val="13"/>
                <w:szCs w:val="13"/>
                <w:color w:val="auto"/>
              </w:rPr>
              <w:t>Section 1.01 of the Credit Agreement is hereby amended by amending and restating the following defined terms appearing therein in their entirety to read as follows:</w:t>
            </w:r>
          </w:p>
        </w:tc>
      </w:tr>
      <w:tr>
        <w:trPr>
          <w:trHeight w:val="277"/>
        </w:trPr>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20" w:type="dxa"/>
            <w:vAlign w:val="bottom"/>
            <w:gridSpan w:val="7"/>
          </w:tcPr>
          <w:p>
            <w:pPr>
              <w:ind w:left="220"/>
              <w:spacing w:after="0"/>
              <w:rPr>
                <w:sz w:val="20"/>
                <w:szCs w:val="20"/>
                <w:color w:val="auto"/>
              </w:rPr>
            </w:pPr>
            <w:r>
              <w:rPr>
                <w:rFonts w:ascii="Arial" w:cs="Arial" w:eastAsia="Arial" w:hAnsi="Arial"/>
                <w:sz w:val="13"/>
                <w:szCs w:val="13"/>
                <w:color w:val="auto"/>
                <w:w w:val="94"/>
              </w:rPr>
              <w:t>“Liquidity” means, as of any date, an amount equal to the sum of (a) Unrestricted Cash of the Loan Parties held in accounts for which the Administrative Agent has</w:t>
            </w:r>
          </w:p>
        </w:tc>
      </w:tr>
      <w:tr>
        <w:trPr>
          <w:trHeight w:val="20"/>
        </w:trPr>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r>
        <w:trPr>
          <w:trHeight w:val="133"/>
        </w:trPr>
        <w:tc>
          <w:tcPr>
            <w:tcW w:w="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720" w:type="dxa"/>
            <w:vAlign w:val="bottom"/>
            <w:gridSpan w:val="8"/>
          </w:tcPr>
          <w:p>
            <w:pPr>
              <w:ind w:left="200"/>
              <w:spacing w:after="0" w:line="133" w:lineRule="exact"/>
              <w:rPr>
                <w:sz w:val="20"/>
                <w:szCs w:val="20"/>
                <w:color w:val="auto"/>
              </w:rPr>
            </w:pPr>
            <w:r>
              <w:rPr>
                <w:rFonts w:ascii="Arial" w:cs="Arial" w:eastAsia="Arial" w:hAnsi="Arial"/>
                <w:sz w:val="13"/>
                <w:szCs w:val="13"/>
                <w:color w:val="auto"/>
                <w:w w:val="94"/>
              </w:rPr>
              <w:t>received a Qualifying Control Agreement as of such date plus (b) Unrestricted Cash of the Loan Parties not held in accounts for which the Administrative Agent has received a</w:t>
            </w:r>
          </w:p>
        </w:tc>
      </w:tr>
      <w:tr>
        <w:trPr>
          <w:trHeight w:val="20"/>
        </w:trPr>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r>
        <w:trPr>
          <w:trHeight w:val="133"/>
        </w:trPr>
        <w:tc>
          <w:tcPr>
            <w:tcW w:w="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720" w:type="dxa"/>
            <w:vAlign w:val="bottom"/>
            <w:gridSpan w:val="8"/>
          </w:tcPr>
          <w:p>
            <w:pPr>
              <w:ind w:left="200"/>
              <w:spacing w:after="0" w:line="133" w:lineRule="exact"/>
              <w:rPr>
                <w:sz w:val="20"/>
                <w:szCs w:val="20"/>
                <w:color w:val="auto"/>
              </w:rPr>
            </w:pPr>
            <w:r>
              <w:rPr>
                <w:rFonts w:ascii="Arial" w:cs="Arial" w:eastAsia="Arial" w:hAnsi="Arial"/>
                <w:sz w:val="13"/>
                <w:szCs w:val="13"/>
                <w:color w:val="auto"/>
              </w:rPr>
              <w:t>Qualifying Control Agreement as of such date plus (c) the aggregate amount available to be drawn by</w:t>
            </w:r>
          </w:p>
        </w:tc>
      </w:tr>
      <w:tr>
        <w:trPr>
          <w:trHeight w:val="565"/>
        </w:trPr>
        <w:tc>
          <w:tcPr>
            <w:tcW w:w="9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26" w:right="27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7"/>
          <w:szCs w:val="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114300</wp:posOffset>
            </wp:positionV>
            <wp:extent cx="7189470" cy="11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9019"/>
          </w:cols>
          <w:pgMar w:left="1440" w:top="176" w:right="1440" w:bottom="1440" w:gutter="0" w:footer="0" w:header="0"/>
        </w:sectPr>
      </w:pPr>
    </w:p>
    <w:bookmarkStart w:id="63" w:name="page64"/>
    <w:bookmarkEnd w:id="63"/>
    <w:p>
      <w:pPr>
        <w:ind w:left="1740"/>
        <w:spacing w:after="0"/>
        <w:rPr>
          <w:sz w:val="20"/>
          <w:szCs w:val="20"/>
          <w:color w:val="auto"/>
        </w:rPr>
      </w:pPr>
      <w:r>
        <w:rPr>
          <w:rFonts w:ascii="Arial" w:cs="Arial" w:eastAsia="Arial" w:hAnsi="Arial"/>
          <w:sz w:val="13"/>
          <w:szCs w:val="13"/>
          <w:color w:val="auto"/>
        </w:rPr>
        <w:t>the Borrowers and/or the Super Parent under the Permitted Senior Revolving Credit Indebtedness as of such date.</w:t>
      </w:r>
    </w:p>
    <w:p>
      <w:pPr>
        <w:spacing w:after="0" w:line="148" w:lineRule="exact"/>
        <w:rPr>
          <w:sz w:val="20"/>
          <w:szCs w:val="20"/>
          <w:color w:val="auto"/>
        </w:rPr>
      </w:pPr>
    </w:p>
    <w:p>
      <w:pPr>
        <w:jc w:val="both"/>
        <w:ind w:left="1740" w:firstLine="705"/>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Senior Revolving Credit Documents</w:t>
      </w:r>
      <w:r>
        <w:rPr>
          <w:rFonts w:ascii="Arial" w:cs="Arial" w:eastAsia="Arial" w:hAnsi="Arial"/>
          <w:sz w:val="13"/>
          <w:szCs w:val="13"/>
          <w:color w:val="auto"/>
        </w:rPr>
        <w:t>” means each agreement, instrument and document entered into by the Super Parent or any Subsidiary in connection with the Permitted Senior Revolving Credit Indebtedness, in each case in form and substance reasonably satisfactory to the Administrative Agent, as the same may be amended, modified, extended, restated, replaced or supplemented from time to time subject to the terms and provisions of the intercreditor agreement entered into by the Administrative Agent in connection therewith.</w:t>
      </w:r>
    </w:p>
    <w:p>
      <w:pPr>
        <w:spacing w:after="0" w:line="123" w:lineRule="exact"/>
        <w:rPr>
          <w:sz w:val="20"/>
          <w:szCs w:val="20"/>
          <w:color w:val="auto"/>
        </w:rPr>
      </w:pPr>
    </w:p>
    <w:p>
      <w:pPr>
        <w:ind w:left="2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Permitted Senior Revolving Credit Indebtedness</w:t>
      </w:r>
      <w:r>
        <w:rPr>
          <w:rFonts w:ascii="Arial" w:cs="Arial" w:eastAsia="Arial" w:hAnsi="Arial"/>
          <w:sz w:val="12"/>
          <w:szCs w:val="12"/>
          <w:color w:val="auto"/>
        </w:rPr>
        <w:t>” means senior secured Indebtedness of one or more of the Borrowers and/or the Super Parent incurred under the</w:t>
      </w:r>
    </w:p>
    <w:p>
      <w:pPr>
        <w:spacing w:after="0" w:line="25"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Permitted Senior Revolving Credit Documents which satisfies the following requirements:</w:t>
      </w:r>
    </w:p>
    <w:p>
      <w:pPr>
        <w:spacing w:after="0" w:line="4" w:lineRule="exact"/>
        <w:rPr>
          <w:sz w:val="20"/>
          <w:szCs w:val="20"/>
          <w:color w:val="auto"/>
        </w:rPr>
      </w:pPr>
    </w:p>
    <w:p>
      <w:pPr>
        <w:jc w:val="both"/>
        <w:ind w:left="1740" w:firstLine="10"/>
        <w:spacing w:after="0" w:line="248" w:lineRule="auto"/>
        <w:tabs>
          <w:tab w:leader="none" w:pos="3002"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Borrowers shall have delivered to the Administrative Agent and the Lenders the material Permitted Senior Revolving Credit Documents prior to incurrence of the Permitted Senior Revolving Credit Indebtedness, certified by a Responsible Officer of each Borrower, (b) the Administrative Agent shall have approved the financial institution providing the Permitted Senior Revolving Credit Indebtedness (the “</w:t>
      </w:r>
      <w:r>
        <w:rPr>
          <w:rFonts w:ascii="Arial" w:cs="Arial" w:eastAsia="Arial" w:hAnsi="Arial"/>
          <w:sz w:val="13"/>
          <w:szCs w:val="13"/>
          <w:u w:val="single" w:color="auto"/>
          <w:color w:val="auto"/>
        </w:rPr>
        <w:t>Permitted Senior Revolving Credit Lender</w:t>
      </w:r>
      <w:r>
        <w:rPr>
          <w:rFonts w:ascii="Arial" w:cs="Arial" w:eastAsia="Arial" w:hAnsi="Arial"/>
          <w:sz w:val="13"/>
          <w:szCs w:val="13"/>
          <w:color w:val="auto"/>
        </w:rPr>
        <w:t>”) and (c) no Subsidiary that is not a Loan Party shall Guarantee, or provide a Lien with respect to, such Indebtedness.</w:t>
      </w:r>
    </w:p>
    <w:p>
      <w:pPr>
        <w:spacing w:after="0" w:line="128"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13"/>
          <w:szCs w:val="13"/>
          <w:color w:val="auto"/>
        </w:rPr>
        <w:t>(b)</w:t>
      </w:r>
      <w:r>
        <w:rPr>
          <w:sz w:val="20"/>
          <w:szCs w:val="20"/>
          <w:color w:val="auto"/>
        </w:rPr>
        <w:tab/>
      </w:r>
      <w:r>
        <w:rPr>
          <w:rFonts w:ascii="Arial" w:cs="Arial" w:eastAsia="Arial" w:hAnsi="Arial"/>
          <w:sz w:val="13"/>
          <w:szCs w:val="13"/>
          <w:color w:val="auto"/>
        </w:rPr>
        <w:t>Section 8.03(g) of the Credit Agreement is hereby amended and restated in its entirety to read as follows:</w:t>
      </w:r>
    </w:p>
    <w:p>
      <w:pPr>
        <w:spacing w:after="0" w:line="148" w:lineRule="exact"/>
        <w:rPr>
          <w:sz w:val="20"/>
          <w:szCs w:val="20"/>
          <w:color w:val="auto"/>
        </w:rPr>
      </w:pPr>
    </w:p>
    <w:p>
      <w:pPr>
        <w:jc w:val="both"/>
        <w:ind w:left="1740" w:firstLine="714"/>
        <w:spacing w:after="0" w:line="269" w:lineRule="auto"/>
        <w:tabs>
          <w:tab w:leader="none" w:pos="2633" w:val="left"/>
        </w:tabs>
        <w:numPr>
          <w:ilvl w:val="0"/>
          <w:numId w:val="24"/>
        </w:numPr>
        <w:rPr>
          <w:rFonts w:ascii="Arial" w:cs="Arial" w:eastAsia="Arial" w:hAnsi="Arial"/>
          <w:sz w:val="12"/>
          <w:szCs w:val="12"/>
          <w:color w:val="auto"/>
        </w:rPr>
      </w:pPr>
      <w:r>
        <w:rPr>
          <w:rFonts w:ascii="Arial" w:cs="Arial" w:eastAsia="Arial" w:hAnsi="Arial"/>
          <w:sz w:val="12"/>
          <w:szCs w:val="12"/>
          <w:color w:val="auto"/>
        </w:rPr>
        <w:t xml:space="preserve">Permitted Senior Revolving Credit Indebtedness in an aggregate principal amount not to exceed the lesser of (i) $10,000,000 and (ii) the sum of (A) eighty-five percent (85%) of eligible accounts of the Loan Parties (as determined by the Permitted Senior Revolving Credit Documents), on a consolidated basis, and the proceeds thereof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(B) fifty percent (50%) of the eligible inventory of the Loan Parties (as determined by the Permitted Senior Revolving Credit Documents), on a consolidated basis, and the proceeds thereof, at any one time outstanding pursuant to a revolving credit facility;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that</w:t>
      </w:r>
      <w:r>
        <w:rPr>
          <w:rFonts w:ascii="Arial" w:cs="Arial" w:eastAsia="Arial" w:hAnsi="Arial"/>
          <w:sz w:val="12"/>
          <w:szCs w:val="12"/>
          <w:color w:val="auto"/>
        </w:rPr>
        <w:t>, (x) no Default or Event of Default shall have occurred and be continuing both immediately before and immediately after giving effect to the execution and delivery of the Permitted Senior Revolving Credit Documents and (y) prior to the incurrence of such Indebtedness, (i) the Administrative Agent, the Loan Parties and the Permitted Senior Revolving Credit Lender shall have entered into an intercreditor agreement reasonably satisfactory to the Administrative Agent (as amended from time to time, the “</w:t>
      </w:r>
      <w:r>
        <w:rPr>
          <w:rFonts w:ascii="Arial" w:cs="Arial" w:eastAsia="Arial" w:hAnsi="Arial"/>
          <w:sz w:val="12"/>
          <w:szCs w:val="12"/>
          <w:u w:val="single" w:color="auto"/>
          <w:color w:val="auto"/>
        </w:rPr>
        <w:t>Intercreditor Agreement</w:t>
      </w:r>
      <w:r>
        <w:rPr>
          <w:rFonts w:ascii="Arial" w:cs="Arial" w:eastAsia="Arial" w:hAnsi="Arial"/>
          <w:sz w:val="12"/>
          <w:szCs w:val="12"/>
          <w:color w:val="auto"/>
        </w:rPr>
        <w:t>”) pursuant to which (A) the Permitted Senior Revolving Credit Lender shall be granted a first priority security interest only in the accounts and inventory of the Borrowers and the Super Parent and proceeds thereof (collectively, the “</w:t>
      </w:r>
      <w:r>
        <w:rPr>
          <w:rFonts w:ascii="Arial" w:cs="Arial" w:eastAsia="Arial" w:hAnsi="Arial"/>
          <w:sz w:val="12"/>
          <w:szCs w:val="12"/>
          <w:u w:val="single" w:color="auto"/>
          <w:color w:val="auto"/>
        </w:rPr>
        <w:t>Permitted Senior</w:t>
      </w:r>
      <w:r>
        <w:rPr>
          <w:rFonts w:ascii="Arial" w:cs="Arial" w:eastAsia="Arial" w:hAnsi="Arial"/>
          <w:sz w:val="12"/>
          <w:szCs w:val="12"/>
          <w:color w:val="auto"/>
        </w:rPr>
        <w:t xml:space="preserve"> </w:t>
      </w:r>
      <w:r>
        <w:rPr>
          <w:rFonts w:ascii="Arial" w:cs="Arial" w:eastAsia="Arial" w:hAnsi="Arial"/>
          <w:sz w:val="12"/>
          <w:szCs w:val="12"/>
          <w:u w:val="single" w:color="auto"/>
          <w:color w:val="auto"/>
        </w:rPr>
        <w:t>Revolving Credit Priority Collateral</w:t>
      </w:r>
      <w:r>
        <w:rPr>
          <w:rFonts w:ascii="Arial" w:cs="Arial" w:eastAsia="Arial" w:hAnsi="Arial"/>
          <w:sz w:val="12"/>
          <w:szCs w:val="12"/>
          <w:color w:val="auto"/>
        </w:rPr>
        <w:t>”), (B) the Administrative Agent, on behalf of the Secured Parties, shall be granted a second priority security interest in the Permitted Senior Revolving Credit Priority Collateral, (C) the Administrative Agent, on behalf of the Secured Parties, shall maintain its first priority security interest in all other assets of the Loan Parties (other than Excluded Property) and (D) the Permitted Senior Revolving Credit Lender may be granted a perfected security interest in any other property of the Loan Parties, provided that the Permitted Senior Revolving Credit Lender’s liens and security interests in such property (other than the Permitted Senior Revolving Credit Priority Collateral) shall be subordinate to the liens and security interests of the Administrative Agent in manner satisfactory to the Administrative Agent and (ii) the Administrative Agent and the Loan Parties shall have</w:t>
      </w:r>
    </w:p>
    <w:p>
      <w:pPr>
        <w:spacing w:after="0" w:line="274"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203200</wp:posOffset>
            </wp:positionV>
            <wp:extent cx="7189470" cy="11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120"/>
          </w:cols>
          <w:pgMar w:left="360" w:top="165" w:right="4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53"/>
        </w:trPr>
        <w:tc>
          <w:tcPr>
            <w:tcW w:w="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580" w:type="dxa"/>
            <w:vAlign w:val="bottom"/>
            <w:gridSpan w:val="6"/>
          </w:tcPr>
          <w:p>
            <w:pPr>
              <w:jc w:val="right"/>
              <w:spacing w:after="0"/>
              <w:rPr>
                <w:sz w:val="20"/>
                <w:szCs w:val="20"/>
                <w:color w:val="auto"/>
              </w:rPr>
            </w:pPr>
            <w:r>
              <w:rPr>
                <w:rFonts w:ascii="Arial" w:cs="Arial" w:eastAsia="Arial" w:hAnsi="Arial"/>
                <w:sz w:val="13"/>
                <w:szCs w:val="13"/>
                <w:color w:val="auto"/>
                <w:w w:val="93"/>
              </w:rPr>
              <w:t>entered into amendments, in each case in form and substance reasonably satisfactory to the Administrative Agent, to this Agreement and such other Loan Documents as required</w:t>
            </w:r>
          </w:p>
        </w:tc>
      </w:tr>
      <w:tr>
        <w:trPr>
          <w:trHeight w:val="153"/>
        </w:trPr>
        <w:tc>
          <w:tcPr>
            <w:tcW w:w="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580" w:type="dxa"/>
            <w:vAlign w:val="bottom"/>
            <w:gridSpan w:val="6"/>
          </w:tcPr>
          <w:p>
            <w:pPr>
              <w:jc w:val="right"/>
              <w:spacing w:after="0"/>
              <w:rPr>
                <w:sz w:val="20"/>
                <w:szCs w:val="20"/>
                <w:color w:val="auto"/>
              </w:rPr>
            </w:pPr>
            <w:r>
              <w:rPr>
                <w:rFonts w:ascii="Arial" w:cs="Arial" w:eastAsia="Arial" w:hAnsi="Arial"/>
                <w:sz w:val="13"/>
                <w:szCs w:val="13"/>
                <w:color w:val="auto"/>
                <w:w w:val="96"/>
              </w:rPr>
              <w:t>to, among other things, include in the Loan Documents such additional representations, warranties, covenants and defaults as are included in the Permitted Senior Revolving</w:t>
            </w:r>
          </w:p>
        </w:tc>
      </w:tr>
      <w:tr>
        <w:trPr>
          <w:trHeight w:val="166"/>
        </w:trPr>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580" w:type="dxa"/>
            <w:vAlign w:val="bottom"/>
            <w:gridSpan w:val="6"/>
          </w:tcPr>
          <w:p>
            <w:pPr>
              <w:jc w:val="right"/>
              <w:ind w:right="5460"/>
              <w:spacing w:after="0"/>
              <w:rPr>
                <w:sz w:val="20"/>
                <w:szCs w:val="20"/>
                <w:color w:val="auto"/>
              </w:rPr>
            </w:pPr>
            <w:r>
              <w:rPr>
                <w:rFonts w:ascii="Arial" w:cs="Arial" w:eastAsia="Arial" w:hAnsi="Arial"/>
                <w:sz w:val="13"/>
                <w:szCs w:val="13"/>
                <w:color w:val="auto"/>
                <w:w w:val="96"/>
              </w:rPr>
              <w:t>Credit Documents (but not included in the Loan Documents at such time);</w:t>
            </w:r>
          </w:p>
        </w:tc>
      </w:tr>
      <w:tr>
        <w:trPr>
          <w:trHeight w:val="268"/>
        </w:trPr>
        <w:tc>
          <w:tcPr>
            <w:tcW w:w="520" w:type="dxa"/>
            <w:vAlign w:val="bottom"/>
          </w:tcPr>
          <w:p>
            <w:pPr>
              <w:spacing w:after="0"/>
              <w:rPr>
                <w:sz w:val="20"/>
                <w:szCs w:val="20"/>
                <w:color w:val="auto"/>
              </w:rPr>
            </w:pPr>
            <w:r>
              <w:rPr>
                <w:rFonts w:ascii="Arial" w:cs="Arial" w:eastAsia="Arial" w:hAnsi="Arial"/>
                <w:sz w:val="13"/>
                <w:szCs w:val="13"/>
                <w:color w:val="auto"/>
              </w:rPr>
              <w:t>2.</w:t>
            </w:r>
          </w:p>
        </w:tc>
        <w:tc>
          <w:tcPr>
            <w:tcW w:w="1020" w:type="dxa"/>
            <w:vAlign w:val="bottom"/>
          </w:tcPr>
          <w:p>
            <w:pPr>
              <w:spacing w:after="0"/>
              <w:rPr>
                <w:sz w:val="23"/>
                <w:szCs w:val="23"/>
                <w:color w:val="auto"/>
              </w:rPr>
            </w:pPr>
          </w:p>
        </w:tc>
        <w:tc>
          <w:tcPr>
            <w:tcW w:w="9580" w:type="dxa"/>
            <w:vAlign w:val="bottom"/>
            <w:gridSpan w:val="6"/>
          </w:tcPr>
          <w:p>
            <w:pPr>
              <w:spacing w:after="0"/>
              <w:rPr>
                <w:sz w:val="20"/>
                <w:szCs w:val="20"/>
                <w:color w:val="auto"/>
              </w:rPr>
            </w:pPr>
            <w:r>
              <w:rPr>
                <w:rFonts w:ascii="Arial" w:cs="Arial" w:eastAsia="Arial" w:hAnsi="Arial"/>
                <w:sz w:val="13"/>
                <w:szCs w:val="13"/>
                <w:color w:val="auto"/>
                <w:w w:val="95"/>
              </w:rPr>
              <w:t>Consent. Subject to the other terms and conditions of this Agreement, the Lenders and the Administrative Agent hereby consent to the consummation of the Permitted Senior</w:t>
            </w:r>
          </w:p>
        </w:tc>
      </w:tr>
      <w:tr>
        <w:trPr>
          <w:trHeight w:val="20"/>
        </w:trPr>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49"/>
        </w:trPr>
        <w:tc>
          <w:tcPr>
            <w:tcW w:w="520" w:type="dxa"/>
            <w:vAlign w:val="bottom"/>
          </w:tcPr>
          <w:p>
            <w:pPr>
              <w:spacing w:after="0"/>
              <w:rPr>
                <w:sz w:val="12"/>
                <w:szCs w:val="12"/>
                <w:color w:val="auto"/>
              </w:rPr>
            </w:pPr>
          </w:p>
        </w:tc>
        <w:tc>
          <w:tcPr>
            <w:tcW w:w="10600" w:type="dxa"/>
            <w:vAlign w:val="bottom"/>
            <w:gridSpan w:val="7"/>
          </w:tcPr>
          <w:p>
            <w:pPr>
              <w:ind w:left="240"/>
              <w:spacing w:after="0"/>
              <w:rPr>
                <w:sz w:val="20"/>
                <w:szCs w:val="20"/>
                <w:color w:val="auto"/>
              </w:rPr>
            </w:pPr>
            <w:r>
              <w:rPr>
                <w:rFonts w:ascii="Arial" w:cs="Arial" w:eastAsia="Arial" w:hAnsi="Arial"/>
                <w:sz w:val="13"/>
                <w:szCs w:val="13"/>
                <w:color w:val="auto"/>
                <w:w w:val="95"/>
              </w:rPr>
              <w:t>Revolving Credit Documents Amendment by the Loan Parties. The above consent shall not otherwise modify or affect the Loan Parties’ obligations to comply fully with the terms of any duty,</w:t>
            </w:r>
          </w:p>
        </w:tc>
      </w:tr>
      <w:tr>
        <w:trPr>
          <w:trHeight w:val="137"/>
        </w:trPr>
        <w:tc>
          <w:tcPr>
            <w:tcW w:w="520" w:type="dxa"/>
            <w:vAlign w:val="bottom"/>
          </w:tcPr>
          <w:p>
            <w:pPr>
              <w:spacing w:after="0"/>
              <w:rPr>
                <w:sz w:val="11"/>
                <w:szCs w:val="11"/>
                <w:color w:val="auto"/>
              </w:rPr>
            </w:pPr>
          </w:p>
        </w:tc>
        <w:tc>
          <w:tcPr>
            <w:tcW w:w="10600" w:type="dxa"/>
            <w:vAlign w:val="bottom"/>
            <w:gridSpan w:val="7"/>
          </w:tcPr>
          <w:p>
            <w:pPr>
              <w:ind w:left="240"/>
              <w:spacing w:after="0" w:line="137" w:lineRule="exact"/>
              <w:rPr>
                <w:sz w:val="20"/>
                <w:szCs w:val="20"/>
                <w:color w:val="auto"/>
              </w:rPr>
            </w:pPr>
            <w:r>
              <w:rPr>
                <w:rFonts w:ascii="Arial" w:cs="Arial" w:eastAsia="Arial" w:hAnsi="Arial"/>
                <w:sz w:val="13"/>
                <w:szCs w:val="13"/>
                <w:color w:val="auto"/>
                <w:w w:val="94"/>
              </w:rPr>
              <w:t>term, condition or covenant contained in the Credit Agreement or any other Loan Document in the future and is limited solely to the matters set forth in this Section 2. Nothing contained in this</w:t>
            </w:r>
          </w:p>
        </w:tc>
      </w:tr>
      <w:tr>
        <w:trPr>
          <w:trHeight w:val="20"/>
        </w:trPr>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49"/>
        </w:trPr>
        <w:tc>
          <w:tcPr>
            <w:tcW w:w="520" w:type="dxa"/>
            <w:vAlign w:val="bottom"/>
          </w:tcPr>
          <w:p>
            <w:pPr>
              <w:spacing w:after="0"/>
              <w:rPr>
                <w:sz w:val="12"/>
                <w:szCs w:val="12"/>
                <w:color w:val="auto"/>
              </w:rPr>
            </w:pPr>
          </w:p>
        </w:tc>
        <w:tc>
          <w:tcPr>
            <w:tcW w:w="10600" w:type="dxa"/>
            <w:vAlign w:val="bottom"/>
            <w:gridSpan w:val="7"/>
          </w:tcPr>
          <w:p>
            <w:pPr>
              <w:ind w:left="240"/>
              <w:spacing w:after="0"/>
              <w:rPr>
                <w:sz w:val="20"/>
                <w:szCs w:val="20"/>
                <w:color w:val="auto"/>
              </w:rPr>
            </w:pPr>
            <w:r>
              <w:rPr>
                <w:rFonts w:ascii="Arial" w:cs="Arial" w:eastAsia="Arial" w:hAnsi="Arial"/>
                <w:sz w:val="13"/>
                <w:szCs w:val="13"/>
                <w:color w:val="auto"/>
                <w:w w:val="95"/>
              </w:rPr>
              <w:t>Agreement shall be deemed to constitute a waiver of any duty, term, condition or covenant contained in the Credit Agreement in the future, or any other rights or remedies the Administrative</w:t>
            </w:r>
          </w:p>
        </w:tc>
      </w:tr>
      <w:tr>
        <w:trPr>
          <w:trHeight w:val="166"/>
        </w:trPr>
        <w:tc>
          <w:tcPr>
            <w:tcW w:w="520" w:type="dxa"/>
            <w:vAlign w:val="bottom"/>
          </w:tcPr>
          <w:p>
            <w:pPr>
              <w:spacing w:after="0"/>
              <w:rPr>
                <w:sz w:val="14"/>
                <w:szCs w:val="14"/>
                <w:color w:val="auto"/>
              </w:rPr>
            </w:pPr>
          </w:p>
        </w:tc>
        <w:tc>
          <w:tcPr>
            <w:tcW w:w="10600" w:type="dxa"/>
            <w:vAlign w:val="bottom"/>
            <w:gridSpan w:val="7"/>
          </w:tcPr>
          <w:p>
            <w:pPr>
              <w:ind w:left="240"/>
              <w:spacing w:after="0"/>
              <w:rPr>
                <w:sz w:val="20"/>
                <w:szCs w:val="20"/>
                <w:color w:val="auto"/>
              </w:rPr>
            </w:pPr>
            <w:r>
              <w:rPr>
                <w:rFonts w:ascii="Arial" w:cs="Arial" w:eastAsia="Arial" w:hAnsi="Arial"/>
                <w:sz w:val="13"/>
                <w:szCs w:val="13"/>
                <w:color w:val="auto"/>
              </w:rPr>
              <w:t>Agent or any Lender may have under the Credit Agreement or any other Investment Documents or under applicable Law.</w:t>
            </w:r>
          </w:p>
        </w:tc>
      </w:tr>
      <w:tr>
        <w:trPr>
          <w:trHeight w:val="277"/>
        </w:trPr>
        <w:tc>
          <w:tcPr>
            <w:tcW w:w="520" w:type="dxa"/>
            <w:vAlign w:val="bottom"/>
          </w:tcPr>
          <w:p>
            <w:pPr>
              <w:spacing w:after="0"/>
              <w:rPr>
                <w:sz w:val="20"/>
                <w:szCs w:val="20"/>
                <w:color w:val="auto"/>
              </w:rPr>
            </w:pPr>
            <w:r>
              <w:rPr>
                <w:rFonts w:ascii="Arial" w:cs="Arial" w:eastAsia="Arial" w:hAnsi="Arial"/>
                <w:sz w:val="13"/>
                <w:szCs w:val="13"/>
                <w:color w:val="auto"/>
              </w:rPr>
              <w:t>3.</w:t>
            </w:r>
          </w:p>
        </w:tc>
        <w:tc>
          <w:tcPr>
            <w:tcW w:w="102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Arial" w:cs="Arial" w:eastAsia="Arial" w:hAnsi="Arial"/>
                <w:sz w:val="13"/>
                <w:szCs w:val="13"/>
                <w:color w:val="auto"/>
              </w:rPr>
              <w:t>Conditions Precedent. This Agreement shall be effective upon satisfaction of the following conditions precedent:</w:t>
            </w:r>
          </w:p>
        </w:tc>
      </w:tr>
      <w:tr>
        <w:trPr>
          <w:trHeight w:val="20"/>
        </w:trPr>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60" w:type="dxa"/>
            <w:vAlign w:val="bottom"/>
            <w:gridSpan w:val="3"/>
          </w:tcPr>
          <w:p>
            <w:pPr>
              <w:spacing w:after="0" w:line="20" w:lineRule="exact"/>
              <w:rPr>
                <w:sz w:val="1"/>
                <w:szCs w:val="1"/>
                <w:color w:val="auto"/>
              </w:rPr>
            </w:pPr>
          </w:p>
        </w:tc>
      </w:tr>
      <w:tr>
        <w:trPr>
          <w:trHeight w:val="306"/>
        </w:trPr>
        <w:tc>
          <w:tcPr>
            <w:tcW w:w="520" w:type="dxa"/>
            <w:vAlign w:val="bottom"/>
          </w:tcPr>
          <w:p>
            <w:pPr>
              <w:ind w:left="120"/>
              <w:spacing w:after="0"/>
              <w:rPr>
                <w:sz w:val="20"/>
                <w:szCs w:val="20"/>
                <w:color w:val="auto"/>
              </w:rPr>
            </w:pPr>
            <w:r>
              <w:rPr>
                <w:rFonts w:ascii="Arial" w:cs="Arial" w:eastAsia="Arial" w:hAnsi="Arial"/>
                <w:sz w:val="13"/>
                <w:szCs w:val="13"/>
                <w:color w:val="auto"/>
              </w:rPr>
              <w:t>(a)</w:t>
            </w:r>
          </w:p>
        </w:tc>
        <w:tc>
          <w:tcPr>
            <w:tcW w:w="1020" w:type="dxa"/>
            <w:vAlign w:val="bottom"/>
          </w:tcPr>
          <w:p>
            <w:pPr>
              <w:spacing w:after="0"/>
              <w:rPr>
                <w:sz w:val="24"/>
                <w:szCs w:val="24"/>
                <w:color w:val="auto"/>
              </w:rPr>
            </w:pPr>
          </w:p>
        </w:tc>
        <w:tc>
          <w:tcPr>
            <w:tcW w:w="9580" w:type="dxa"/>
            <w:vAlign w:val="bottom"/>
            <w:gridSpan w:val="6"/>
          </w:tcPr>
          <w:p>
            <w:pPr>
              <w:jc w:val="right"/>
              <w:ind w:right="1620"/>
              <w:spacing w:after="0"/>
              <w:rPr>
                <w:sz w:val="20"/>
                <w:szCs w:val="20"/>
                <w:color w:val="auto"/>
              </w:rPr>
            </w:pPr>
            <w:r>
              <w:rPr>
                <w:rFonts w:ascii="Arial" w:cs="Arial" w:eastAsia="Arial" w:hAnsi="Arial"/>
                <w:sz w:val="13"/>
                <w:szCs w:val="13"/>
                <w:color w:val="auto"/>
                <w:w w:val="93"/>
              </w:rPr>
              <w:t>receipt by the Administrative Agent of counterparts of this Agreement duly executed by the Loan Parties, the Lenders and the Administrative Agent;</w:t>
            </w:r>
          </w:p>
        </w:tc>
      </w:tr>
      <w:tr>
        <w:trPr>
          <w:trHeight w:val="284"/>
        </w:trPr>
        <w:tc>
          <w:tcPr>
            <w:tcW w:w="520" w:type="dxa"/>
            <w:vAlign w:val="bottom"/>
          </w:tcPr>
          <w:p>
            <w:pPr>
              <w:ind w:left="120"/>
              <w:spacing w:after="0"/>
              <w:rPr>
                <w:sz w:val="20"/>
                <w:szCs w:val="20"/>
                <w:color w:val="auto"/>
              </w:rPr>
            </w:pPr>
            <w:r>
              <w:rPr>
                <w:rFonts w:ascii="Arial" w:cs="Arial" w:eastAsia="Arial" w:hAnsi="Arial"/>
                <w:sz w:val="13"/>
                <w:szCs w:val="13"/>
                <w:color w:val="auto"/>
              </w:rPr>
              <w:t>(b)</w:t>
            </w:r>
          </w:p>
        </w:tc>
        <w:tc>
          <w:tcPr>
            <w:tcW w:w="1020" w:type="dxa"/>
            <w:vAlign w:val="bottom"/>
          </w:tcPr>
          <w:p>
            <w:pPr>
              <w:spacing w:after="0"/>
              <w:rPr>
                <w:sz w:val="24"/>
                <w:szCs w:val="24"/>
                <w:color w:val="auto"/>
              </w:rPr>
            </w:pPr>
          </w:p>
        </w:tc>
        <w:tc>
          <w:tcPr>
            <w:tcW w:w="9580" w:type="dxa"/>
            <w:vAlign w:val="bottom"/>
            <w:gridSpan w:val="6"/>
          </w:tcPr>
          <w:p>
            <w:pPr>
              <w:jc w:val="right"/>
              <w:spacing w:after="0"/>
              <w:rPr>
                <w:sz w:val="20"/>
                <w:szCs w:val="20"/>
                <w:color w:val="auto"/>
              </w:rPr>
            </w:pPr>
            <w:r>
              <w:rPr>
                <w:rFonts w:ascii="Arial" w:cs="Arial" w:eastAsia="Arial" w:hAnsi="Arial"/>
                <w:sz w:val="13"/>
                <w:szCs w:val="13"/>
                <w:color w:val="auto"/>
                <w:w w:val="96"/>
              </w:rPr>
              <w:t>receipt by the Administrative Agent of a certificate of a Responsible Officer of each Loan Party, attaching a true, correct and complete copy of the Permitted Senior Revolving</w:t>
            </w:r>
          </w:p>
        </w:tc>
      </w:tr>
      <w:tr>
        <w:trPr>
          <w:trHeight w:val="166"/>
        </w:trPr>
        <w:tc>
          <w:tcPr>
            <w:tcW w:w="520" w:type="dxa"/>
            <w:vAlign w:val="bottom"/>
          </w:tcPr>
          <w:p>
            <w:pPr>
              <w:spacing w:after="0"/>
              <w:rPr>
                <w:sz w:val="14"/>
                <w:szCs w:val="14"/>
                <w:color w:val="auto"/>
              </w:rPr>
            </w:pPr>
          </w:p>
        </w:tc>
        <w:tc>
          <w:tcPr>
            <w:tcW w:w="10600" w:type="dxa"/>
            <w:vAlign w:val="bottom"/>
            <w:gridSpan w:val="7"/>
          </w:tcPr>
          <w:p>
            <w:pPr>
              <w:ind w:left="380"/>
              <w:spacing w:after="0"/>
              <w:rPr>
                <w:sz w:val="20"/>
                <w:szCs w:val="20"/>
                <w:color w:val="auto"/>
              </w:rPr>
            </w:pPr>
            <w:r>
              <w:rPr>
                <w:rFonts w:ascii="Arial" w:cs="Arial" w:eastAsia="Arial" w:hAnsi="Arial"/>
                <w:sz w:val="13"/>
                <w:szCs w:val="13"/>
                <w:color w:val="auto"/>
              </w:rPr>
              <w:t>Credit Documents Amendment, which shall be in form and substance reasonably satisfactory to the Administrative Agent;</w:t>
            </w:r>
          </w:p>
        </w:tc>
      </w:tr>
      <w:tr>
        <w:trPr>
          <w:trHeight w:val="284"/>
        </w:trPr>
        <w:tc>
          <w:tcPr>
            <w:tcW w:w="520" w:type="dxa"/>
            <w:vAlign w:val="bottom"/>
          </w:tcPr>
          <w:p>
            <w:pPr>
              <w:ind w:left="120"/>
              <w:spacing w:after="0"/>
              <w:rPr>
                <w:sz w:val="20"/>
                <w:szCs w:val="20"/>
                <w:color w:val="auto"/>
              </w:rPr>
            </w:pPr>
            <w:r>
              <w:rPr>
                <w:rFonts w:ascii="Arial" w:cs="Arial" w:eastAsia="Arial" w:hAnsi="Arial"/>
                <w:sz w:val="13"/>
                <w:szCs w:val="13"/>
                <w:color w:val="auto"/>
              </w:rPr>
              <w:t>(c)</w:t>
            </w:r>
          </w:p>
        </w:tc>
        <w:tc>
          <w:tcPr>
            <w:tcW w:w="1020" w:type="dxa"/>
            <w:vAlign w:val="bottom"/>
          </w:tcPr>
          <w:p>
            <w:pPr>
              <w:spacing w:after="0"/>
              <w:rPr>
                <w:sz w:val="24"/>
                <w:szCs w:val="24"/>
                <w:color w:val="auto"/>
              </w:rPr>
            </w:pPr>
          </w:p>
        </w:tc>
        <w:tc>
          <w:tcPr>
            <w:tcW w:w="9580" w:type="dxa"/>
            <w:vAlign w:val="bottom"/>
            <w:gridSpan w:val="6"/>
          </w:tcPr>
          <w:p>
            <w:pPr>
              <w:jc w:val="right"/>
              <w:spacing w:after="0"/>
              <w:rPr>
                <w:sz w:val="20"/>
                <w:szCs w:val="20"/>
                <w:color w:val="auto"/>
              </w:rPr>
            </w:pPr>
            <w:r>
              <w:rPr>
                <w:rFonts w:ascii="Arial" w:cs="Arial" w:eastAsia="Arial" w:hAnsi="Arial"/>
                <w:sz w:val="13"/>
                <w:szCs w:val="13"/>
                <w:color w:val="auto"/>
                <w:w w:val="99"/>
              </w:rPr>
              <w:t>receipt by the Administrative Agent of an amendment to the Intercreditor Agreement, in form and substance reasonably satisfactory to the Administrative Agent and duly</w:t>
            </w:r>
          </w:p>
        </w:tc>
      </w:tr>
      <w:tr>
        <w:trPr>
          <w:trHeight w:val="166"/>
        </w:trPr>
        <w:tc>
          <w:tcPr>
            <w:tcW w:w="520" w:type="dxa"/>
            <w:vAlign w:val="bottom"/>
          </w:tcPr>
          <w:p>
            <w:pPr>
              <w:spacing w:after="0"/>
              <w:rPr>
                <w:sz w:val="14"/>
                <w:szCs w:val="14"/>
                <w:color w:val="auto"/>
              </w:rPr>
            </w:pPr>
          </w:p>
        </w:tc>
        <w:tc>
          <w:tcPr>
            <w:tcW w:w="10600" w:type="dxa"/>
            <w:vAlign w:val="bottom"/>
            <w:gridSpan w:val="7"/>
          </w:tcPr>
          <w:p>
            <w:pPr>
              <w:ind w:left="380"/>
              <w:spacing w:after="0"/>
              <w:rPr>
                <w:sz w:val="20"/>
                <w:szCs w:val="20"/>
                <w:color w:val="auto"/>
              </w:rPr>
            </w:pPr>
            <w:r>
              <w:rPr>
                <w:rFonts w:ascii="Arial" w:cs="Arial" w:eastAsia="Arial" w:hAnsi="Arial"/>
                <w:sz w:val="13"/>
                <w:szCs w:val="13"/>
                <w:color w:val="auto"/>
              </w:rPr>
              <w:t>executed by the Permitted Senior Revolving Credit Lender, the Loan Parties and the Administrative Agent; and</w:t>
            </w:r>
          </w:p>
        </w:tc>
      </w:tr>
      <w:tr>
        <w:trPr>
          <w:trHeight w:val="284"/>
        </w:trPr>
        <w:tc>
          <w:tcPr>
            <w:tcW w:w="520" w:type="dxa"/>
            <w:vAlign w:val="bottom"/>
          </w:tcPr>
          <w:p>
            <w:pPr>
              <w:ind w:left="120"/>
              <w:spacing w:after="0"/>
              <w:rPr>
                <w:sz w:val="20"/>
                <w:szCs w:val="20"/>
                <w:color w:val="auto"/>
              </w:rPr>
            </w:pPr>
            <w:r>
              <w:rPr>
                <w:rFonts w:ascii="Arial" w:cs="Arial" w:eastAsia="Arial" w:hAnsi="Arial"/>
                <w:sz w:val="13"/>
                <w:szCs w:val="13"/>
                <w:color w:val="auto"/>
              </w:rPr>
              <w:t>(d)</w:t>
            </w:r>
          </w:p>
        </w:tc>
        <w:tc>
          <w:tcPr>
            <w:tcW w:w="1020" w:type="dxa"/>
            <w:vAlign w:val="bottom"/>
          </w:tcPr>
          <w:p>
            <w:pPr>
              <w:spacing w:after="0"/>
              <w:rPr>
                <w:sz w:val="24"/>
                <w:szCs w:val="24"/>
                <w:color w:val="auto"/>
              </w:rPr>
            </w:pPr>
          </w:p>
        </w:tc>
        <w:tc>
          <w:tcPr>
            <w:tcW w:w="9580" w:type="dxa"/>
            <w:vAlign w:val="bottom"/>
            <w:gridSpan w:val="6"/>
          </w:tcPr>
          <w:p>
            <w:pPr>
              <w:jc w:val="right"/>
              <w:spacing w:after="0"/>
              <w:rPr>
                <w:sz w:val="20"/>
                <w:szCs w:val="20"/>
                <w:color w:val="auto"/>
              </w:rPr>
            </w:pPr>
            <w:r>
              <w:rPr>
                <w:rFonts w:ascii="Arial" w:cs="Arial" w:eastAsia="Arial" w:hAnsi="Arial"/>
                <w:sz w:val="13"/>
                <w:szCs w:val="13"/>
                <w:color w:val="auto"/>
                <w:w w:val="97"/>
              </w:rPr>
              <w:t>receipt by the applicable party of all accrued fees and reasonable and documented out-of-pocket expenses of the Administrative Agent and the Lenders (including, without</w:t>
            </w:r>
          </w:p>
        </w:tc>
      </w:tr>
      <w:tr>
        <w:trPr>
          <w:trHeight w:val="166"/>
        </w:trPr>
        <w:tc>
          <w:tcPr>
            <w:tcW w:w="520" w:type="dxa"/>
            <w:vAlign w:val="bottom"/>
          </w:tcPr>
          <w:p>
            <w:pPr>
              <w:spacing w:after="0"/>
              <w:rPr>
                <w:sz w:val="14"/>
                <w:szCs w:val="14"/>
                <w:color w:val="auto"/>
              </w:rPr>
            </w:pPr>
          </w:p>
        </w:tc>
        <w:tc>
          <w:tcPr>
            <w:tcW w:w="10600" w:type="dxa"/>
            <w:vAlign w:val="bottom"/>
            <w:gridSpan w:val="7"/>
          </w:tcPr>
          <w:p>
            <w:pPr>
              <w:ind w:left="380"/>
              <w:spacing w:after="0"/>
              <w:rPr>
                <w:sz w:val="20"/>
                <w:szCs w:val="20"/>
                <w:color w:val="auto"/>
              </w:rPr>
            </w:pPr>
            <w:r>
              <w:rPr>
                <w:rFonts w:ascii="Arial" w:cs="Arial" w:eastAsia="Arial" w:hAnsi="Arial"/>
                <w:sz w:val="13"/>
                <w:szCs w:val="13"/>
                <w:color w:val="auto"/>
              </w:rPr>
              <w:t>limitation, the fees and expenses of counsel for the Administrative Agent).</w:t>
            </w:r>
          </w:p>
        </w:tc>
      </w:tr>
      <w:tr>
        <w:trPr>
          <w:trHeight w:val="268"/>
        </w:trPr>
        <w:tc>
          <w:tcPr>
            <w:tcW w:w="520" w:type="dxa"/>
            <w:vAlign w:val="bottom"/>
          </w:tcPr>
          <w:p>
            <w:pPr>
              <w:spacing w:after="0"/>
              <w:rPr>
                <w:sz w:val="20"/>
                <w:szCs w:val="20"/>
                <w:color w:val="auto"/>
              </w:rPr>
            </w:pPr>
            <w:r>
              <w:rPr>
                <w:rFonts w:ascii="Arial" w:cs="Arial" w:eastAsia="Arial" w:hAnsi="Arial"/>
                <w:sz w:val="13"/>
                <w:szCs w:val="13"/>
                <w:color w:val="auto"/>
              </w:rPr>
              <w:t>4.</w:t>
            </w:r>
          </w:p>
        </w:tc>
        <w:tc>
          <w:tcPr>
            <w:tcW w:w="1020" w:type="dxa"/>
            <w:vAlign w:val="bottom"/>
          </w:tcPr>
          <w:p>
            <w:pPr>
              <w:spacing w:after="0"/>
              <w:rPr>
                <w:sz w:val="23"/>
                <w:szCs w:val="23"/>
                <w:color w:val="auto"/>
              </w:rPr>
            </w:pPr>
          </w:p>
        </w:tc>
        <w:tc>
          <w:tcPr>
            <w:tcW w:w="9580" w:type="dxa"/>
            <w:vAlign w:val="bottom"/>
            <w:gridSpan w:val="6"/>
          </w:tcPr>
          <w:p>
            <w:pPr>
              <w:spacing w:after="0"/>
              <w:rPr>
                <w:sz w:val="20"/>
                <w:szCs w:val="20"/>
                <w:color w:val="auto"/>
              </w:rPr>
            </w:pPr>
            <w:r>
              <w:rPr>
                <w:rFonts w:ascii="Arial" w:cs="Arial" w:eastAsia="Arial" w:hAnsi="Arial"/>
                <w:sz w:val="13"/>
                <w:szCs w:val="13"/>
                <w:color w:val="auto"/>
                <w:w w:val="98"/>
              </w:rPr>
              <w:t>Reaffirmation. Each of the Loan Parties acknowledges and reaffirms (a) that it is bound by all of the terms of the Investment Documents to which it is a party, (b) that it is</w:t>
            </w:r>
          </w:p>
        </w:tc>
      </w:tr>
      <w:tr>
        <w:trPr>
          <w:trHeight w:val="20"/>
        </w:trPr>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8840" w:type="dxa"/>
            <w:vAlign w:val="bottom"/>
            <w:gridSpan w:val="4"/>
          </w:tcPr>
          <w:p>
            <w:pPr>
              <w:spacing w:after="0" w:line="20" w:lineRule="exact"/>
              <w:rPr>
                <w:sz w:val="1"/>
                <w:szCs w:val="1"/>
                <w:color w:val="auto"/>
              </w:rPr>
            </w:pPr>
          </w:p>
        </w:tc>
      </w:tr>
      <w:tr>
        <w:trPr>
          <w:trHeight w:val="149"/>
        </w:trPr>
        <w:tc>
          <w:tcPr>
            <w:tcW w:w="520" w:type="dxa"/>
            <w:vAlign w:val="bottom"/>
          </w:tcPr>
          <w:p>
            <w:pPr>
              <w:spacing w:after="0"/>
              <w:rPr>
                <w:sz w:val="12"/>
                <w:szCs w:val="12"/>
                <w:color w:val="auto"/>
              </w:rPr>
            </w:pPr>
          </w:p>
        </w:tc>
        <w:tc>
          <w:tcPr>
            <w:tcW w:w="10600" w:type="dxa"/>
            <w:vAlign w:val="bottom"/>
            <w:gridSpan w:val="7"/>
          </w:tcPr>
          <w:p>
            <w:pPr>
              <w:ind w:left="240"/>
              <w:spacing w:after="0"/>
              <w:rPr>
                <w:sz w:val="20"/>
                <w:szCs w:val="20"/>
                <w:color w:val="auto"/>
              </w:rPr>
            </w:pPr>
            <w:r>
              <w:rPr>
                <w:rFonts w:ascii="Arial" w:cs="Arial" w:eastAsia="Arial" w:hAnsi="Arial"/>
                <w:sz w:val="13"/>
                <w:szCs w:val="13"/>
                <w:color w:val="auto"/>
                <w:w w:val="93"/>
              </w:rPr>
              <w:t>responsible for the observance and full performance of all of the Obligations, including without limitation, the repayment of the Loans and (c) that the Credit Agreement and the other Investment</w:t>
            </w:r>
          </w:p>
        </w:tc>
      </w:tr>
      <w:tr>
        <w:trPr>
          <w:trHeight w:val="153"/>
        </w:trPr>
        <w:tc>
          <w:tcPr>
            <w:tcW w:w="520" w:type="dxa"/>
            <w:vAlign w:val="bottom"/>
          </w:tcPr>
          <w:p>
            <w:pPr>
              <w:spacing w:after="0"/>
              <w:rPr>
                <w:sz w:val="13"/>
                <w:szCs w:val="13"/>
                <w:color w:val="auto"/>
              </w:rPr>
            </w:pPr>
          </w:p>
        </w:tc>
        <w:tc>
          <w:tcPr>
            <w:tcW w:w="10600" w:type="dxa"/>
            <w:vAlign w:val="bottom"/>
            <w:gridSpan w:val="7"/>
          </w:tcPr>
          <w:p>
            <w:pPr>
              <w:ind w:left="240"/>
              <w:spacing w:after="0"/>
              <w:rPr>
                <w:sz w:val="20"/>
                <w:szCs w:val="20"/>
                <w:color w:val="auto"/>
              </w:rPr>
            </w:pPr>
            <w:r>
              <w:rPr>
                <w:rFonts w:ascii="Arial" w:cs="Arial" w:eastAsia="Arial" w:hAnsi="Arial"/>
                <w:sz w:val="13"/>
                <w:szCs w:val="13"/>
                <w:color w:val="auto"/>
                <w:w w:val="93"/>
              </w:rPr>
              <w:t>Documents shall remain in full force and effect according to their terms, except as expressly modified or waived by this Agreement. Furthermore, the Loan Parties acknowledge and confirm that</w:t>
            </w:r>
          </w:p>
        </w:tc>
      </w:tr>
      <w:tr>
        <w:trPr>
          <w:trHeight w:val="153"/>
        </w:trPr>
        <w:tc>
          <w:tcPr>
            <w:tcW w:w="520" w:type="dxa"/>
            <w:vAlign w:val="bottom"/>
          </w:tcPr>
          <w:p>
            <w:pPr>
              <w:spacing w:after="0"/>
              <w:rPr>
                <w:sz w:val="13"/>
                <w:szCs w:val="13"/>
                <w:color w:val="auto"/>
              </w:rPr>
            </w:pPr>
          </w:p>
        </w:tc>
        <w:tc>
          <w:tcPr>
            <w:tcW w:w="10600" w:type="dxa"/>
            <w:vAlign w:val="bottom"/>
            <w:gridSpan w:val="7"/>
          </w:tcPr>
          <w:p>
            <w:pPr>
              <w:ind w:left="240"/>
              <w:spacing w:after="0"/>
              <w:rPr>
                <w:sz w:val="20"/>
                <w:szCs w:val="20"/>
                <w:color w:val="auto"/>
              </w:rPr>
            </w:pPr>
            <w:r>
              <w:rPr>
                <w:rFonts w:ascii="Arial" w:cs="Arial" w:eastAsia="Arial" w:hAnsi="Arial"/>
                <w:sz w:val="13"/>
                <w:szCs w:val="13"/>
                <w:color w:val="auto"/>
                <w:w w:val="94"/>
              </w:rPr>
              <w:t>by entering into this Agreement, the Administrative Agent and the Lenders do not, except as expressly set forth herein, waive or release any term or condition of the Credit Agreement or any of</w:t>
            </w:r>
          </w:p>
        </w:tc>
      </w:tr>
      <w:tr>
        <w:trPr>
          <w:trHeight w:val="166"/>
        </w:trPr>
        <w:tc>
          <w:tcPr>
            <w:tcW w:w="520" w:type="dxa"/>
            <w:vAlign w:val="bottom"/>
          </w:tcPr>
          <w:p>
            <w:pPr>
              <w:spacing w:after="0"/>
              <w:rPr>
                <w:sz w:val="14"/>
                <w:szCs w:val="14"/>
                <w:color w:val="auto"/>
              </w:rPr>
            </w:pPr>
          </w:p>
        </w:tc>
        <w:tc>
          <w:tcPr>
            <w:tcW w:w="10600" w:type="dxa"/>
            <w:vAlign w:val="bottom"/>
            <w:gridSpan w:val="7"/>
          </w:tcPr>
          <w:p>
            <w:pPr>
              <w:ind w:left="240"/>
              <w:spacing w:after="0"/>
              <w:rPr>
                <w:sz w:val="20"/>
                <w:szCs w:val="20"/>
                <w:color w:val="auto"/>
              </w:rPr>
            </w:pPr>
            <w:r>
              <w:rPr>
                <w:rFonts w:ascii="Arial" w:cs="Arial" w:eastAsia="Arial" w:hAnsi="Arial"/>
                <w:sz w:val="13"/>
                <w:szCs w:val="13"/>
                <w:color w:val="auto"/>
                <w:w w:val="99"/>
              </w:rPr>
              <w:t>the other Investment Documents or any of their rights or remedies under such Investment Documents or any applicable Law or any of the obligations of the Loan Parties thereunder.</w:t>
            </w:r>
          </w:p>
        </w:tc>
      </w:tr>
    </w:tbl>
    <w:p>
      <w:pPr>
        <w:spacing w:after="0" w:line="140" w:lineRule="exact"/>
        <w:rPr>
          <w:sz w:val="20"/>
          <w:szCs w:val="20"/>
          <w:color w:val="auto"/>
        </w:rPr>
      </w:pPr>
    </w:p>
    <w:p>
      <w:pPr>
        <w:ind w:left="1740" w:hanging="845"/>
        <w:spacing w:after="0"/>
        <w:tabs>
          <w:tab w:leader="none" w:pos="1740" w:val="left"/>
        </w:tabs>
        <w:numPr>
          <w:ilvl w:val="0"/>
          <w:numId w:val="25"/>
        </w:numPr>
        <w:rPr>
          <w:rFonts w:ascii="Arial" w:cs="Arial" w:eastAsia="Arial" w:hAnsi="Arial"/>
          <w:sz w:val="13"/>
          <w:szCs w:val="13"/>
          <w:color w:val="auto"/>
        </w:rPr>
      </w:pPr>
      <w:r>
        <w:rPr>
          <w:rFonts w:ascii="Arial" w:cs="Arial" w:eastAsia="Arial" w:hAnsi="Arial"/>
          <w:sz w:val="13"/>
          <w:szCs w:val="13"/>
          <w:u w:val="single" w:color="auto"/>
          <w:color w:val="auto"/>
        </w:rPr>
        <w:t>Miscellaneous</w:t>
      </w:r>
      <w:r>
        <w:rPr>
          <w:rFonts w:ascii="Arial" w:cs="Arial" w:eastAsia="Arial" w:hAnsi="Arial"/>
          <w:sz w:val="13"/>
          <w:szCs w:val="13"/>
          <w:color w:val="auto"/>
        </w:rPr>
        <w:t>.</w:t>
      </w:r>
    </w:p>
    <w:p>
      <w:pPr>
        <w:spacing w:after="0" w:line="138" w:lineRule="exact"/>
        <w:rPr>
          <w:rFonts w:ascii="Arial" w:cs="Arial" w:eastAsia="Arial" w:hAnsi="Arial"/>
          <w:sz w:val="13"/>
          <w:szCs w:val="13"/>
          <w:color w:val="auto"/>
        </w:rPr>
      </w:pPr>
    </w:p>
    <w:p>
      <w:pPr>
        <w:ind w:left="2580" w:hanging="839"/>
        <w:spacing w:after="0"/>
        <w:tabs>
          <w:tab w:leader="none" w:pos="2580" w:val="left"/>
        </w:tabs>
        <w:numPr>
          <w:ilvl w:val="1"/>
          <w:numId w:val="25"/>
        </w:numPr>
        <w:rPr>
          <w:rFonts w:ascii="Arial" w:cs="Arial" w:eastAsia="Arial" w:hAnsi="Arial"/>
          <w:sz w:val="13"/>
          <w:szCs w:val="13"/>
          <w:color w:val="auto"/>
        </w:rPr>
      </w:pPr>
      <w:r>
        <w:rPr>
          <w:rFonts w:ascii="Arial" w:cs="Arial" w:eastAsia="Arial" w:hAnsi="Arial"/>
          <w:sz w:val="13"/>
          <w:szCs w:val="13"/>
          <w:color w:val="auto"/>
        </w:rPr>
        <w:t>This Agreement is a Loan Document.</w:t>
      </w:r>
    </w:p>
    <w:p>
      <w:pPr>
        <w:spacing w:after="0" w:line="301"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203200</wp:posOffset>
            </wp:positionV>
            <wp:extent cx="7189470" cy="11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120"/>
          </w:cols>
          <w:pgMar w:left="360" w:top="165" w:right="419" w:bottom="1440" w:gutter="0" w:footer="0" w:header="0"/>
        </w:sectPr>
      </w:pPr>
    </w:p>
    <w:bookmarkStart w:id="65" w:name="page66"/>
    <w:bookmarkEnd w:id="65"/>
    <w:p>
      <w:pPr>
        <w:ind w:left="1740"/>
        <w:spacing w:after="0"/>
        <w:rPr>
          <w:sz w:val="20"/>
          <w:szCs w:val="20"/>
          <w:color w:val="auto"/>
        </w:rPr>
      </w:pPr>
      <w:r>
        <w:rPr>
          <w:rFonts w:ascii="Arial" w:cs="Arial" w:eastAsia="Arial" w:hAnsi="Arial"/>
          <w:sz w:val="13"/>
          <w:szCs w:val="13"/>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The Loan Parties hereby represent and warrant as follows:</w:t>
      </w:r>
    </w:p>
    <w:p>
      <w:pPr>
        <w:spacing w:after="0" w:line="181" w:lineRule="exact"/>
        <w:rPr>
          <w:sz w:val="20"/>
          <w:szCs w:val="20"/>
          <w:color w:val="auto"/>
        </w:rPr>
      </w:pPr>
    </w:p>
    <w:p>
      <w:pPr>
        <w:sectPr>
          <w:pgSz w:w="11900" w:h="16838" w:orient="portrait"/>
          <w:cols w:equalWidth="0" w:num="2">
            <w:col w:w="1900" w:space="680"/>
            <w:col w:w="8540"/>
          </w:cols>
          <w:pgMar w:left="360" w:top="128" w:right="419" w:bottom="1440" w:gutter="0" w:footer="0" w:header="0"/>
        </w:sectPr>
      </w:pPr>
    </w:p>
    <w:p>
      <w:pPr>
        <w:ind w:left="960"/>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Each Loan Party has taken all necessary action to authorize the execution, delivery and performance of this Agreement.</w:t>
      </w:r>
    </w:p>
    <w:p>
      <w:pPr>
        <w:spacing w:after="0" w:line="171" w:lineRule="exact"/>
        <w:rPr>
          <w:sz w:val="20"/>
          <w:szCs w:val="20"/>
          <w:color w:val="auto"/>
        </w:rPr>
      </w:pPr>
    </w:p>
    <w:p>
      <w:pPr>
        <w:sectPr>
          <w:pgSz w:w="11900" w:h="16838" w:orient="portrait"/>
          <w:cols w:equalWidth="0" w:num="2">
            <w:col w:w="1720" w:space="720"/>
            <w:col w:w="8680"/>
          </w:cols>
          <w:pgMar w:left="360" w:top="128" w:right="419" w:bottom="1440" w:gutter="0" w:footer="0" w:header="0"/>
          <w:type w:val="continuous"/>
        </w:sectPr>
      </w:pPr>
    </w:p>
    <w:p>
      <w:pPr>
        <w:ind w:left="960"/>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This Agreement has been duly executed and delivered by such Loan Party and constitutes such Loan Party’s legal, valid and binding obligations, enforceable in</w:t>
      </w:r>
    </w:p>
    <w:p>
      <w:pPr>
        <w:spacing w:after="0" w:line="27" w:lineRule="exact"/>
        <w:rPr>
          <w:sz w:val="20"/>
          <w:szCs w:val="20"/>
          <w:color w:val="auto"/>
        </w:rPr>
      </w:pPr>
    </w:p>
    <w:p>
      <w:pPr>
        <w:sectPr>
          <w:pgSz w:w="11900" w:h="16838" w:orient="portrait"/>
          <w:cols w:equalWidth="0" w:num="2">
            <w:col w:w="1720" w:space="720"/>
            <w:col w:w="8680"/>
          </w:cols>
          <w:pgMar w:left="360" w:top="128" w:right="419" w:bottom="1440" w:gutter="0" w:footer="0" w:header="0"/>
          <w:type w:val="continuous"/>
        </w:sectPr>
      </w:pPr>
    </w:p>
    <w:p>
      <w:pPr>
        <w:ind w:left="1740"/>
        <w:spacing w:after="0" w:line="251" w:lineRule="auto"/>
        <w:rPr>
          <w:sz w:val="20"/>
          <w:szCs w:val="20"/>
          <w:color w:val="auto"/>
        </w:rPr>
      </w:pPr>
      <w:r>
        <w:rPr>
          <w:rFonts w:ascii="Arial" w:cs="Arial" w:eastAsia="Arial" w:hAnsi="Arial"/>
          <w:sz w:val="13"/>
          <w:szCs w:val="13"/>
          <w:color w:val="auto"/>
        </w:rPr>
        <w:t>accordance with its terms, except as such enforceability may be limited by Debtor Relief Laws and general principles of equity (regardless of whether such enforceability is considered in a proceeding in equity or at law).</w:t>
      </w:r>
    </w:p>
    <w:p>
      <w:pPr>
        <w:spacing w:after="0" w:line="125" w:lineRule="exact"/>
        <w:rPr>
          <w:sz w:val="20"/>
          <w:szCs w:val="20"/>
          <w:color w:val="auto"/>
        </w:rPr>
      </w:pPr>
    </w:p>
    <w:p>
      <w:pPr>
        <w:ind w:left="1740" w:hanging="781"/>
        <w:spacing w:after="0" w:line="271" w:lineRule="auto"/>
        <w:tabs>
          <w:tab w:leader="none" w:pos="2445" w:val="left"/>
        </w:tabs>
        <w:numPr>
          <w:ilvl w:val="0"/>
          <w:numId w:val="26"/>
        </w:numPr>
        <w:rPr>
          <w:rFonts w:ascii="Arial" w:cs="Arial" w:eastAsia="Arial" w:hAnsi="Arial"/>
          <w:sz w:val="13"/>
          <w:szCs w:val="13"/>
          <w:color w:val="auto"/>
        </w:rPr>
      </w:pPr>
      <w:r>
        <w:rPr>
          <w:rFonts w:ascii="Arial" w:cs="Arial" w:eastAsia="Arial" w:hAnsi="Arial"/>
          <w:sz w:val="13"/>
          <w:szCs w:val="13"/>
          <w:color w:val="auto"/>
        </w:rPr>
        <w:t>No consent, approval, exemption, authorization or other action by, or notice to, or filing with, any Governmental Authority or any other Person is necessary or required in connection with the execution, delivery or performance by any Loan Party of this Agreement except as have been made or obtained.</w:t>
      </w:r>
    </w:p>
    <w:p>
      <w:pPr>
        <w:spacing w:after="0" w:line="121"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60" w:type="dxa"/>
            <w:vAlign w:val="bottom"/>
          </w:tcPr>
          <w:p>
            <w:pPr>
              <w:spacing w:after="0"/>
              <w:rPr>
                <w:sz w:val="20"/>
                <w:szCs w:val="20"/>
                <w:color w:val="auto"/>
              </w:rPr>
            </w:pPr>
            <w:r>
              <w:rPr>
                <w:rFonts w:ascii="Arial" w:cs="Arial" w:eastAsia="Arial" w:hAnsi="Arial"/>
                <w:sz w:val="13"/>
                <w:szCs w:val="13"/>
                <w:color w:val="auto"/>
              </w:rPr>
              <w:t>(c)</w:t>
            </w:r>
          </w:p>
        </w:tc>
        <w:tc>
          <w:tcPr>
            <w:tcW w:w="10540" w:type="dxa"/>
            <w:vAlign w:val="bottom"/>
            <w:gridSpan w:val="2"/>
          </w:tcPr>
          <w:p>
            <w:pPr>
              <w:jc w:val="right"/>
              <w:spacing w:after="0"/>
              <w:rPr>
                <w:sz w:val="20"/>
                <w:szCs w:val="20"/>
                <w:color w:val="auto"/>
              </w:rPr>
            </w:pPr>
            <w:r>
              <w:rPr>
                <w:rFonts w:ascii="Arial" w:cs="Arial" w:eastAsia="Arial" w:hAnsi="Arial"/>
                <w:sz w:val="13"/>
                <w:szCs w:val="13"/>
                <w:color w:val="auto"/>
              </w:rPr>
              <w:t>The Loan Parties represent and warrant to the Administrative Agent and the Lenders that after giving effect to this Agreement (i) the representations and warranties of the Loan</w:t>
            </w:r>
          </w:p>
        </w:tc>
      </w:tr>
      <w:tr>
        <w:trPr>
          <w:trHeight w:val="153"/>
        </w:trPr>
        <w:tc>
          <w:tcPr>
            <w:tcW w:w="460" w:type="dxa"/>
            <w:vAlign w:val="bottom"/>
          </w:tcPr>
          <w:p>
            <w:pPr>
              <w:spacing w:after="0"/>
              <w:rPr>
                <w:sz w:val="13"/>
                <w:szCs w:val="13"/>
                <w:color w:val="auto"/>
              </w:rPr>
            </w:pPr>
          </w:p>
        </w:tc>
        <w:tc>
          <w:tcPr>
            <w:tcW w:w="10540" w:type="dxa"/>
            <w:vAlign w:val="bottom"/>
            <w:gridSpan w:val="2"/>
          </w:tcPr>
          <w:p>
            <w:pPr>
              <w:jc w:val="right"/>
              <w:spacing w:after="0"/>
              <w:rPr>
                <w:sz w:val="20"/>
                <w:szCs w:val="20"/>
                <w:color w:val="auto"/>
              </w:rPr>
            </w:pPr>
            <w:r>
              <w:rPr>
                <w:rFonts w:ascii="Arial" w:cs="Arial" w:eastAsia="Arial" w:hAnsi="Arial"/>
                <w:sz w:val="13"/>
                <w:szCs w:val="13"/>
                <w:color w:val="auto"/>
                <w:w w:val="95"/>
              </w:rPr>
              <w:t>Parties set forth in Article VI of the Credit Agreement and in each other Loan Document are true and correct in all material respects (and in all respects if any such representation or warranty is</w:t>
            </w:r>
          </w:p>
        </w:tc>
      </w:tr>
      <w:tr>
        <w:trPr>
          <w:trHeight w:val="153"/>
        </w:trPr>
        <w:tc>
          <w:tcPr>
            <w:tcW w:w="460" w:type="dxa"/>
            <w:vAlign w:val="bottom"/>
          </w:tcPr>
          <w:p>
            <w:pPr>
              <w:spacing w:after="0"/>
              <w:rPr>
                <w:sz w:val="13"/>
                <w:szCs w:val="13"/>
                <w:color w:val="auto"/>
              </w:rPr>
            </w:pPr>
          </w:p>
        </w:tc>
        <w:tc>
          <w:tcPr>
            <w:tcW w:w="10540" w:type="dxa"/>
            <w:vAlign w:val="bottom"/>
            <w:gridSpan w:val="2"/>
          </w:tcPr>
          <w:p>
            <w:pPr>
              <w:jc w:val="right"/>
              <w:spacing w:after="0"/>
              <w:rPr>
                <w:sz w:val="20"/>
                <w:szCs w:val="20"/>
                <w:color w:val="auto"/>
              </w:rPr>
            </w:pPr>
            <w:r>
              <w:rPr>
                <w:rFonts w:ascii="Arial" w:cs="Arial" w:eastAsia="Arial" w:hAnsi="Arial"/>
                <w:sz w:val="13"/>
                <w:szCs w:val="13"/>
                <w:color w:val="auto"/>
              </w:rPr>
              <w:t>already qualified by materiality or reference to Material Adverse Effect) as of the date hereof with the same effect as if made on and as of the date hereof, except to the extent such</w:t>
            </w:r>
          </w:p>
        </w:tc>
      </w:tr>
      <w:tr>
        <w:trPr>
          <w:trHeight w:val="153"/>
        </w:trPr>
        <w:tc>
          <w:tcPr>
            <w:tcW w:w="460" w:type="dxa"/>
            <w:vAlign w:val="bottom"/>
          </w:tcPr>
          <w:p>
            <w:pPr>
              <w:spacing w:after="0"/>
              <w:rPr>
                <w:sz w:val="13"/>
                <w:szCs w:val="13"/>
                <w:color w:val="auto"/>
              </w:rPr>
            </w:pPr>
          </w:p>
        </w:tc>
        <w:tc>
          <w:tcPr>
            <w:tcW w:w="10540" w:type="dxa"/>
            <w:vAlign w:val="bottom"/>
            <w:gridSpan w:val="2"/>
          </w:tcPr>
          <w:p>
            <w:pPr>
              <w:jc w:val="right"/>
              <w:spacing w:after="0"/>
              <w:rPr>
                <w:sz w:val="20"/>
                <w:szCs w:val="20"/>
                <w:color w:val="auto"/>
              </w:rPr>
            </w:pPr>
            <w:r>
              <w:rPr>
                <w:rFonts w:ascii="Arial" w:cs="Arial" w:eastAsia="Arial" w:hAnsi="Arial"/>
                <w:sz w:val="13"/>
                <w:szCs w:val="13"/>
                <w:color w:val="auto"/>
                <w:w w:val="93"/>
              </w:rPr>
              <w:t>representations and warranties expressly relate solely to an earlier date in which case they shall be true and correct in all material respects (and in all respects if any such representation or warranty</w:t>
            </w:r>
          </w:p>
        </w:tc>
      </w:tr>
      <w:tr>
        <w:trPr>
          <w:trHeight w:val="153"/>
        </w:trPr>
        <w:tc>
          <w:tcPr>
            <w:tcW w:w="460" w:type="dxa"/>
            <w:vAlign w:val="bottom"/>
          </w:tcPr>
          <w:p>
            <w:pPr>
              <w:spacing w:after="0"/>
              <w:rPr>
                <w:sz w:val="13"/>
                <w:szCs w:val="13"/>
                <w:color w:val="auto"/>
              </w:rPr>
            </w:pPr>
          </w:p>
        </w:tc>
        <w:tc>
          <w:tcPr>
            <w:tcW w:w="10540" w:type="dxa"/>
            <w:vAlign w:val="bottom"/>
            <w:gridSpan w:val="2"/>
          </w:tcPr>
          <w:p>
            <w:pPr>
              <w:jc w:val="right"/>
              <w:spacing w:after="0"/>
              <w:rPr>
                <w:sz w:val="20"/>
                <w:szCs w:val="20"/>
                <w:color w:val="auto"/>
              </w:rPr>
            </w:pPr>
            <w:r>
              <w:rPr>
                <w:rFonts w:ascii="Arial" w:cs="Arial" w:eastAsia="Arial" w:hAnsi="Arial"/>
                <w:sz w:val="13"/>
                <w:szCs w:val="13"/>
                <w:color w:val="auto"/>
                <w:w w:val="98"/>
              </w:rPr>
              <w:t>is already qualified by materiality or reference to Material Adverse Effect) as of such earlier date and (ii) no event has occurred and is continuing which constitutes a Default or an Event of</w:t>
            </w:r>
          </w:p>
        </w:tc>
      </w:tr>
      <w:tr>
        <w:trPr>
          <w:trHeight w:val="166"/>
        </w:trPr>
        <w:tc>
          <w:tcPr>
            <w:tcW w:w="460" w:type="dxa"/>
            <w:vAlign w:val="bottom"/>
          </w:tcPr>
          <w:p>
            <w:pPr>
              <w:spacing w:after="0"/>
              <w:rPr>
                <w:sz w:val="14"/>
                <w:szCs w:val="14"/>
                <w:color w:val="auto"/>
              </w:rPr>
            </w:pPr>
          </w:p>
        </w:tc>
        <w:tc>
          <w:tcPr>
            <w:tcW w:w="1640" w:type="dxa"/>
            <w:vAlign w:val="bottom"/>
          </w:tcPr>
          <w:p>
            <w:pPr>
              <w:ind w:left="320"/>
              <w:spacing w:after="0"/>
              <w:rPr>
                <w:sz w:val="20"/>
                <w:szCs w:val="20"/>
                <w:color w:val="auto"/>
              </w:rPr>
            </w:pPr>
            <w:r>
              <w:rPr>
                <w:rFonts w:ascii="Arial" w:cs="Arial" w:eastAsia="Arial" w:hAnsi="Arial"/>
                <w:sz w:val="13"/>
                <w:szCs w:val="13"/>
                <w:color w:val="auto"/>
              </w:rPr>
              <w:t>Default.</w:t>
            </w:r>
          </w:p>
        </w:tc>
        <w:tc>
          <w:tcPr>
            <w:tcW w:w="8900" w:type="dxa"/>
            <w:vAlign w:val="bottom"/>
          </w:tcPr>
          <w:p>
            <w:pPr>
              <w:spacing w:after="0"/>
              <w:rPr>
                <w:sz w:val="14"/>
                <w:szCs w:val="14"/>
                <w:color w:val="auto"/>
              </w:rPr>
            </w:pPr>
          </w:p>
        </w:tc>
      </w:tr>
      <w:tr>
        <w:trPr>
          <w:trHeight w:val="284"/>
        </w:trPr>
        <w:tc>
          <w:tcPr>
            <w:tcW w:w="460" w:type="dxa"/>
            <w:vAlign w:val="bottom"/>
          </w:tcPr>
          <w:p>
            <w:pPr>
              <w:spacing w:after="0"/>
              <w:rPr>
                <w:sz w:val="20"/>
                <w:szCs w:val="20"/>
                <w:color w:val="auto"/>
              </w:rPr>
            </w:pPr>
            <w:r>
              <w:rPr>
                <w:rFonts w:ascii="Arial" w:cs="Arial" w:eastAsia="Arial" w:hAnsi="Arial"/>
                <w:sz w:val="13"/>
                <w:szCs w:val="13"/>
                <w:color w:val="auto"/>
              </w:rPr>
              <w:t>(d)</w:t>
            </w:r>
          </w:p>
        </w:tc>
        <w:tc>
          <w:tcPr>
            <w:tcW w:w="10540" w:type="dxa"/>
            <w:vAlign w:val="bottom"/>
            <w:gridSpan w:val="2"/>
          </w:tcPr>
          <w:p>
            <w:pPr>
              <w:jc w:val="right"/>
              <w:spacing w:after="0"/>
              <w:rPr>
                <w:sz w:val="20"/>
                <w:szCs w:val="20"/>
                <w:color w:val="auto"/>
              </w:rPr>
            </w:pPr>
            <w:r>
              <w:rPr>
                <w:rFonts w:ascii="Arial" w:cs="Arial" w:eastAsia="Arial" w:hAnsi="Arial"/>
                <w:sz w:val="13"/>
                <w:szCs w:val="13"/>
                <w:color w:val="auto"/>
              </w:rPr>
              <w:t>Each of the Loan Parties hereby affirms the Liens created and granted in the Loan Documents in favor of the Administrative Agent, for the benefit of the Secured Parties, and</w:t>
            </w:r>
          </w:p>
        </w:tc>
      </w:tr>
      <w:tr>
        <w:trPr>
          <w:trHeight w:val="166"/>
        </w:trPr>
        <w:tc>
          <w:tcPr>
            <w:tcW w:w="460" w:type="dxa"/>
            <w:vAlign w:val="bottom"/>
          </w:tcPr>
          <w:p>
            <w:pPr>
              <w:spacing w:after="0"/>
              <w:rPr>
                <w:sz w:val="14"/>
                <w:szCs w:val="14"/>
                <w:color w:val="auto"/>
              </w:rPr>
            </w:pPr>
          </w:p>
        </w:tc>
        <w:tc>
          <w:tcPr>
            <w:tcW w:w="10540" w:type="dxa"/>
            <w:vAlign w:val="bottom"/>
            <w:gridSpan w:val="2"/>
          </w:tcPr>
          <w:p>
            <w:pPr>
              <w:ind w:left="320"/>
              <w:spacing w:after="0"/>
              <w:rPr>
                <w:sz w:val="20"/>
                <w:szCs w:val="20"/>
                <w:color w:val="auto"/>
              </w:rPr>
            </w:pPr>
            <w:r>
              <w:rPr>
                <w:rFonts w:ascii="Arial" w:cs="Arial" w:eastAsia="Arial" w:hAnsi="Arial"/>
                <w:sz w:val="13"/>
                <w:szCs w:val="13"/>
                <w:color w:val="auto"/>
              </w:rPr>
              <w:t>agrees that this Agreement does not adversely affect or impair such liens and security interests in any manner.</w:t>
            </w:r>
          </w:p>
        </w:tc>
      </w:tr>
      <w:tr>
        <w:trPr>
          <w:trHeight w:val="293"/>
        </w:trPr>
        <w:tc>
          <w:tcPr>
            <w:tcW w:w="460" w:type="dxa"/>
            <w:vAlign w:val="bottom"/>
          </w:tcPr>
          <w:p>
            <w:pPr>
              <w:spacing w:after="0"/>
              <w:rPr>
                <w:sz w:val="20"/>
                <w:szCs w:val="20"/>
                <w:color w:val="auto"/>
              </w:rPr>
            </w:pPr>
            <w:r>
              <w:rPr>
                <w:rFonts w:ascii="Arial" w:cs="Arial" w:eastAsia="Arial" w:hAnsi="Arial"/>
                <w:sz w:val="13"/>
                <w:szCs w:val="13"/>
                <w:color w:val="auto"/>
              </w:rPr>
              <w:t>(e)</w:t>
            </w:r>
          </w:p>
        </w:tc>
        <w:tc>
          <w:tcPr>
            <w:tcW w:w="10540" w:type="dxa"/>
            <w:vAlign w:val="bottom"/>
            <w:gridSpan w:val="2"/>
          </w:tcPr>
          <w:p>
            <w:pPr>
              <w:jc w:val="right"/>
              <w:spacing w:after="0"/>
              <w:rPr>
                <w:sz w:val="20"/>
                <w:szCs w:val="20"/>
                <w:color w:val="auto"/>
              </w:rPr>
            </w:pPr>
            <w:r>
              <w:rPr>
                <w:rFonts w:ascii="Arial" w:cs="Arial" w:eastAsia="Arial" w:hAnsi="Arial"/>
                <w:sz w:val="13"/>
                <w:szCs w:val="13"/>
                <w:color w:val="auto"/>
              </w:rPr>
              <w:t>This Agreement may be executed in counterparts (and by different parties hereto in different counterparts), each of which shall constitute an original, but all of which when taken</w:t>
            </w:r>
          </w:p>
        </w:tc>
      </w:tr>
      <w:tr>
        <w:trPr>
          <w:trHeight w:val="153"/>
        </w:trPr>
        <w:tc>
          <w:tcPr>
            <w:tcW w:w="460" w:type="dxa"/>
            <w:vAlign w:val="bottom"/>
          </w:tcPr>
          <w:p>
            <w:pPr>
              <w:spacing w:after="0"/>
              <w:rPr>
                <w:sz w:val="13"/>
                <w:szCs w:val="13"/>
                <w:color w:val="auto"/>
              </w:rPr>
            </w:pPr>
          </w:p>
        </w:tc>
        <w:tc>
          <w:tcPr>
            <w:tcW w:w="10540" w:type="dxa"/>
            <w:vAlign w:val="bottom"/>
            <w:gridSpan w:val="2"/>
          </w:tcPr>
          <w:p>
            <w:pPr>
              <w:jc w:val="right"/>
              <w:spacing w:after="0"/>
              <w:rPr>
                <w:sz w:val="20"/>
                <w:szCs w:val="20"/>
                <w:color w:val="auto"/>
              </w:rPr>
            </w:pPr>
            <w:r>
              <w:rPr>
                <w:rFonts w:ascii="Arial" w:cs="Arial" w:eastAsia="Arial" w:hAnsi="Arial"/>
                <w:sz w:val="13"/>
                <w:szCs w:val="13"/>
                <w:color w:val="auto"/>
                <w:w w:val="96"/>
              </w:rPr>
              <w:t>together shall constitute a single contract. Delivery of an executed counterpart of a signature page of this Agreement by facsimile or other electronic imaging means (e.g. “pdf” or “tif”) shall be</w:t>
            </w:r>
          </w:p>
        </w:tc>
      </w:tr>
      <w:tr>
        <w:trPr>
          <w:trHeight w:val="166"/>
        </w:trPr>
        <w:tc>
          <w:tcPr>
            <w:tcW w:w="460" w:type="dxa"/>
            <w:vAlign w:val="bottom"/>
          </w:tcPr>
          <w:p>
            <w:pPr>
              <w:spacing w:after="0"/>
              <w:rPr>
                <w:sz w:val="14"/>
                <w:szCs w:val="14"/>
                <w:color w:val="auto"/>
              </w:rPr>
            </w:pPr>
          </w:p>
        </w:tc>
        <w:tc>
          <w:tcPr>
            <w:tcW w:w="10540" w:type="dxa"/>
            <w:vAlign w:val="bottom"/>
            <w:gridSpan w:val="2"/>
          </w:tcPr>
          <w:p>
            <w:pPr>
              <w:ind w:left="320"/>
              <w:spacing w:after="0"/>
              <w:rPr>
                <w:sz w:val="20"/>
                <w:szCs w:val="20"/>
                <w:color w:val="auto"/>
              </w:rPr>
            </w:pPr>
            <w:r>
              <w:rPr>
                <w:rFonts w:ascii="Arial" w:cs="Arial" w:eastAsia="Arial" w:hAnsi="Arial"/>
                <w:sz w:val="13"/>
                <w:szCs w:val="13"/>
                <w:color w:val="auto"/>
              </w:rPr>
              <w:t>effective as delivery of a manually executed counterpart of this Agreement.</w:t>
            </w:r>
          </w:p>
        </w:tc>
      </w:tr>
      <w:tr>
        <w:trPr>
          <w:trHeight w:val="284"/>
        </w:trPr>
        <w:tc>
          <w:tcPr>
            <w:tcW w:w="460" w:type="dxa"/>
            <w:vAlign w:val="bottom"/>
          </w:tcPr>
          <w:p>
            <w:pPr>
              <w:spacing w:after="0"/>
              <w:rPr>
                <w:sz w:val="24"/>
                <w:szCs w:val="24"/>
                <w:color w:val="auto"/>
              </w:rPr>
            </w:pPr>
          </w:p>
        </w:tc>
        <w:tc>
          <w:tcPr>
            <w:tcW w:w="1640" w:type="dxa"/>
            <w:vAlign w:val="bottom"/>
          </w:tcPr>
          <w:p>
            <w:pPr>
              <w:ind w:left="1160"/>
              <w:spacing w:after="0"/>
              <w:rPr>
                <w:sz w:val="20"/>
                <w:szCs w:val="20"/>
                <w:color w:val="auto"/>
              </w:rPr>
            </w:pPr>
            <w:r>
              <w:rPr>
                <w:rFonts w:ascii="Arial" w:cs="Arial" w:eastAsia="Arial" w:hAnsi="Arial"/>
                <w:sz w:val="13"/>
                <w:szCs w:val="13"/>
                <w:color w:val="auto"/>
              </w:rPr>
              <w:t>(f)</w:t>
            </w:r>
          </w:p>
        </w:tc>
        <w:tc>
          <w:tcPr>
            <w:tcW w:w="8900" w:type="dxa"/>
            <w:vAlign w:val="bottom"/>
          </w:tcPr>
          <w:p>
            <w:pPr>
              <w:jc w:val="right"/>
              <w:ind w:right="4174"/>
              <w:spacing w:after="0"/>
              <w:rPr>
                <w:sz w:val="20"/>
                <w:szCs w:val="20"/>
                <w:color w:val="auto"/>
              </w:rPr>
            </w:pPr>
            <w:r>
              <w:rPr>
                <w:rFonts w:ascii="Arial" w:cs="Arial" w:eastAsia="Arial" w:hAnsi="Arial"/>
                <w:sz w:val="13"/>
                <w:szCs w:val="13"/>
                <w:color w:val="auto"/>
              </w:rPr>
              <w:t>If any provision of this Agreement is held to be illegal, invalid or unenforceable,</w:t>
            </w:r>
          </w:p>
        </w:tc>
      </w:tr>
      <w:tr>
        <w:trPr>
          <w:trHeight w:val="153"/>
        </w:trPr>
        <w:tc>
          <w:tcPr>
            <w:tcW w:w="460" w:type="dxa"/>
            <w:vAlign w:val="bottom"/>
          </w:tcPr>
          <w:p>
            <w:pPr>
              <w:spacing w:after="0"/>
              <w:rPr>
                <w:sz w:val="13"/>
                <w:szCs w:val="13"/>
                <w:color w:val="auto"/>
              </w:rPr>
            </w:pPr>
          </w:p>
        </w:tc>
        <w:tc>
          <w:tcPr>
            <w:tcW w:w="10540" w:type="dxa"/>
            <w:vAlign w:val="bottom"/>
            <w:gridSpan w:val="2"/>
          </w:tcPr>
          <w:p>
            <w:pPr>
              <w:jc w:val="right"/>
              <w:spacing w:after="0"/>
              <w:rPr>
                <w:sz w:val="20"/>
                <w:szCs w:val="20"/>
                <w:color w:val="auto"/>
              </w:rPr>
            </w:pPr>
            <w:r>
              <w:rPr>
                <w:rFonts w:ascii="Arial" w:cs="Arial" w:eastAsia="Arial" w:hAnsi="Arial"/>
                <w:sz w:val="13"/>
                <w:szCs w:val="13"/>
                <w:color w:val="auto"/>
                <w:w w:val="96"/>
              </w:rPr>
              <w:t>(i) the legality, validity and enforceability of the remaining provisions of this Agreement shall not be affected or impaired thereby and (ii) the parties shall endeavor in good faith negotiations to</w:t>
            </w:r>
          </w:p>
        </w:tc>
      </w:tr>
      <w:tr>
        <w:trPr>
          <w:trHeight w:val="153"/>
        </w:trPr>
        <w:tc>
          <w:tcPr>
            <w:tcW w:w="460" w:type="dxa"/>
            <w:vAlign w:val="bottom"/>
          </w:tcPr>
          <w:p>
            <w:pPr>
              <w:spacing w:after="0"/>
              <w:rPr>
                <w:sz w:val="13"/>
                <w:szCs w:val="13"/>
                <w:color w:val="auto"/>
              </w:rPr>
            </w:pPr>
          </w:p>
        </w:tc>
        <w:tc>
          <w:tcPr>
            <w:tcW w:w="10540" w:type="dxa"/>
            <w:vAlign w:val="bottom"/>
            <w:gridSpan w:val="2"/>
          </w:tcPr>
          <w:p>
            <w:pPr>
              <w:jc w:val="right"/>
              <w:spacing w:after="0"/>
              <w:rPr>
                <w:sz w:val="20"/>
                <w:szCs w:val="20"/>
                <w:color w:val="auto"/>
              </w:rPr>
            </w:pPr>
            <w:r>
              <w:rPr>
                <w:rFonts w:ascii="Arial" w:cs="Arial" w:eastAsia="Arial" w:hAnsi="Arial"/>
                <w:sz w:val="13"/>
                <w:szCs w:val="13"/>
                <w:color w:val="auto"/>
                <w:w w:val="97"/>
              </w:rPr>
              <w:t>replace the illegal, invalid or unenforceable provisions with valid provisions the economic effect of which comes as close as possible to that of the illegal, invalid or unenforceable provisions.</w:t>
            </w:r>
          </w:p>
        </w:tc>
      </w:tr>
      <w:tr>
        <w:trPr>
          <w:trHeight w:val="166"/>
        </w:trPr>
        <w:tc>
          <w:tcPr>
            <w:tcW w:w="460" w:type="dxa"/>
            <w:vAlign w:val="bottom"/>
          </w:tcPr>
          <w:p>
            <w:pPr>
              <w:spacing w:after="0"/>
              <w:rPr>
                <w:sz w:val="14"/>
                <w:szCs w:val="14"/>
                <w:color w:val="auto"/>
              </w:rPr>
            </w:pPr>
          </w:p>
        </w:tc>
        <w:tc>
          <w:tcPr>
            <w:tcW w:w="10540" w:type="dxa"/>
            <w:vAlign w:val="bottom"/>
            <w:gridSpan w:val="2"/>
          </w:tcPr>
          <w:p>
            <w:pPr>
              <w:ind w:left="320"/>
              <w:spacing w:after="0"/>
              <w:rPr>
                <w:sz w:val="20"/>
                <w:szCs w:val="20"/>
                <w:color w:val="auto"/>
              </w:rPr>
            </w:pPr>
            <w:r>
              <w:rPr>
                <w:rFonts w:ascii="Arial" w:cs="Arial" w:eastAsia="Arial" w:hAnsi="Arial"/>
                <w:sz w:val="13"/>
                <w:szCs w:val="13"/>
                <w:color w:val="auto"/>
              </w:rPr>
              <w:t>The invalidity of a provision in a particular jurisdiction shall not invalidate or render unenforceable such provision in any other jurisdiction.</w:t>
            </w:r>
          </w:p>
        </w:tc>
      </w:tr>
      <w:tr>
        <w:trPr>
          <w:trHeight w:val="303"/>
        </w:trPr>
        <w:tc>
          <w:tcPr>
            <w:tcW w:w="460" w:type="dxa"/>
            <w:vAlign w:val="bottom"/>
          </w:tcPr>
          <w:p>
            <w:pPr>
              <w:spacing w:after="0"/>
              <w:rPr>
                <w:sz w:val="24"/>
                <w:szCs w:val="24"/>
                <w:color w:val="auto"/>
              </w:rPr>
            </w:pPr>
          </w:p>
        </w:tc>
        <w:tc>
          <w:tcPr>
            <w:tcW w:w="1640" w:type="dxa"/>
            <w:vAlign w:val="bottom"/>
          </w:tcPr>
          <w:p>
            <w:pPr>
              <w:ind w:left="1080"/>
              <w:spacing w:after="0"/>
              <w:rPr>
                <w:sz w:val="20"/>
                <w:szCs w:val="20"/>
                <w:color w:val="auto"/>
              </w:rPr>
            </w:pPr>
            <w:r>
              <w:rPr>
                <w:rFonts w:ascii="Arial" w:cs="Arial" w:eastAsia="Arial" w:hAnsi="Arial"/>
                <w:sz w:val="13"/>
                <w:szCs w:val="13"/>
                <w:b w:val="1"/>
                <w:bCs w:val="1"/>
                <w:color w:val="auto"/>
              </w:rPr>
              <w:t>(g)</w:t>
            </w:r>
          </w:p>
        </w:tc>
        <w:tc>
          <w:tcPr>
            <w:tcW w:w="8900" w:type="dxa"/>
            <w:vAlign w:val="bottom"/>
          </w:tcPr>
          <w:p>
            <w:pPr>
              <w:jc w:val="right"/>
              <w:spacing w:after="0"/>
              <w:rPr>
                <w:sz w:val="20"/>
                <w:szCs w:val="20"/>
                <w:color w:val="auto"/>
              </w:rPr>
            </w:pPr>
            <w:r>
              <w:rPr>
                <w:rFonts w:ascii="Arial" w:cs="Arial" w:eastAsia="Arial" w:hAnsi="Arial"/>
                <w:sz w:val="13"/>
                <w:szCs w:val="13"/>
                <w:b w:val="1"/>
                <w:bCs w:val="1"/>
                <w:color w:val="auto"/>
              </w:rPr>
              <w:t>THIS AGREEMENT AND THE RIGHTS AND OBLIGATIONS OF THE PARTIES HEREUNDER SHALL BE GOVERNED BY AND</w:t>
            </w:r>
          </w:p>
        </w:tc>
      </w:tr>
    </w:tbl>
    <w:p>
      <w:pPr>
        <w:ind w:left="900"/>
        <w:spacing w:after="0"/>
        <w:rPr>
          <w:sz w:val="20"/>
          <w:szCs w:val="20"/>
          <w:color w:val="auto"/>
        </w:rPr>
      </w:pPr>
      <w:r>
        <w:rPr>
          <w:rFonts w:ascii="Arial" w:cs="Arial" w:eastAsia="Arial" w:hAnsi="Arial"/>
          <w:sz w:val="13"/>
          <w:szCs w:val="13"/>
          <w:b w:val="1"/>
          <w:bCs w:val="1"/>
          <w:color w:val="auto"/>
        </w:rPr>
        <w:t>CONSTRUED AND INTERPRETED IN ACCORDANCE WITH THE LAWS OF THE STATE OF NEW YORK.</w:t>
      </w:r>
    </w:p>
    <w:p>
      <w:pPr>
        <w:spacing w:after="0" w:line="291" w:lineRule="exact"/>
        <w:rPr>
          <w:sz w:val="20"/>
          <w:szCs w:val="20"/>
          <w:color w:val="auto"/>
        </w:rPr>
      </w:pPr>
    </w:p>
    <w:p>
      <w:pP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203200</wp:posOffset>
            </wp:positionV>
            <wp:extent cx="7189470" cy="11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120"/>
          </w:cols>
          <w:pgMar w:left="360" w:top="128" w:right="419" w:bottom="1440" w:gutter="0" w:footer="0" w:header="0"/>
          <w:type w:val="continuous"/>
        </w:sectPr>
      </w:pPr>
    </w:p>
    <w:bookmarkStart w:id="66" w:name="page67"/>
    <w:bookmarkEnd w:id="66"/>
    <w:p>
      <w:pPr>
        <w:jc w:val="right"/>
        <w:ind w:right="3379"/>
        <w:spacing w:after="0"/>
        <w:rPr>
          <w:sz w:val="20"/>
          <w:szCs w:val="20"/>
          <w:color w:val="auto"/>
        </w:rPr>
      </w:pPr>
      <w:r>
        <w:rPr>
          <w:rFonts w:ascii="Arial" w:cs="Arial" w:eastAsia="Arial" w:hAnsi="Arial"/>
          <w:sz w:val="13"/>
          <w:szCs w:val="13"/>
          <w:color w:val="auto"/>
        </w:rPr>
        <w:t>[remainder of page intentionally left blank]</w:t>
      </w:r>
    </w:p>
    <w:p>
      <w:pPr>
        <w:spacing w:after="0" w:line="301" w:lineRule="exact"/>
        <w:rPr>
          <w:sz w:val="20"/>
          <w:szCs w:val="20"/>
          <w:color w:val="auto"/>
        </w:rPr>
      </w:pPr>
    </w:p>
    <w:p>
      <w:pP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203200</wp:posOffset>
            </wp:positionV>
            <wp:extent cx="7189470" cy="11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099"/>
          </w:cols>
          <w:pgMar w:left="360" w:top="165" w:right="1440" w:bottom="1440" w:gutter="0" w:footer="0" w:header="0"/>
        </w:sectPr>
      </w:pPr>
    </w:p>
    <w:bookmarkStart w:id="67" w:name="page68"/>
    <w:bookmarkEnd w:id="67"/>
    <w:p>
      <w:pPr>
        <w:ind w:left="760"/>
        <w:spacing w:after="0"/>
        <w:rPr>
          <w:sz w:val="20"/>
          <w:szCs w:val="20"/>
          <w:color w:val="auto"/>
        </w:rPr>
      </w:pPr>
      <w:r>
        <w:rPr>
          <w:rFonts w:ascii="Arial" w:cs="Arial" w:eastAsia="Arial" w:hAnsi="Arial"/>
          <w:sz w:val="10"/>
          <w:szCs w:val="10"/>
          <w:color w:val="auto"/>
        </w:rPr>
        <w:t>Each of the parties hereto has caused a counterpart of this Agreement to be duly executed and delivered as of the date first above written.</w:t>
      </w:r>
    </w:p>
    <w:p>
      <w:pPr>
        <w:sectPr>
          <w:pgSz w:w="11900" w:h="16838" w:orient="portrait"/>
          <w:cols w:equalWidth="0" w:num="1">
            <w:col w:w="11160"/>
          </w:cols>
          <w:pgMar w:left="420" w:top="230" w:right="319" w:bottom="1440" w:gutter="0" w:footer="0" w:header="0"/>
        </w:sectPr>
      </w:pPr>
    </w:p>
    <w:p>
      <w:pPr>
        <w:spacing w:after="0" w:line="182" w:lineRule="exact"/>
        <w:rPr>
          <w:sz w:val="20"/>
          <w:szCs w:val="20"/>
          <w:color w:val="auto"/>
        </w:rPr>
      </w:pPr>
    </w:p>
    <w:p>
      <w:pPr>
        <w:spacing w:after="0"/>
        <w:rPr>
          <w:sz w:val="20"/>
          <w:szCs w:val="20"/>
          <w:color w:val="auto"/>
        </w:rPr>
      </w:pPr>
      <w:r>
        <w:rPr>
          <w:rFonts w:ascii="Arial" w:cs="Arial" w:eastAsia="Arial" w:hAnsi="Arial"/>
          <w:sz w:val="11"/>
          <w:szCs w:val="11"/>
          <w:color w:val="auto"/>
        </w:rPr>
        <w:t>BORROWERS: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VENUS CONCEPT CANADA CORP.,</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an Ontario corporation</w:t>
      </w:r>
    </w:p>
    <w:p>
      <w:pPr>
        <w:spacing w:after="0" w:line="200" w:lineRule="exact"/>
        <w:rPr>
          <w:sz w:val="20"/>
          <w:szCs w:val="20"/>
          <w:color w:val="auto"/>
        </w:rPr>
      </w:pPr>
    </w:p>
    <w:p>
      <w:pPr>
        <w:sectPr>
          <w:pgSz w:w="11900" w:h="16838" w:orient="portrait"/>
          <w:cols w:equalWidth="0" w:num="2">
            <w:col w:w="2180" w:space="720"/>
            <w:col w:w="8260"/>
          </w:cols>
          <w:pgMar w:left="420" w:top="230" w:right="319" w:bottom="1440" w:gutter="0" w:footer="0" w:header="0"/>
          <w:type w:val="continuous"/>
        </w:sectPr>
      </w:pPr>
    </w:p>
    <w:p>
      <w:pPr>
        <w:spacing w:after="0" w:line="122"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/s/ Domenic Serafino</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Name: Domenic Serafino</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Title: Chief Executive Officer</w:t>
      </w:r>
    </w:p>
    <w:p>
      <w:pPr>
        <w:spacing w:after="0" w:line="283" w:lineRule="exact"/>
        <w:rPr>
          <w:sz w:val="20"/>
          <w:szCs w:val="20"/>
          <w:color w:val="auto"/>
        </w:rPr>
      </w:pPr>
    </w:p>
    <w:p>
      <w:pPr>
        <w:ind w:left="4080"/>
        <w:spacing w:after="0"/>
        <w:rPr>
          <w:sz w:val="20"/>
          <w:szCs w:val="20"/>
          <w:color w:val="auto"/>
        </w:rPr>
      </w:pPr>
      <w:r>
        <w:rPr>
          <w:rFonts w:ascii="Arial" w:cs="Arial" w:eastAsia="Arial" w:hAnsi="Arial"/>
          <w:sz w:val="12"/>
          <w:szCs w:val="12"/>
          <w:color w:val="auto"/>
        </w:rPr>
        <w:t>VENUS CONCEPT USA INC.,</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2"/>
          <w:szCs w:val="12"/>
          <w:color w:val="auto"/>
        </w:rPr>
        <w:t>a Delaware corporation</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/s/ Domenic Serafino</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Name: Domenic Serafino</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Title: President</w:t>
      </w:r>
    </w:p>
    <w:p>
      <w:pPr>
        <w:spacing w:after="0" w:line="200" w:lineRule="exact"/>
        <w:rPr>
          <w:sz w:val="20"/>
          <w:szCs w:val="20"/>
          <w:color w:val="auto"/>
        </w:rPr>
      </w:pPr>
    </w:p>
    <w:p>
      <w:pPr>
        <w:spacing w:after="0" w:line="326" w:lineRule="exact"/>
        <w:rPr>
          <w:sz w:val="20"/>
          <w:szCs w:val="20"/>
          <w:color w:val="auto"/>
        </w:rPr>
      </w:pPr>
    </w:p>
    <w:p>
      <w:pPr>
        <w:spacing w:after="0"/>
        <w:tabs>
          <w:tab w:leader="none" w:pos="2600" w:val="left"/>
        </w:tabs>
        <w:rPr>
          <w:sz w:val="20"/>
          <w:szCs w:val="20"/>
          <w:color w:val="auto"/>
        </w:rPr>
      </w:pPr>
      <w:r>
        <w:rPr>
          <w:rFonts w:ascii="Arial" w:cs="Arial" w:eastAsia="Arial" w:hAnsi="Arial"/>
          <w:sz w:val="12"/>
          <w:szCs w:val="12"/>
          <w:color w:val="auto"/>
        </w:rPr>
        <w:t>PARENT:</w:t>
      </w:r>
      <w:r>
        <w:rPr>
          <w:sz w:val="20"/>
          <w:szCs w:val="20"/>
          <w:color w:val="auto"/>
        </w:rPr>
        <w:tab/>
      </w:r>
      <w:r>
        <w:rPr>
          <w:rFonts w:ascii="Arial" w:cs="Arial" w:eastAsia="Arial" w:hAnsi="Arial"/>
          <w:sz w:val="12"/>
          <w:szCs w:val="12"/>
          <w:color w:val="auto"/>
        </w:rPr>
        <w:t>VENUS CONCEPT LTD.,</w:t>
      </w:r>
    </w:p>
    <w:p>
      <w:pPr>
        <w:spacing w:after="0" w:line="15" w:lineRule="exact"/>
        <w:rPr>
          <w:sz w:val="20"/>
          <w:szCs w:val="20"/>
          <w:color w:val="auto"/>
        </w:rPr>
      </w:pPr>
    </w:p>
    <w:p>
      <w:pPr>
        <w:jc w:val="center"/>
        <w:ind w:right="460"/>
        <w:spacing w:after="0"/>
        <w:rPr>
          <w:sz w:val="20"/>
          <w:szCs w:val="20"/>
          <w:color w:val="auto"/>
        </w:rPr>
      </w:pPr>
      <w:r>
        <w:rPr>
          <w:rFonts w:ascii="Arial" w:cs="Arial" w:eastAsia="Arial" w:hAnsi="Arial"/>
          <w:sz w:val="10"/>
          <w:szCs w:val="10"/>
          <w:color w:val="auto"/>
        </w:rPr>
        <w:t>an Israeli corporation</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/s/ Domenic Serafino</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Name: Domenic Serafino</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Title: Director</w:t>
      </w:r>
    </w:p>
    <w:p>
      <w:pPr>
        <w:sectPr>
          <w:pgSz w:w="11900" w:h="16838" w:orient="portrait"/>
          <w:cols w:equalWidth="0" w:num="1">
            <w:col w:w="11160"/>
          </w:cols>
          <w:pgMar w:left="420" w:top="230" w:right="319" w:bottom="144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1"/>
          <w:szCs w:val="11"/>
          <w:color w:val="auto"/>
        </w:rPr>
        <w:t>SUPER PARENT: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1"/>
          <w:szCs w:val="11"/>
          <w:color w:val="auto"/>
        </w:rPr>
        <w:t>VENUS CONCEPT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2"/>
          <w:szCs w:val="12"/>
          <w:color w:val="auto"/>
        </w:rPr>
        <w:t>INC.,</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0"/>
          <w:szCs w:val="10"/>
          <w:color w:val="auto"/>
        </w:rPr>
        <w:t>a Delaware corporation</w:t>
      </w:r>
    </w:p>
    <w:p>
      <w:pPr>
        <w:spacing w:after="0" w:line="171" w:lineRule="exact"/>
        <w:rPr>
          <w:sz w:val="20"/>
          <w:szCs w:val="20"/>
          <w:color w:val="auto"/>
        </w:rPr>
      </w:pPr>
    </w:p>
    <w:p>
      <w:pPr>
        <w:sectPr>
          <w:pgSz w:w="11900" w:h="16838" w:orient="portrait"/>
          <w:cols w:equalWidth="0" w:num="3">
            <w:col w:w="2300" w:space="720"/>
            <w:col w:w="980" w:space="40"/>
            <w:col w:w="7120"/>
          </w:cols>
          <w:pgMar w:left="420" w:top="230" w:right="319" w:bottom="1440" w:gutter="0" w:footer="0" w:header="0"/>
          <w:type w:val="continuous"/>
        </w:sectPr>
      </w:pPr>
    </w:p>
    <w:p>
      <w:pPr>
        <w:ind w:left="116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/s/ Domenic Serafino</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Name: Domenic Serafino</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VENUS CONCEPT CANADA CORP. AND VENUS CONCEPT USA INC. ELEVENTH AMENDMENT TO CREDIT AGREEMENT AND CONSENT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203200</wp:posOffset>
            </wp:positionV>
            <wp:extent cx="7189470" cy="11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160"/>
          </w:cols>
          <w:pgMar w:left="420" w:top="230" w:right="31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4"/>
          <w:szCs w:val="14"/>
          <w:color w:val="544848"/>
        </w:rPr>
        <w:t>ADMINISTRATIVE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544848"/>
        </w:rPr>
        <w:t>AGENT: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544848"/>
        </w:rPr>
        <w:t>MADRYN HEALTH PARTNERS, LP</w:t>
      </w:r>
      <w:r>
        <w:rPr>
          <w:rFonts w:ascii="Arial" w:cs="Arial" w:eastAsia="Arial" w:hAnsi="Arial"/>
          <w:sz w:val="14"/>
          <w:szCs w:val="14"/>
          <w:color w:val="827979"/>
        </w:rPr>
        <w:t>,</w:t>
      </w:r>
    </w:p>
    <w:p>
      <w:pPr>
        <w:spacing w:after="0" w:line="13" w:lineRule="exact"/>
        <w:rPr>
          <w:sz w:val="20"/>
          <w:szCs w:val="20"/>
          <w:color w:val="auto"/>
        </w:rPr>
      </w:pPr>
    </w:p>
    <w:p>
      <w:pPr>
        <w:ind w:left="1360"/>
        <w:spacing w:after="0"/>
        <w:rPr>
          <w:sz w:val="20"/>
          <w:szCs w:val="20"/>
          <w:color w:val="auto"/>
        </w:rPr>
      </w:pPr>
      <w:r>
        <w:rPr>
          <w:rFonts w:ascii="Arial" w:cs="Arial" w:eastAsia="Arial" w:hAnsi="Arial"/>
          <w:sz w:val="11"/>
          <w:szCs w:val="11"/>
          <w:color w:val="544848"/>
        </w:rPr>
        <w:t>a Delaware limited partnership</w:t>
      </w:r>
    </w:p>
    <w:p>
      <w:pPr>
        <w:spacing w:after="0" w:line="177" w:lineRule="exact"/>
        <w:rPr>
          <w:sz w:val="20"/>
          <w:szCs w:val="20"/>
          <w:color w:val="auto"/>
        </w:rPr>
      </w:pPr>
    </w:p>
    <w:p>
      <w:pPr>
        <w:sectPr>
          <w:pgSz w:w="11900" w:h="16838" w:orient="portrait"/>
          <w:cols w:equalWidth="0" w:num="2">
            <w:col w:w="2120" w:space="720"/>
            <w:col w:w="8060"/>
          </w:cols>
          <w:pgMar w:left="580" w:top="167" w:right="419" w:bottom="1440" w:gutter="0" w:footer="0" w:header="0"/>
        </w:sectPr>
      </w:pPr>
    </w:p>
    <w:p>
      <w:pPr>
        <w:ind w:left="4220"/>
        <w:spacing w:after="0"/>
        <w:rPr>
          <w:sz w:val="20"/>
          <w:szCs w:val="20"/>
          <w:color w:val="auto"/>
        </w:rPr>
      </w:pPr>
      <w:r>
        <w:rPr>
          <w:rFonts w:ascii="Arial" w:cs="Arial" w:eastAsia="Arial" w:hAnsi="Arial"/>
          <w:sz w:val="13"/>
          <w:szCs w:val="13"/>
          <w:color w:val="544848"/>
        </w:rPr>
        <w:t>By</w:t>
      </w:r>
      <w:r>
        <w:rPr>
          <w:rFonts w:ascii="Arial" w:cs="Arial" w:eastAsia="Arial" w:hAnsi="Arial"/>
          <w:sz w:val="13"/>
          <w:szCs w:val="13"/>
          <w:color w:val="827979"/>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544848"/>
        </w:rPr>
        <w:t>MADRYN HEALTH ADVISORS, LP</w:t>
      </w:r>
      <w:r>
        <w:rPr>
          <w:rFonts w:ascii="Arial" w:cs="Arial" w:eastAsia="Arial" w:hAnsi="Arial"/>
          <w:sz w:val="11"/>
          <w:szCs w:val="11"/>
          <w:color w:val="827979"/>
        </w:rPr>
        <w:t>,</w:t>
      </w:r>
    </w:p>
    <w:p>
      <w:pPr>
        <w:spacing w:after="0" w:line="48" w:lineRule="exact"/>
        <w:rPr>
          <w:sz w:val="20"/>
          <w:szCs w:val="20"/>
          <w:color w:val="auto"/>
        </w:rPr>
      </w:pPr>
    </w:p>
    <w:p>
      <w:pPr>
        <w:sectPr>
          <w:pgSz w:w="11900" w:h="16838" w:orient="portrait"/>
          <w:cols w:equalWidth="0" w:num="2">
            <w:col w:w="6480" w:space="720"/>
            <w:col w:w="3700"/>
          </w:cols>
          <w:pgMar w:left="580" w:top="167" w:right="419" w:bottom="1440" w:gutter="0" w:footer="0" w:header="0"/>
          <w:type w:val="continuous"/>
        </w:sectPr>
      </w:pPr>
    </w:p>
    <w:p>
      <w:pPr>
        <w:jc w:val="center"/>
        <w:ind w:right="-259"/>
        <w:spacing w:after="0"/>
        <w:rPr>
          <w:sz w:val="20"/>
          <w:szCs w:val="20"/>
          <w:color w:val="auto"/>
        </w:rPr>
      </w:pPr>
      <w:r>
        <w:rPr>
          <w:rFonts w:ascii="Arial" w:cs="Arial" w:eastAsia="Arial" w:hAnsi="Arial"/>
          <w:sz w:val="11"/>
          <w:szCs w:val="11"/>
          <w:color w:val="544848"/>
        </w:rPr>
        <w:t>its General Partner</w:t>
      </w:r>
    </w:p>
    <w:p>
      <w:pPr>
        <w:sectPr>
          <w:pgSz w:w="11900" w:h="16838" w:orient="portrait"/>
          <w:cols w:equalWidth="0" w:num="1">
            <w:col w:w="10900"/>
          </w:cols>
          <w:pgMar w:left="580" w:top="167" w:right="419" w:bottom="1440" w:gutter="0" w:footer="0" w:header="0"/>
          <w:type w:val="continuous"/>
        </w:sectPr>
      </w:pPr>
    </w:p>
    <w:p>
      <w:pPr>
        <w:spacing w:after="0" w:line="167" w:lineRule="exact"/>
        <w:rPr>
          <w:sz w:val="20"/>
          <w:szCs w:val="20"/>
          <w:color w:val="auto"/>
        </w:rPr>
      </w:pPr>
    </w:p>
    <w:p>
      <w:pPr>
        <w:ind w:left="5060"/>
        <w:spacing w:after="0"/>
        <w:rPr>
          <w:sz w:val="20"/>
          <w:szCs w:val="20"/>
          <w:color w:val="auto"/>
        </w:rPr>
      </w:pPr>
      <w:r>
        <w:rPr>
          <w:rFonts w:ascii="Arial" w:cs="Arial" w:eastAsia="Arial" w:hAnsi="Arial"/>
          <w:sz w:val="11"/>
          <w:szCs w:val="11"/>
          <w:color w:val="544848"/>
        </w:rPr>
        <w:t>By</w:t>
      </w:r>
      <w:r>
        <w:rPr>
          <w:rFonts w:ascii="Arial" w:cs="Arial" w:eastAsia="Arial" w:hAnsi="Arial"/>
          <w:sz w:val="11"/>
          <w:szCs w:val="11"/>
          <w:color w:val="827979"/>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1"/>
          <w:szCs w:val="11"/>
          <w:color w:val="544848"/>
        </w:rPr>
        <w:t>MADRYN HEALTH ADVISORS GP,LLC,</w:t>
      </w:r>
    </w:p>
    <w:p>
      <w:pPr>
        <w:spacing w:after="0" w:line="48" w:lineRule="exact"/>
        <w:rPr>
          <w:sz w:val="20"/>
          <w:szCs w:val="20"/>
          <w:color w:val="auto"/>
        </w:rPr>
      </w:pPr>
    </w:p>
    <w:p>
      <w:pPr>
        <w:sectPr>
          <w:pgSz w:w="11900" w:h="16838" w:orient="portrait"/>
          <w:cols w:equalWidth="0" w:num="2">
            <w:col w:w="7740" w:space="720"/>
            <w:col w:w="2440"/>
          </w:cols>
          <w:pgMar w:left="580" w:top="167" w:right="419" w:bottom="1440" w:gutter="0" w:footer="0" w:header="0"/>
          <w:type w:val="continuous"/>
        </w:sectPr>
      </w:pPr>
    </w:p>
    <w:p>
      <w:pPr>
        <w:ind w:left="5880"/>
        <w:spacing w:after="0"/>
        <w:rPr>
          <w:sz w:val="20"/>
          <w:szCs w:val="20"/>
          <w:color w:val="auto"/>
        </w:rPr>
      </w:pPr>
      <w:r>
        <w:rPr>
          <w:rFonts w:ascii="Arial" w:cs="Arial" w:eastAsia="Arial" w:hAnsi="Arial"/>
          <w:sz w:val="11"/>
          <w:szCs w:val="11"/>
          <w:color w:val="544848"/>
        </w:rPr>
        <w:t>its General Partner</w:t>
      </w:r>
    </w:p>
    <w:p>
      <w:pPr>
        <w:sectPr>
          <w:pgSz w:w="11900" w:h="16838" w:orient="portrait"/>
          <w:cols w:equalWidth="0" w:num="1">
            <w:col w:w="10900"/>
          </w:cols>
          <w:pgMar w:left="580" w:top="167" w:right="419" w:bottom="1440" w:gutter="0" w:footer="0" w:header="0"/>
          <w:type w:val="continuous"/>
        </w:sectPr>
      </w:pPr>
    </w:p>
    <w:p>
      <w:pPr>
        <w:spacing w:after="0" w:line="18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By: /s/ Avinash Amin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-7620</wp:posOffset>
            </wp:positionV>
            <wp:extent cx="75247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752475" cy="5715"/>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3"/>
          <w:szCs w:val="13"/>
          <w:color w:val="auto"/>
        </w:rPr>
        <w:t>Name: Avinash Amin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987425</wp:posOffset>
            </wp:positionH>
            <wp:positionV relativeFrom="paragraph">
              <wp:posOffset>-13970</wp:posOffset>
            </wp:positionV>
            <wp:extent cx="65214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652145" cy="5715"/>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3"/>
          <w:szCs w:val="13"/>
          <w:color w:val="auto"/>
        </w:rPr>
        <w:t>Title: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-13970</wp:posOffset>
            </wp:positionV>
            <wp:extent cx="70231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70231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0"/>
          <w:szCs w:val="10"/>
          <w:color w:val="auto"/>
        </w:rPr>
        <w:t>VENUS CONCEPT CANADA CORP. AND VENUS CONCEPT USA INC. ELEVENTH AMENDMENT TO CREDIT AGREEMENT AND CONSENT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140335</wp:posOffset>
            </wp:positionV>
            <wp:extent cx="7189470" cy="11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900"/>
          </w:cols>
          <w:pgMar w:left="580" w:top="167" w:right="419"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20"/>
                <w:szCs w:val="20"/>
                <w:color w:val="auto"/>
              </w:rPr>
            </w:pPr>
            <w:r>
              <w:rPr>
                <w:rFonts w:ascii="Arial" w:cs="Arial" w:eastAsia="Arial" w:hAnsi="Arial"/>
                <w:sz w:val="13"/>
                <w:szCs w:val="13"/>
                <w:color w:val="665E5D"/>
              </w:rPr>
              <w:t>LENDERS: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900" w:type="dxa"/>
            <w:vAlign w:val="bottom"/>
          </w:tcPr>
          <w:p>
            <w:pPr>
              <w:ind w:left="320"/>
              <w:spacing w:after="0"/>
              <w:rPr>
                <w:sz w:val="20"/>
                <w:szCs w:val="20"/>
                <w:color w:val="auto"/>
              </w:rPr>
            </w:pPr>
            <w:r>
              <w:rPr>
                <w:rFonts w:ascii="Arial" w:cs="Arial" w:eastAsia="Arial" w:hAnsi="Arial"/>
                <w:sz w:val="13"/>
                <w:szCs w:val="13"/>
                <w:color w:val="665E5D"/>
              </w:rPr>
              <w:t xml:space="preserve">MADRYN </w:t>
            </w:r>
            <w:r>
              <w:rPr>
                <w:rFonts w:ascii="Arial" w:cs="Arial" w:eastAsia="Arial" w:hAnsi="Arial"/>
                <w:sz w:val="13"/>
                <w:szCs w:val="13"/>
                <w:color w:val="524949"/>
              </w:rPr>
              <w:t>HEALTH PARTNERS</w:t>
            </w:r>
            <w:r>
              <w:rPr>
                <w:rFonts w:ascii="Arial" w:cs="Arial" w:eastAsia="Arial" w:hAnsi="Arial"/>
                <w:sz w:val="13"/>
                <w:szCs w:val="13"/>
                <w:color w:val="797274"/>
              </w:rPr>
              <w:t>,</w:t>
            </w:r>
            <w:r>
              <w:rPr>
                <w:rFonts w:ascii="Arial" w:cs="Arial" w:eastAsia="Arial" w:hAnsi="Arial"/>
                <w:sz w:val="13"/>
                <w:szCs w:val="13"/>
                <w:color w:val="665E5D"/>
              </w:rPr>
              <w:t xml:space="preserve"> </w:t>
            </w:r>
            <w:r>
              <w:rPr>
                <w:rFonts w:ascii="Arial" w:cs="Arial" w:eastAsia="Arial" w:hAnsi="Arial"/>
                <w:sz w:val="13"/>
                <w:szCs w:val="13"/>
                <w:color w:val="524949"/>
              </w:rPr>
              <w:t>LP</w:t>
            </w:r>
            <w:r>
              <w:rPr>
                <w:rFonts w:ascii="Arial" w:cs="Arial" w:eastAsia="Arial" w:hAnsi="Arial"/>
                <w:sz w:val="13"/>
                <w:szCs w:val="13"/>
                <w:color w:val="797274"/>
              </w:rPr>
              <w:t>,</w:t>
            </w:r>
          </w:p>
        </w:tc>
        <w:tc>
          <w:tcPr>
            <w:tcW w:w="3600" w:type="dxa"/>
            <w:vAlign w:val="bottom"/>
          </w:tcPr>
          <w:p>
            <w:pPr>
              <w:spacing w:after="0"/>
              <w:rPr>
                <w:sz w:val="13"/>
                <w:szCs w:val="13"/>
                <w:color w:val="auto"/>
              </w:rPr>
            </w:pPr>
          </w:p>
        </w:tc>
      </w:tr>
      <w:tr>
        <w:trPr>
          <w:trHeight w:val="160"/>
        </w:trPr>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500" w:type="dxa"/>
            <w:vAlign w:val="bottom"/>
            <w:gridSpan w:val="2"/>
          </w:tcPr>
          <w:p>
            <w:pPr>
              <w:ind w:left="1660"/>
              <w:spacing w:after="0"/>
              <w:rPr>
                <w:sz w:val="20"/>
                <w:szCs w:val="20"/>
                <w:color w:val="auto"/>
              </w:rPr>
            </w:pPr>
            <w:r>
              <w:rPr>
                <w:rFonts w:ascii="Arial" w:cs="Arial" w:eastAsia="Arial" w:hAnsi="Arial"/>
                <w:sz w:val="13"/>
                <w:szCs w:val="13"/>
                <w:color w:val="665E5D"/>
              </w:rPr>
              <w:t xml:space="preserve">a </w:t>
            </w:r>
            <w:r>
              <w:rPr>
                <w:rFonts w:ascii="Arial" w:cs="Arial" w:eastAsia="Arial" w:hAnsi="Arial"/>
                <w:sz w:val="13"/>
                <w:szCs w:val="13"/>
                <w:color w:val="524949"/>
              </w:rPr>
              <w:t>Delaware limited partnership</w:t>
            </w:r>
          </w:p>
        </w:tc>
      </w:tr>
      <w:tr>
        <w:trPr>
          <w:trHeight w:val="299"/>
        </w:trPr>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00" w:type="dxa"/>
            <w:vAlign w:val="bottom"/>
          </w:tcPr>
          <w:p>
            <w:pPr>
              <w:ind w:left="1680"/>
              <w:spacing w:after="0"/>
              <w:rPr>
                <w:sz w:val="20"/>
                <w:szCs w:val="20"/>
                <w:color w:val="auto"/>
              </w:rPr>
            </w:pPr>
            <w:r>
              <w:rPr>
                <w:rFonts w:ascii="Arial" w:cs="Arial" w:eastAsia="Arial" w:hAnsi="Arial"/>
                <w:sz w:val="13"/>
                <w:szCs w:val="13"/>
                <w:color w:val="524949"/>
              </w:rPr>
              <w:t>B</w:t>
            </w:r>
            <w:r>
              <w:rPr>
                <w:rFonts w:ascii="Arial" w:cs="Arial" w:eastAsia="Arial" w:hAnsi="Arial"/>
                <w:sz w:val="13"/>
                <w:szCs w:val="13"/>
                <w:color w:val="797274"/>
              </w:rPr>
              <w:t>y:</w:t>
            </w:r>
          </w:p>
        </w:tc>
        <w:tc>
          <w:tcPr>
            <w:tcW w:w="3600" w:type="dxa"/>
            <w:vAlign w:val="bottom"/>
          </w:tcPr>
          <w:p>
            <w:pPr>
              <w:ind w:left="1640"/>
              <w:spacing w:after="0"/>
              <w:rPr>
                <w:sz w:val="20"/>
                <w:szCs w:val="20"/>
                <w:color w:val="auto"/>
              </w:rPr>
            </w:pPr>
            <w:r>
              <w:rPr>
                <w:rFonts w:ascii="Arial" w:cs="Arial" w:eastAsia="Arial" w:hAnsi="Arial"/>
                <w:sz w:val="13"/>
                <w:szCs w:val="13"/>
                <w:color w:val="524949"/>
                <w:w w:val="91"/>
              </w:rPr>
              <w:t>MADRYN HEALTH ADVISO RS</w:t>
            </w:r>
            <w:r>
              <w:rPr>
                <w:rFonts w:ascii="Arial" w:cs="Arial" w:eastAsia="Arial" w:hAnsi="Arial"/>
                <w:sz w:val="13"/>
                <w:szCs w:val="13"/>
                <w:color w:val="797274"/>
                <w:w w:val="91"/>
              </w:rPr>
              <w:t>,</w:t>
            </w:r>
            <w:r>
              <w:rPr>
                <w:rFonts w:ascii="Arial" w:cs="Arial" w:eastAsia="Arial" w:hAnsi="Arial"/>
                <w:sz w:val="13"/>
                <w:szCs w:val="13"/>
                <w:color w:val="524949"/>
                <w:w w:val="91"/>
              </w:rPr>
              <w:t xml:space="preserve"> LP</w:t>
            </w:r>
            <w:r>
              <w:rPr>
                <w:rFonts w:ascii="Arial" w:cs="Arial" w:eastAsia="Arial" w:hAnsi="Arial"/>
                <w:sz w:val="13"/>
                <w:szCs w:val="13"/>
                <w:color w:val="797274"/>
                <w:w w:val="91"/>
              </w:rPr>
              <w:t>,</w:t>
            </w:r>
          </w:p>
        </w:tc>
      </w:tr>
      <w:tr>
        <w:trPr>
          <w:trHeight w:val="160"/>
        </w:trPr>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500" w:type="dxa"/>
            <w:vAlign w:val="bottom"/>
            <w:gridSpan w:val="2"/>
          </w:tcPr>
          <w:p>
            <w:pPr>
              <w:ind w:left="2500"/>
              <w:spacing w:after="0"/>
              <w:rPr>
                <w:sz w:val="20"/>
                <w:szCs w:val="20"/>
                <w:color w:val="auto"/>
              </w:rPr>
            </w:pPr>
            <w:r>
              <w:rPr>
                <w:rFonts w:ascii="Arial" w:cs="Arial" w:eastAsia="Arial" w:hAnsi="Arial"/>
                <w:sz w:val="13"/>
                <w:szCs w:val="13"/>
                <w:color w:val="524949"/>
              </w:rPr>
              <w:t>its General Partner</w:t>
            </w:r>
          </w:p>
        </w:tc>
      </w:tr>
      <w:tr>
        <w:trPr>
          <w:trHeight w:val="315"/>
        </w:trPr>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00" w:type="dxa"/>
            <w:vAlign w:val="bottom"/>
          </w:tcPr>
          <w:p>
            <w:pPr>
              <w:ind w:left="2500"/>
              <w:spacing w:after="0"/>
              <w:rPr>
                <w:sz w:val="20"/>
                <w:szCs w:val="20"/>
                <w:color w:val="auto"/>
              </w:rPr>
            </w:pPr>
            <w:r>
              <w:rPr>
                <w:rFonts w:ascii="Arial" w:cs="Arial" w:eastAsia="Arial" w:hAnsi="Arial"/>
                <w:sz w:val="13"/>
                <w:szCs w:val="13"/>
                <w:color w:val="524949"/>
              </w:rPr>
              <w:t>By:</w:t>
            </w:r>
          </w:p>
        </w:tc>
        <w:tc>
          <w:tcPr>
            <w:tcW w:w="3600" w:type="dxa"/>
            <w:vAlign w:val="bottom"/>
          </w:tcPr>
          <w:p>
            <w:pPr>
              <w:ind w:left="220"/>
              <w:spacing w:after="0"/>
              <w:rPr>
                <w:sz w:val="20"/>
                <w:szCs w:val="20"/>
                <w:color w:val="auto"/>
              </w:rPr>
            </w:pPr>
            <w:r>
              <w:rPr>
                <w:rFonts w:ascii="Arial" w:cs="Arial" w:eastAsia="Arial" w:hAnsi="Arial"/>
                <w:sz w:val="13"/>
                <w:szCs w:val="13"/>
                <w:color w:val="524949"/>
                <w:w w:val="96"/>
              </w:rPr>
              <w:t>MADRYN HEALTH ADVISORS GP, LLC,its General Partner</w:t>
            </w:r>
          </w:p>
        </w:tc>
      </w:tr>
      <w:tr>
        <w:trPr>
          <w:trHeight w:val="277"/>
        </w:trPr>
        <w:tc>
          <w:tcPr>
            <w:tcW w:w="860" w:type="dxa"/>
            <w:vAlign w:val="bottom"/>
          </w:tcPr>
          <w:p>
            <w:pPr>
              <w:spacing w:after="0"/>
              <w:rPr>
                <w:sz w:val="24"/>
                <w:szCs w:val="24"/>
                <w:color w:val="auto"/>
              </w:rPr>
            </w:pPr>
          </w:p>
        </w:tc>
        <w:tc>
          <w:tcPr>
            <w:tcW w:w="4580" w:type="dxa"/>
            <w:vAlign w:val="bottom"/>
            <w:gridSpan w:val="5"/>
          </w:tcPr>
          <w:p>
            <w:pPr>
              <w:ind w:left="280"/>
              <w:spacing w:after="0"/>
              <w:rPr>
                <w:sz w:val="20"/>
                <w:szCs w:val="20"/>
                <w:color w:val="auto"/>
              </w:rPr>
            </w:pPr>
            <w:r>
              <w:rPr>
                <w:rFonts w:ascii="Arial" w:cs="Arial" w:eastAsia="Arial" w:hAnsi="Arial"/>
                <w:sz w:val="13"/>
                <w:szCs w:val="13"/>
                <w:color w:val="auto"/>
              </w:rPr>
              <w:t>By: /s/ Avinash Amin</w:t>
            </w:r>
          </w:p>
        </w:tc>
        <w:tc>
          <w:tcPr>
            <w:tcW w:w="360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133"/>
        </w:trPr>
        <w:tc>
          <w:tcPr>
            <w:tcW w:w="860" w:type="dxa"/>
            <w:vAlign w:val="bottom"/>
          </w:tcPr>
          <w:p>
            <w:pPr>
              <w:spacing w:after="0"/>
              <w:rPr>
                <w:sz w:val="11"/>
                <w:szCs w:val="11"/>
                <w:color w:val="auto"/>
              </w:rPr>
            </w:pPr>
          </w:p>
        </w:tc>
        <w:tc>
          <w:tcPr>
            <w:tcW w:w="4580" w:type="dxa"/>
            <w:vAlign w:val="bottom"/>
            <w:gridSpan w:val="5"/>
          </w:tcPr>
          <w:p>
            <w:pPr>
              <w:ind w:left="280"/>
              <w:spacing w:after="0" w:line="133" w:lineRule="exact"/>
              <w:rPr>
                <w:sz w:val="20"/>
                <w:szCs w:val="20"/>
                <w:color w:val="auto"/>
              </w:rPr>
            </w:pPr>
            <w:r>
              <w:rPr>
                <w:rFonts w:ascii="Arial" w:cs="Arial" w:eastAsia="Arial" w:hAnsi="Arial"/>
                <w:sz w:val="13"/>
                <w:szCs w:val="13"/>
                <w:color w:val="auto"/>
              </w:rPr>
              <w:t>Name: Avinash Amin</w:t>
            </w:r>
          </w:p>
        </w:tc>
        <w:tc>
          <w:tcPr>
            <w:tcW w:w="3600" w:type="dxa"/>
            <w:vAlign w:val="bottom"/>
          </w:tcPr>
          <w:p>
            <w:pPr>
              <w:spacing w:after="0"/>
              <w:rPr>
                <w:sz w:val="11"/>
                <w:szCs w:val="11"/>
                <w:color w:val="auto"/>
              </w:rPr>
            </w:pPr>
          </w:p>
        </w:tc>
      </w:tr>
      <w:tr>
        <w:trPr>
          <w:trHeight w:val="20"/>
        </w:trPr>
        <w:tc>
          <w:tcPr>
            <w:tcW w:w="8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133"/>
        </w:trPr>
        <w:tc>
          <w:tcPr>
            <w:tcW w:w="860" w:type="dxa"/>
            <w:vAlign w:val="bottom"/>
          </w:tcPr>
          <w:p>
            <w:pPr>
              <w:spacing w:after="0"/>
              <w:rPr>
                <w:sz w:val="11"/>
                <w:szCs w:val="11"/>
                <w:color w:val="auto"/>
              </w:rPr>
            </w:pPr>
          </w:p>
        </w:tc>
        <w:tc>
          <w:tcPr>
            <w:tcW w:w="4580" w:type="dxa"/>
            <w:vAlign w:val="bottom"/>
            <w:gridSpan w:val="5"/>
          </w:tcPr>
          <w:p>
            <w:pPr>
              <w:ind w:left="280"/>
              <w:spacing w:after="0" w:line="133" w:lineRule="exact"/>
              <w:rPr>
                <w:sz w:val="20"/>
                <w:szCs w:val="20"/>
                <w:color w:val="auto"/>
              </w:rPr>
            </w:pPr>
            <w:r>
              <w:rPr>
                <w:rFonts w:ascii="Arial" w:cs="Arial" w:eastAsia="Arial" w:hAnsi="Arial"/>
                <w:sz w:val="13"/>
                <w:szCs w:val="13"/>
                <w:color w:val="auto"/>
              </w:rPr>
              <w:t>Title: Member</w:t>
            </w:r>
          </w:p>
        </w:tc>
        <w:tc>
          <w:tcPr>
            <w:tcW w:w="3600" w:type="dxa"/>
            <w:vAlign w:val="bottom"/>
          </w:tcPr>
          <w:p>
            <w:pPr>
              <w:spacing w:after="0"/>
              <w:rPr>
                <w:sz w:val="11"/>
                <w:szCs w:val="11"/>
                <w:color w:val="auto"/>
              </w:rPr>
            </w:pPr>
          </w:p>
        </w:tc>
      </w:tr>
      <w:tr>
        <w:trPr>
          <w:trHeight w:val="20"/>
        </w:trPr>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900" w:type="dxa"/>
            <w:vAlign w:val="bottom"/>
            <w:tcBorders>
              <w:left w:val="single" w:sz="8" w:color="auto"/>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220"/>
        <w:spacing w:after="0"/>
        <w:rPr>
          <w:sz w:val="20"/>
          <w:szCs w:val="20"/>
          <w:color w:val="auto"/>
        </w:rPr>
      </w:pPr>
      <w:r>
        <w:rPr>
          <w:rFonts w:ascii="Arial" w:cs="Arial" w:eastAsia="Arial" w:hAnsi="Arial"/>
          <w:sz w:val="13"/>
          <w:szCs w:val="13"/>
          <w:color w:val="524949"/>
        </w:rPr>
        <w:t xml:space="preserve">MADRYN </w:t>
      </w:r>
      <w:r>
        <w:rPr>
          <w:rFonts w:ascii="Arial" w:cs="Arial" w:eastAsia="Arial" w:hAnsi="Arial"/>
          <w:sz w:val="13"/>
          <w:szCs w:val="13"/>
          <w:color w:val="3D3434"/>
        </w:rPr>
        <w:t>HEALTH PARTNERS</w:t>
      </w:r>
      <w:r>
        <w:rPr>
          <w:rFonts w:ascii="Arial" w:cs="Arial" w:eastAsia="Arial" w:hAnsi="Arial"/>
          <w:sz w:val="13"/>
          <w:szCs w:val="13"/>
          <w:color w:val="524949"/>
        </w:rPr>
        <w:t xml:space="preserve"> (CAYMAN MASTER), LP</w:t>
      </w:r>
    </w:p>
    <w:p>
      <w:pPr>
        <w:sectPr>
          <w:pgSz w:w="11900" w:h="16838" w:orient="portrait"/>
          <w:cols w:equalWidth="0" w:num="1">
            <w:col w:w="11060"/>
          </w:cols>
          <w:pgMar w:left="420" w:top="363" w:right="419" w:bottom="1440" w:gutter="0" w:footer="0" w:header="0"/>
        </w:sectPr>
      </w:pPr>
    </w:p>
    <w:p>
      <w:pPr>
        <w:spacing w:after="0" w:line="157" w:lineRule="exact"/>
        <w:rPr>
          <w:sz w:val="20"/>
          <w:szCs w:val="20"/>
          <w:color w:val="auto"/>
        </w:rPr>
      </w:pPr>
    </w:p>
    <w:p>
      <w:pPr>
        <w:ind w:left="4220"/>
        <w:spacing w:after="0"/>
        <w:rPr>
          <w:sz w:val="20"/>
          <w:szCs w:val="20"/>
          <w:color w:val="auto"/>
        </w:rPr>
      </w:pPr>
      <w:r>
        <w:rPr>
          <w:rFonts w:ascii="Arial" w:cs="Arial" w:eastAsia="Arial" w:hAnsi="Arial"/>
          <w:sz w:val="12"/>
          <w:szCs w:val="12"/>
          <w:color w:val="524949"/>
        </w:rPr>
        <w:t>By:</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color w:val="3D3434"/>
        </w:rPr>
        <w:t xml:space="preserve">MADRYN HEALTH </w:t>
      </w:r>
      <w:r>
        <w:rPr>
          <w:rFonts w:ascii="Arial" w:cs="Arial" w:eastAsia="Arial" w:hAnsi="Arial"/>
          <w:sz w:val="12"/>
          <w:szCs w:val="12"/>
          <w:color w:val="524949"/>
        </w:rPr>
        <w:t>ADVISORS, LP,</w:t>
      </w:r>
    </w:p>
    <w:p>
      <w:pPr>
        <w:spacing w:after="0" w:line="22" w:lineRule="exact"/>
        <w:rPr>
          <w:sz w:val="20"/>
          <w:szCs w:val="20"/>
          <w:color w:val="auto"/>
        </w:rPr>
      </w:pPr>
    </w:p>
    <w:p>
      <w:pPr>
        <w:sectPr>
          <w:pgSz w:w="11900" w:h="16838" w:orient="portrait"/>
          <w:cols w:equalWidth="0" w:num="2">
            <w:col w:w="6360" w:space="720"/>
            <w:col w:w="3980"/>
          </w:cols>
          <w:pgMar w:left="420" w:top="363" w:right="419" w:bottom="1440" w:gutter="0" w:footer="0" w:header="0"/>
          <w:type w:val="continuous"/>
        </w:sectPr>
      </w:pPr>
    </w:p>
    <w:p>
      <w:pPr>
        <w:jc w:val="center"/>
        <w:ind w:right="20"/>
        <w:spacing w:after="0"/>
        <w:rPr>
          <w:sz w:val="20"/>
          <w:szCs w:val="20"/>
          <w:color w:val="auto"/>
        </w:rPr>
      </w:pPr>
      <w:r>
        <w:rPr>
          <w:rFonts w:ascii="Arial" w:cs="Arial" w:eastAsia="Arial" w:hAnsi="Arial"/>
          <w:sz w:val="10"/>
          <w:szCs w:val="10"/>
          <w:color w:val="524949"/>
        </w:rPr>
        <w:t xml:space="preserve">its </w:t>
      </w:r>
      <w:r>
        <w:rPr>
          <w:rFonts w:ascii="Arial" w:cs="Arial" w:eastAsia="Arial" w:hAnsi="Arial"/>
          <w:sz w:val="10"/>
          <w:szCs w:val="10"/>
          <w:color w:val="3D3434"/>
        </w:rPr>
        <w:t>General Partner</w:t>
      </w:r>
    </w:p>
    <w:p>
      <w:pPr>
        <w:sectPr>
          <w:pgSz w:w="11900" w:h="16838" w:orient="portrait"/>
          <w:cols w:equalWidth="0" w:num="1">
            <w:col w:w="11060"/>
          </w:cols>
          <w:pgMar w:left="420" w:top="363" w:right="419" w:bottom="1440" w:gutter="0" w:footer="0" w:header="0"/>
          <w:type w:val="continuous"/>
        </w:sectPr>
      </w:pPr>
    </w:p>
    <w:p>
      <w:pPr>
        <w:spacing w:after="0" w:line="175" w:lineRule="exact"/>
        <w:rPr>
          <w:sz w:val="20"/>
          <w:szCs w:val="20"/>
          <w:color w:val="auto"/>
        </w:rPr>
      </w:pPr>
    </w:p>
    <w:p>
      <w:pPr>
        <w:ind w:left="5040"/>
        <w:spacing w:after="0"/>
        <w:rPr>
          <w:sz w:val="20"/>
          <w:szCs w:val="20"/>
          <w:color w:val="auto"/>
        </w:rPr>
      </w:pPr>
      <w:r>
        <w:rPr>
          <w:rFonts w:ascii="Arial" w:cs="Arial" w:eastAsia="Arial" w:hAnsi="Arial"/>
          <w:sz w:val="13"/>
          <w:szCs w:val="13"/>
          <w:color w:val="3D3434"/>
        </w:rPr>
        <w:t>By: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3D3434"/>
        </w:rPr>
        <w:t xml:space="preserve">MADRYN HEALTH </w:t>
      </w:r>
      <w:r>
        <w:rPr>
          <w:rFonts w:ascii="Arial" w:cs="Arial" w:eastAsia="Arial" w:hAnsi="Arial"/>
          <w:sz w:val="12"/>
          <w:szCs w:val="12"/>
          <w:color w:val="524949"/>
        </w:rPr>
        <w:t>ADVISORS</w:t>
      </w:r>
      <w:r>
        <w:rPr>
          <w:rFonts w:ascii="Arial" w:cs="Arial" w:eastAsia="Arial" w:hAnsi="Arial"/>
          <w:sz w:val="12"/>
          <w:szCs w:val="12"/>
          <w:color w:val="3D3434"/>
        </w:rPr>
        <w:t xml:space="preserve"> GP</w:t>
      </w:r>
      <w:r>
        <w:rPr>
          <w:rFonts w:ascii="Arial" w:cs="Arial" w:eastAsia="Arial" w:hAnsi="Arial"/>
          <w:sz w:val="12"/>
          <w:szCs w:val="12"/>
          <w:color w:val="797274"/>
        </w:rPr>
        <w:t>,</w:t>
      </w:r>
      <w:r>
        <w:rPr>
          <w:rFonts w:ascii="Arial" w:cs="Arial" w:eastAsia="Arial" w:hAnsi="Arial"/>
          <w:sz w:val="12"/>
          <w:szCs w:val="12"/>
          <w:color w:val="3D3434"/>
        </w:rPr>
        <w:t xml:space="preserve"> LLC</w:t>
      </w:r>
      <w:r>
        <w:rPr>
          <w:rFonts w:ascii="Arial" w:cs="Arial" w:eastAsia="Arial" w:hAnsi="Arial"/>
          <w:sz w:val="12"/>
          <w:szCs w:val="12"/>
          <w:color w:val="665E5D"/>
        </w:rPr>
        <w:t>,</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3"/>
          <w:szCs w:val="13"/>
          <w:color w:val="665E5D"/>
        </w:rPr>
        <w:t>its General Partner</w:t>
      </w:r>
    </w:p>
    <w:p>
      <w:pPr>
        <w:spacing w:after="0" w:line="132" w:lineRule="exact"/>
        <w:rPr>
          <w:sz w:val="20"/>
          <w:szCs w:val="20"/>
          <w:color w:val="auto"/>
        </w:rPr>
      </w:pPr>
    </w:p>
    <w:p>
      <w:pPr>
        <w:sectPr>
          <w:pgSz w:w="11900" w:h="16838" w:orient="portrait"/>
          <w:cols w:equalWidth="0" w:num="2">
            <w:col w:w="7640" w:space="720"/>
            <w:col w:w="2700"/>
          </w:cols>
          <w:pgMar w:left="420" w:top="363" w:right="419" w:bottom="1440" w:gutter="0" w:footer="0" w:header="0"/>
          <w:type w:val="continuous"/>
        </w:sectPr>
      </w:pPr>
    </w:p>
    <w:p>
      <w:pPr>
        <w:ind w:left="1260"/>
        <w:spacing w:after="0"/>
        <w:rPr>
          <w:sz w:val="20"/>
          <w:szCs w:val="20"/>
          <w:color w:val="auto"/>
        </w:rPr>
      </w:pPr>
      <w:r>
        <w:rPr>
          <w:rFonts w:ascii="Arial" w:cs="Arial" w:eastAsia="Arial" w:hAnsi="Arial"/>
          <w:sz w:val="13"/>
          <w:szCs w:val="13"/>
          <w:color w:val="auto"/>
        </w:rPr>
        <w:t>By: /s/ Avinash Amin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944880</wp:posOffset>
            </wp:positionH>
            <wp:positionV relativeFrom="paragraph">
              <wp:posOffset>-7620</wp:posOffset>
            </wp:positionV>
            <wp:extent cx="75247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752475" cy="571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3"/>
          <w:szCs w:val="13"/>
          <w:color w:val="auto"/>
        </w:rPr>
        <w:t>Name: Avinash Amin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1047115</wp:posOffset>
            </wp:positionH>
            <wp:positionV relativeFrom="paragraph">
              <wp:posOffset>-13970</wp:posOffset>
            </wp:positionV>
            <wp:extent cx="65214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652145" cy="571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3"/>
          <w:szCs w:val="13"/>
          <w:color w:val="auto"/>
        </w:rPr>
        <w:t>Title: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1000760</wp:posOffset>
            </wp:positionH>
            <wp:positionV relativeFrom="paragraph">
              <wp:posOffset>-13970</wp:posOffset>
            </wp:positionV>
            <wp:extent cx="70231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70231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0"/>
          <w:szCs w:val="10"/>
          <w:color w:val="auto"/>
        </w:rPr>
        <w:t>VENUS CONCEPT CANADA CORP. AND VENUS CONCEPT USA INC. ELEVENTH AMENDMENT TO CREDIT AGREEMENT AND CONSENT AGREEMENT</w:t>
      </w:r>
    </w:p>
    <w:p>
      <w:pPr>
        <w:sectPr>
          <w:pgSz w:w="11900" w:h="16838" w:orient="portrait"/>
          <w:cols w:equalWidth="0" w:num="1">
            <w:col w:w="11060"/>
          </w:cols>
          <w:pgMar w:left="420" w:top="363" w:right="419" w:bottom="1440" w:gutter="0" w:footer="0" w:header="0"/>
          <w:type w:val="continuous"/>
        </w:sectPr>
      </w:pPr>
    </w:p>
    <w:bookmarkStart w:id="70" w:name="page71"/>
    <w:bookmarkEnd w:id="70"/>
    <w:p>
      <w:pPr>
        <w:jc w:val="right"/>
        <w:spacing w:after="0"/>
        <w:rPr>
          <w:sz w:val="20"/>
          <w:szCs w:val="20"/>
          <w:color w:val="auto"/>
        </w:rPr>
      </w:pPr>
      <w:r>
        <w:rPr>
          <w:rFonts w:ascii="Arial" w:cs="Arial" w:eastAsia="Arial" w:hAnsi="Arial"/>
          <w:sz w:val="12"/>
          <w:szCs w:val="12"/>
          <w:b w:val="1"/>
          <w:bCs w:val="1"/>
          <w:color w:val="auto"/>
        </w:rPr>
        <w:t>Exhibit 31.1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EXECUTIVE OFFICER PURSUANT TO SECTION 302 OF THE SARBANES-OXLEY ACT OF</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2002</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I, Domenic Serafino, certify that:</w:t>
      </w:r>
    </w:p>
    <w:p>
      <w:pPr>
        <w:spacing w:after="0" w:line="150" w:lineRule="exact"/>
        <w:rPr>
          <w:sz w:val="20"/>
          <w:szCs w:val="20"/>
          <w:color w:val="auto"/>
        </w:rPr>
      </w:pPr>
    </w:p>
    <w:p>
      <w:pPr>
        <w:ind w:left="480" w:hanging="478"/>
        <w:spacing w:after="0"/>
        <w:tabs>
          <w:tab w:leader="none" w:pos="4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I have reviewed this quarterly report on Form 10-K of Venus Concept Inc.;</w:t>
      </w:r>
    </w:p>
    <w:p>
      <w:pPr>
        <w:spacing w:after="0" w:line="150" w:lineRule="exact"/>
        <w:rPr>
          <w:rFonts w:ascii="Arial" w:cs="Arial" w:eastAsia="Arial" w:hAnsi="Arial"/>
          <w:sz w:val="12"/>
          <w:szCs w:val="12"/>
          <w:color w:val="auto"/>
        </w:rPr>
      </w:pPr>
    </w:p>
    <w:p>
      <w:pPr>
        <w:ind w:left="480" w:right="480" w:hanging="478"/>
        <w:spacing w:after="0" w:line="276" w:lineRule="auto"/>
        <w:tabs>
          <w:tab w:leader="none" w:pos="4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480" w:right="320" w:hanging="478"/>
        <w:spacing w:after="0" w:line="276" w:lineRule="auto"/>
        <w:tabs>
          <w:tab w:leader="none" w:pos="4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480" w:right="20" w:hanging="478"/>
        <w:spacing w:after="0" w:line="276" w:lineRule="auto"/>
        <w:tabs>
          <w:tab w:leader="none" w:pos="4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2"/>
          <w:szCs w:val="12"/>
          <w:color w:val="auto"/>
        </w:rPr>
      </w:pPr>
    </w:p>
    <w:p>
      <w:pPr>
        <w:ind w:left="940" w:right="260" w:hanging="461"/>
        <w:spacing w:after="0" w:line="323" w:lineRule="auto"/>
        <w:tabs>
          <w:tab w:leader="none" w:pos="940" w:val="left"/>
        </w:tabs>
        <w:numPr>
          <w:ilvl w:val="1"/>
          <w:numId w:val="27"/>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1" w:lineRule="exact"/>
        <w:rPr>
          <w:rFonts w:ascii="Arial" w:cs="Arial" w:eastAsia="Arial" w:hAnsi="Arial"/>
          <w:sz w:val="11"/>
          <w:szCs w:val="11"/>
          <w:color w:val="auto"/>
        </w:rPr>
      </w:pPr>
    </w:p>
    <w:p>
      <w:pPr>
        <w:ind w:left="940" w:right="480" w:hanging="461"/>
        <w:spacing w:after="0" w:line="323" w:lineRule="auto"/>
        <w:tabs>
          <w:tab w:leader="none" w:pos="940" w:val="left"/>
        </w:tabs>
        <w:numPr>
          <w:ilvl w:val="1"/>
          <w:numId w:val="27"/>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1" w:lineRule="exact"/>
        <w:rPr>
          <w:rFonts w:ascii="Arial" w:cs="Arial" w:eastAsia="Arial" w:hAnsi="Arial"/>
          <w:sz w:val="11"/>
          <w:szCs w:val="11"/>
          <w:color w:val="auto"/>
        </w:rPr>
      </w:pPr>
    </w:p>
    <w:p>
      <w:pPr>
        <w:ind w:left="940" w:right="460" w:hanging="461"/>
        <w:spacing w:after="0" w:line="276" w:lineRule="auto"/>
        <w:tabs>
          <w:tab w:leader="none" w:pos="940" w:val="left"/>
        </w:tabs>
        <w:numPr>
          <w:ilvl w:val="1"/>
          <w:numId w:val="27"/>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940" w:right="220" w:hanging="461"/>
        <w:spacing w:after="0" w:line="276" w:lineRule="auto"/>
        <w:tabs>
          <w:tab w:leader="none" w:pos="940" w:val="left"/>
        </w:tabs>
        <w:numPr>
          <w:ilvl w:val="1"/>
          <w:numId w:val="2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14" w:lineRule="exact"/>
        <w:rPr>
          <w:rFonts w:ascii="Arial" w:cs="Arial" w:eastAsia="Arial" w:hAnsi="Arial"/>
          <w:sz w:val="12"/>
          <w:szCs w:val="12"/>
          <w:color w:val="auto"/>
        </w:rPr>
      </w:pPr>
    </w:p>
    <w:p>
      <w:pPr>
        <w:ind w:left="480" w:right="840" w:hanging="478"/>
        <w:spacing w:after="0" w:line="276" w:lineRule="auto"/>
        <w:tabs>
          <w:tab w:leader="none" w:pos="4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940" w:right="220" w:hanging="461"/>
        <w:spacing w:after="0" w:line="276" w:lineRule="auto"/>
        <w:tabs>
          <w:tab w:leader="none" w:pos="940" w:val="left"/>
        </w:tabs>
        <w:numPr>
          <w:ilvl w:val="1"/>
          <w:numId w:val="27"/>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2"/>
          <w:szCs w:val="12"/>
          <w:color w:val="auto"/>
        </w:rPr>
      </w:pPr>
    </w:p>
    <w:p>
      <w:pPr>
        <w:ind w:left="940" w:hanging="461"/>
        <w:spacing w:after="0"/>
        <w:tabs>
          <w:tab w:leader="none" w:pos="940" w:val="left"/>
        </w:tabs>
        <w:numPr>
          <w:ilvl w:val="1"/>
          <w:numId w:val="27"/>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94" w:lineRule="exact"/>
        <w:rPr>
          <w:sz w:val="20"/>
          <w:szCs w:val="20"/>
          <w:color w:val="auto"/>
        </w:rPr>
      </w:pPr>
    </w:p>
    <w:p>
      <w:pPr>
        <w:ind w:left="4120"/>
        <w:spacing w:after="0"/>
        <w:rPr>
          <w:sz w:val="20"/>
          <w:szCs w:val="20"/>
          <w:color w:val="auto"/>
        </w:rPr>
      </w:pPr>
      <w:r>
        <w:rPr>
          <w:rFonts w:ascii="Arial" w:cs="Arial" w:eastAsia="Arial" w:hAnsi="Arial"/>
          <w:sz w:val="12"/>
          <w:szCs w:val="1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249555</wp:posOffset>
            </wp:positionV>
            <wp:extent cx="7189470" cy="11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800"/>
          </w:cols>
          <w:pgMar w:left="560" w:top="568" w:right="539" w:bottom="1440" w:gutter="0" w:footer="0" w:header="0"/>
        </w:sectPr>
      </w:pPr>
    </w:p>
    <w:bookmarkStart w:id="71" w:name="page72"/>
    <w:bookmarkEnd w:id="71"/>
    <w:p>
      <w:pPr>
        <w:spacing w:after="0"/>
        <w:tabs>
          <w:tab w:leader="none" w:pos="3300" w:val="left"/>
          <w:tab w:leader="none" w:pos="4180" w:val="left"/>
        </w:tabs>
        <w:rPr>
          <w:sz w:val="20"/>
          <w:szCs w:val="20"/>
          <w:color w:val="auto"/>
        </w:rPr>
      </w:pPr>
      <w:r>
        <w:rPr>
          <w:rFonts w:ascii="Arial" w:cs="Arial" w:eastAsia="Arial" w:hAnsi="Arial"/>
          <w:sz w:val="12"/>
          <w:szCs w:val="12"/>
          <w:color w:val="auto"/>
        </w:rPr>
        <w:t>Date: May 14,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DOMENIC SERAFINO</w:t>
      </w:r>
    </w:p>
    <w:p>
      <w:pPr>
        <w:spacing w:after="0" w:line="20" w:lineRule="exact"/>
        <w:rPr>
          <w:sz w:val="20"/>
          <w:szCs w:val="20"/>
          <w:color w:val="auto"/>
        </w:rPr>
      </w:pPr>
    </w:p>
    <w:p>
      <w:pPr>
        <w:jc w:val="right"/>
        <w:ind w:right="4459"/>
        <w:spacing w:after="0"/>
        <w:rPr>
          <w:sz w:val="20"/>
          <w:szCs w:val="20"/>
          <w:color w:val="auto"/>
        </w:rPr>
      </w:pPr>
      <w:r>
        <w:rPr>
          <w:rFonts w:ascii="Arial" w:cs="Arial" w:eastAsia="Arial" w:hAnsi="Arial"/>
          <w:sz w:val="12"/>
          <w:szCs w:val="12"/>
          <w:b w:val="1"/>
          <w:bCs w:val="1"/>
          <w:color w:val="auto"/>
        </w:rPr>
        <w:t>Name: Domenic Serafino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2214245</wp:posOffset>
            </wp:positionH>
            <wp:positionV relativeFrom="paragraph">
              <wp:posOffset>-84455</wp:posOffset>
            </wp:positionV>
            <wp:extent cx="192595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1925955" cy="5715"/>
                    </a:xfrm>
                    <a:prstGeom prst="rect">
                      <a:avLst/>
                    </a:prstGeom>
                    <a:noFill/>
                  </pic:spPr>
                </pic:pic>
              </a:graphicData>
            </a:graphic>
          </wp:anchor>
        </w:drawing>
      </w:r>
    </w:p>
    <w:p>
      <w:pPr>
        <w:jc w:val="right"/>
        <w:ind w:right="4479"/>
        <w:spacing w:after="0"/>
        <w:rPr>
          <w:sz w:val="20"/>
          <w:szCs w:val="20"/>
          <w:color w:val="auto"/>
        </w:rPr>
      </w:pPr>
      <w:r>
        <w:rPr>
          <w:rFonts w:ascii="Arial" w:cs="Arial" w:eastAsia="Arial" w:hAnsi="Arial"/>
          <w:sz w:val="12"/>
          <w:szCs w:val="12"/>
          <w:b w:val="1"/>
          <w:bCs w:val="1"/>
          <w:color w:val="auto"/>
        </w:rPr>
        <w:t>Chief Executive Officer</w:t>
      </w:r>
    </w:p>
    <w:p>
      <w:pPr>
        <w:spacing w:after="0" w:line="15" w:lineRule="exact"/>
        <w:rPr>
          <w:sz w:val="20"/>
          <w:szCs w:val="20"/>
          <w:color w:val="auto"/>
        </w:rPr>
      </w:pPr>
    </w:p>
    <w:p>
      <w:pPr>
        <w:jc w:val="center"/>
        <w:ind w:right="199"/>
        <w:spacing w:after="0"/>
        <w:rPr>
          <w:sz w:val="20"/>
          <w:szCs w:val="20"/>
          <w:color w:val="auto"/>
        </w:rPr>
      </w:pPr>
      <w:r>
        <w:rPr>
          <w:rFonts w:ascii="Arial" w:cs="Arial" w:eastAsia="Arial" w:hAnsi="Arial"/>
          <w:sz w:val="11"/>
          <w:szCs w:val="11"/>
          <w:b w:val="1"/>
          <w:bCs w:val="1"/>
          <w:color w:val="auto"/>
        </w:rPr>
        <w:t>(Principal Executive Officer)</w:t>
      </w:r>
    </w:p>
    <w:p>
      <w:pPr>
        <w:sectPr>
          <w:pgSz w:w="11900" w:h="16838" w:orient="portrait"/>
          <w:cols w:equalWidth="0" w:num="1">
            <w:col w:w="9919"/>
          </w:cols>
          <w:pgMar w:left="540" w:top="428" w:right="1440" w:bottom="1440" w:gutter="0" w:footer="0" w:header="0"/>
        </w:sectPr>
      </w:pPr>
    </w:p>
    <w:bookmarkStart w:id="72" w:name="page73"/>
    <w:bookmarkEnd w:id="72"/>
    <w:p>
      <w:pPr>
        <w:jc w:val="right"/>
        <w:spacing w:after="0"/>
        <w:rPr>
          <w:sz w:val="20"/>
          <w:szCs w:val="20"/>
          <w:color w:val="auto"/>
        </w:rPr>
      </w:pPr>
      <w:r>
        <w:rPr>
          <w:rFonts w:ascii="Arial" w:cs="Arial" w:eastAsia="Arial" w:hAnsi="Arial"/>
          <w:sz w:val="12"/>
          <w:szCs w:val="12"/>
          <w:b w:val="1"/>
          <w:bCs w:val="1"/>
          <w:color w:val="auto"/>
        </w:rPr>
        <w:t>Exhibit 31.2</w:t>
      </w:r>
    </w:p>
    <w:p>
      <w:pPr>
        <w:spacing w:after="0" w:line="222" w:lineRule="exact"/>
        <w:rPr>
          <w:sz w:val="20"/>
          <w:szCs w:val="20"/>
          <w:color w:val="auto"/>
        </w:rPr>
      </w:pPr>
    </w:p>
    <w:p>
      <w:pPr>
        <w:ind w:left="2080" w:right="2020" w:firstLine="566"/>
        <w:spacing w:after="0" w:line="283" w:lineRule="auto"/>
        <w:rPr>
          <w:sz w:val="20"/>
          <w:szCs w:val="20"/>
          <w:color w:val="auto"/>
        </w:rPr>
      </w:pPr>
      <w:r>
        <w:rPr>
          <w:rFonts w:ascii="Arial" w:cs="Arial" w:eastAsia="Arial" w:hAnsi="Arial"/>
          <w:sz w:val="12"/>
          <w:szCs w:val="12"/>
          <w:b w:val="1"/>
          <w:bCs w:val="1"/>
          <w:color w:val="auto"/>
        </w:rPr>
        <w:t>CERTIFICATION OF CHIEF FINANCIAL OFFICER PURSUANT TO SECTION 302 OF THE SARBANES-OXLEY ACT OF 2002</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color w:val="auto"/>
        </w:rPr>
        <w:t>I, Domenic Della Penna, certify that:</w:t>
      </w:r>
    </w:p>
    <w:p>
      <w:pPr>
        <w:spacing w:after="0" w:line="150" w:lineRule="exact"/>
        <w:rPr>
          <w:sz w:val="20"/>
          <w:szCs w:val="20"/>
          <w:color w:val="auto"/>
        </w:rPr>
      </w:pPr>
    </w:p>
    <w:p>
      <w:pPr>
        <w:ind w:left="480" w:hanging="478"/>
        <w:spacing w:after="0"/>
        <w:tabs>
          <w:tab w:leader="none" w:pos="4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Venus Concept Inc.;</w:t>
      </w:r>
    </w:p>
    <w:p>
      <w:pPr>
        <w:spacing w:after="0" w:line="150" w:lineRule="exact"/>
        <w:rPr>
          <w:rFonts w:ascii="Arial" w:cs="Arial" w:eastAsia="Arial" w:hAnsi="Arial"/>
          <w:sz w:val="12"/>
          <w:szCs w:val="12"/>
          <w:color w:val="auto"/>
        </w:rPr>
      </w:pPr>
    </w:p>
    <w:p>
      <w:pPr>
        <w:ind w:left="480" w:right="480" w:hanging="478"/>
        <w:spacing w:after="0" w:line="276" w:lineRule="auto"/>
        <w:tabs>
          <w:tab w:leader="none" w:pos="4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480" w:right="320" w:hanging="478"/>
        <w:spacing w:after="0" w:line="276" w:lineRule="auto"/>
        <w:tabs>
          <w:tab w:leader="none" w:pos="4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480" w:right="20" w:hanging="478"/>
        <w:spacing w:after="0" w:line="276" w:lineRule="auto"/>
        <w:tabs>
          <w:tab w:leader="none" w:pos="4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2"/>
          <w:szCs w:val="12"/>
          <w:color w:val="auto"/>
        </w:rPr>
      </w:pPr>
    </w:p>
    <w:p>
      <w:pPr>
        <w:ind w:left="940" w:right="260" w:hanging="461"/>
        <w:spacing w:after="0" w:line="323" w:lineRule="auto"/>
        <w:tabs>
          <w:tab w:leader="none" w:pos="940" w:val="left"/>
        </w:tabs>
        <w:numPr>
          <w:ilvl w:val="1"/>
          <w:numId w:val="28"/>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1" w:lineRule="exact"/>
        <w:rPr>
          <w:rFonts w:ascii="Arial" w:cs="Arial" w:eastAsia="Arial" w:hAnsi="Arial"/>
          <w:sz w:val="11"/>
          <w:szCs w:val="11"/>
          <w:color w:val="auto"/>
        </w:rPr>
      </w:pPr>
    </w:p>
    <w:p>
      <w:pPr>
        <w:ind w:left="940" w:right="480" w:hanging="461"/>
        <w:spacing w:after="0" w:line="323" w:lineRule="auto"/>
        <w:tabs>
          <w:tab w:leader="none" w:pos="940" w:val="left"/>
        </w:tabs>
        <w:numPr>
          <w:ilvl w:val="1"/>
          <w:numId w:val="28"/>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1" w:lineRule="exact"/>
        <w:rPr>
          <w:rFonts w:ascii="Arial" w:cs="Arial" w:eastAsia="Arial" w:hAnsi="Arial"/>
          <w:sz w:val="11"/>
          <w:szCs w:val="11"/>
          <w:color w:val="auto"/>
        </w:rPr>
      </w:pPr>
    </w:p>
    <w:p>
      <w:pPr>
        <w:ind w:left="940" w:right="460" w:hanging="461"/>
        <w:spacing w:after="0" w:line="276" w:lineRule="auto"/>
        <w:tabs>
          <w:tab w:leader="none" w:pos="940" w:val="left"/>
        </w:tabs>
        <w:numPr>
          <w:ilvl w:val="1"/>
          <w:numId w:val="28"/>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940" w:right="220" w:hanging="461"/>
        <w:spacing w:after="0" w:line="276" w:lineRule="auto"/>
        <w:tabs>
          <w:tab w:leader="none" w:pos="940" w:val="left"/>
        </w:tabs>
        <w:numPr>
          <w:ilvl w:val="1"/>
          <w:numId w:val="2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14" w:lineRule="exact"/>
        <w:rPr>
          <w:rFonts w:ascii="Arial" w:cs="Arial" w:eastAsia="Arial" w:hAnsi="Arial"/>
          <w:sz w:val="12"/>
          <w:szCs w:val="12"/>
          <w:color w:val="auto"/>
        </w:rPr>
      </w:pPr>
    </w:p>
    <w:p>
      <w:pPr>
        <w:ind w:left="480" w:right="840" w:hanging="478"/>
        <w:spacing w:after="0" w:line="276" w:lineRule="auto"/>
        <w:tabs>
          <w:tab w:leader="none" w:pos="4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940" w:right="220" w:hanging="461"/>
        <w:spacing w:after="0" w:line="276" w:lineRule="auto"/>
        <w:tabs>
          <w:tab w:leader="none" w:pos="940" w:val="left"/>
        </w:tabs>
        <w:numPr>
          <w:ilvl w:val="1"/>
          <w:numId w:val="28"/>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2"/>
          <w:szCs w:val="12"/>
          <w:color w:val="auto"/>
        </w:rPr>
      </w:pPr>
    </w:p>
    <w:p>
      <w:pPr>
        <w:ind w:left="940" w:hanging="461"/>
        <w:spacing w:after="0"/>
        <w:tabs>
          <w:tab w:leader="none" w:pos="940" w:val="left"/>
        </w:tabs>
        <w:numPr>
          <w:ilvl w:val="1"/>
          <w:numId w:val="2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49530</wp:posOffset>
            </wp:positionV>
            <wp:extent cx="7189470" cy="11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800"/>
          </w:cols>
          <w:pgMar w:left="560" w:top="766" w:right="539" w:bottom="1440" w:gutter="0" w:footer="0" w:header="0"/>
        </w:sectPr>
      </w:pPr>
    </w:p>
    <w:bookmarkStart w:id="73" w:name="page74"/>
    <w:bookmarkEnd w:id="73"/>
    <w:p>
      <w:pPr>
        <w:spacing w:after="0"/>
        <w:tabs>
          <w:tab w:leader="none" w:pos="3300" w:val="left"/>
          <w:tab w:leader="none" w:pos="3880" w:val="left"/>
        </w:tabs>
        <w:rPr>
          <w:sz w:val="20"/>
          <w:szCs w:val="20"/>
          <w:color w:val="auto"/>
        </w:rPr>
      </w:pPr>
      <w:r>
        <w:rPr>
          <w:rFonts w:ascii="Arial" w:cs="Arial" w:eastAsia="Arial" w:hAnsi="Arial"/>
          <w:sz w:val="12"/>
          <w:szCs w:val="12"/>
          <w:color w:val="auto"/>
        </w:rPr>
        <w:t>Date: May 14,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DOMENIC DELLA PENNA</w:t>
      </w:r>
    </w:p>
    <w:p>
      <w:pPr>
        <w:spacing w:after="0" w:line="20" w:lineRule="exact"/>
        <w:rPr>
          <w:sz w:val="20"/>
          <w:szCs w:val="20"/>
          <w:color w:val="auto"/>
        </w:rPr>
      </w:pPr>
    </w:p>
    <w:p>
      <w:pPr>
        <w:ind w:left="4000"/>
        <w:spacing w:after="0"/>
        <w:rPr>
          <w:sz w:val="20"/>
          <w:szCs w:val="20"/>
          <w:color w:val="auto"/>
        </w:rPr>
      </w:pPr>
      <w:r>
        <w:rPr>
          <w:rFonts w:ascii="Arial" w:cs="Arial" w:eastAsia="Arial" w:hAnsi="Arial"/>
          <w:sz w:val="12"/>
          <w:szCs w:val="12"/>
          <w:b w:val="1"/>
          <w:bCs w:val="1"/>
          <w:color w:val="auto"/>
        </w:rPr>
        <w:t>Name: Domenic Della Penna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2214245</wp:posOffset>
            </wp:positionH>
            <wp:positionV relativeFrom="paragraph">
              <wp:posOffset>-84455</wp:posOffset>
            </wp:positionV>
            <wp:extent cx="192595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1925955" cy="5715"/>
                    </a:xfrm>
                    <a:prstGeom prst="rect">
                      <a:avLst/>
                    </a:prstGeom>
                    <a:noFill/>
                  </pic:spPr>
                </pic:pic>
              </a:graphicData>
            </a:graphic>
          </wp:anchor>
        </w:drawing>
      </w:r>
    </w:p>
    <w:p>
      <w:pPr>
        <w:jc w:val="right"/>
        <w:ind w:right="4039"/>
        <w:spacing w:after="0"/>
        <w:rPr>
          <w:sz w:val="20"/>
          <w:szCs w:val="20"/>
          <w:color w:val="auto"/>
        </w:rPr>
      </w:pPr>
      <w:r>
        <w:rPr>
          <w:rFonts w:ascii="Arial" w:cs="Arial" w:eastAsia="Arial" w:hAnsi="Arial"/>
          <w:sz w:val="12"/>
          <w:szCs w:val="12"/>
          <w:b w:val="1"/>
          <w:bCs w:val="1"/>
          <w:color w:val="auto"/>
        </w:rPr>
        <w:t>Chief Financial Officer (Principal</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2"/>
          <w:szCs w:val="12"/>
          <w:b w:val="1"/>
          <w:bCs w:val="1"/>
          <w:color w:val="auto"/>
        </w:rPr>
        <w:t>Financial Officer)</w:t>
      </w:r>
    </w:p>
    <w:p>
      <w:pPr>
        <w:sectPr>
          <w:pgSz w:w="11900" w:h="16838" w:orient="portrait"/>
          <w:cols w:equalWidth="0" w:num="1">
            <w:col w:w="9919"/>
          </w:cols>
          <w:pgMar w:left="540" w:top="428" w:right="1440" w:bottom="1440" w:gutter="0" w:footer="0" w:header="0"/>
        </w:sectPr>
      </w:pPr>
    </w:p>
    <w:bookmarkStart w:id="74" w:name="page75"/>
    <w:bookmarkEnd w:id="74"/>
    <w:p>
      <w:pPr>
        <w:ind w:left="10320"/>
        <w:spacing w:after="0"/>
        <w:rPr>
          <w:sz w:val="20"/>
          <w:szCs w:val="20"/>
          <w:color w:val="auto"/>
        </w:rPr>
      </w:pPr>
      <w:r>
        <w:rPr>
          <w:rFonts w:ascii="Arial" w:cs="Arial" w:eastAsia="Arial" w:hAnsi="Arial"/>
          <w:sz w:val="13"/>
          <w:szCs w:val="13"/>
          <w:b w:val="1"/>
          <w:bCs w:val="1"/>
          <w:color w:val="auto"/>
        </w:rPr>
        <w:t>Exhibit 32.1</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Certification of Principal Executive Officer Pursuant to 18 U.S.C. Section 1350 as Adopted Pursuant to Section 906 of the Sarbanes-Oxley Act of 2002</w:t>
      </w:r>
    </w:p>
    <w:p>
      <w:pPr>
        <w:spacing w:after="0" w:line="377" w:lineRule="exact"/>
        <w:rPr>
          <w:sz w:val="20"/>
          <w:szCs w:val="20"/>
          <w:color w:val="auto"/>
        </w:rPr>
      </w:pPr>
    </w:p>
    <w:p>
      <w:pPr>
        <w:ind w:right="600" w:firstLine="869"/>
        <w:spacing w:after="0" w:line="271" w:lineRule="auto"/>
        <w:rPr>
          <w:sz w:val="20"/>
          <w:szCs w:val="20"/>
          <w:color w:val="auto"/>
        </w:rPr>
      </w:pPr>
      <w:r>
        <w:rPr>
          <w:rFonts w:ascii="Arial" w:cs="Arial" w:eastAsia="Arial" w:hAnsi="Arial"/>
          <w:sz w:val="13"/>
          <w:szCs w:val="13"/>
          <w:color w:val="auto"/>
        </w:rPr>
        <w:t>Pursuant to 18 U.S.C. Section 1350, as adopted pursuant to Section 906 of the Sarbanes-Oxley Act of 2002, I, Domenic Serafino, the Chief Executive Officer of Venus Concept Inc. (the “</w:t>
      </w:r>
      <w:r>
        <w:rPr>
          <w:rFonts w:ascii="Arial" w:cs="Arial" w:eastAsia="Arial" w:hAnsi="Arial"/>
          <w:sz w:val="13"/>
          <w:szCs w:val="13"/>
          <w:b w:val="1"/>
          <w:bCs w:val="1"/>
          <w:color w:val="auto"/>
        </w:rPr>
        <w:t>Company</w:t>
      </w:r>
      <w:r>
        <w:rPr>
          <w:rFonts w:ascii="Arial" w:cs="Arial" w:eastAsia="Arial" w:hAnsi="Arial"/>
          <w:sz w:val="13"/>
          <w:szCs w:val="13"/>
          <w:color w:val="auto"/>
        </w:rPr>
        <w:t>”), hereby certify, that, to my knowledge:</w:t>
      </w:r>
    </w:p>
    <w:p>
      <w:pPr>
        <w:spacing w:after="0" w:line="108" w:lineRule="exact"/>
        <w:rPr>
          <w:sz w:val="20"/>
          <w:szCs w:val="20"/>
          <w:color w:val="auto"/>
        </w:rPr>
      </w:pPr>
    </w:p>
    <w:p>
      <w:pPr>
        <w:ind w:left="1820" w:hanging="959"/>
        <w:spacing w:after="0"/>
        <w:tabs>
          <w:tab w:leader="none" w:pos="18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Quarterly Report on Form 10-Q for the quarter ended March 31, 2020 (the “</w:t>
      </w:r>
      <w:r>
        <w:rPr>
          <w:rFonts w:ascii="Arial" w:cs="Arial" w:eastAsia="Arial" w:hAnsi="Arial"/>
          <w:sz w:val="12"/>
          <w:szCs w:val="12"/>
          <w:b w:val="1"/>
          <w:bCs w:val="1"/>
          <w:color w:val="auto"/>
        </w:rPr>
        <w:t>Report</w:t>
      </w:r>
      <w:r>
        <w:rPr>
          <w:rFonts w:ascii="Arial" w:cs="Arial" w:eastAsia="Arial" w:hAnsi="Arial"/>
          <w:sz w:val="12"/>
          <w:szCs w:val="12"/>
          <w:color w:val="auto"/>
        </w:rPr>
        <w:t>”) of the Company fully complies with the requirements of Section 13(a) of the Securities</w:t>
      </w:r>
    </w:p>
    <w:p>
      <w:pPr>
        <w:spacing w:after="0" w:line="29"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Exchange Act of 1934; and</w:t>
      </w:r>
    </w:p>
    <w:p>
      <w:pPr>
        <w:spacing w:after="0" w:line="137" w:lineRule="exact"/>
        <w:rPr>
          <w:rFonts w:ascii="Arial" w:cs="Arial" w:eastAsia="Arial" w:hAnsi="Arial"/>
          <w:sz w:val="12"/>
          <w:szCs w:val="12"/>
          <w:color w:val="auto"/>
        </w:rPr>
      </w:pPr>
    </w:p>
    <w:p>
      <w:pPr>
        <w:ind w:left="1820" w:hanging="959"/>
        <w:spacing w:after="0"/>
        <w:tabs>
          <w:tab w:leader="none" w:pos="18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p>
      <w:pPr>
        <w:ind w:left="4240"/>
        <w:spacing w:after="0"/>
        <w:rPr>
          <w:sz w:val="20"/>
          <w:szCs w:val="20"/>
          <w:color w:val="auto"/>
        </w:rPr>
      </w:pPr>
      <w:r>
        <w:rPr>
          <w:rFonts w:ascii="Arial" w:cs="Arial" w:eastAsia="Arial" w:hAnsi="Arial"/>
          <w:sz w:val="13"/>
          <w:szCs w:val="13"/>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248920</wp:posOffset>
            </wp:positionV>
            <wp:extent cx="7189470" cy="11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20"/>
          </w:cols>
          <w:pgMar w:left="300" w:top="818" w:right="379" w:bottom="1440" w:gutter="0" w:footer="0" w:header="0"/>
        </w:sectPr>
      </w:pPr>
    </w:p>
    <w:bookmarkStart w:id="75" w:name="page76"/>
    <w:bookmarkEnd w:id="75"/>
    <w:p>
      <w:pPr>
        <w:spacing w:after="0"/>
        <w:tabs>
          <w:tab w:leader="none" w:pos="4500" w:val="left"/>
        </w:tabs>
        <w:rPr>
          <w:sz w:val="20"/>
          <w:szCs w:val="20"/>
          <w:color w:val="auto"/>
        </w:rPr>
      </w:pPr>
      <w:r>
        <w:rPr>
          <w:rFonts w:ascii="Arial" w:cs="Arial" w:eastAsia="Arial" w:hAnsi="Arial"/>
          <w:sz w:val="13"/>
          <w:szCs w:val="13"/>
          <w:color w:val="auto"/>
        </w:rPr>
        <w:t>Date: May 14, 2020</w:t>
      </w:r>
      <w:r>
        <w:rPr>
          <w:sz w:val="20"/>
          <w:szCs w:val="20"/>
          <w:color w:val="auto"/>
        </w:rPr>
        <w:tab/>
      </w:r>
      <w:r>
        <w:rPr>
          <w:rFonts w:ascii="Arial" w:cs="Arial" w:eastAsia="Arial" w:hAnsi="Arial"/>
          <w:sz w:val="12"/>
          <w:szCs w:val="12"/>
          <w:color w:val="auto"/>
        </w:rPr>
        <w:t>By: /s/ DOMENIC SERAFINO</w:t>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3"/>
          <w:szCs w:val="13"/>
          <w:b w:val="1"/>
          <w:bCs w:val="1"/>
          <w:color w:val="auto"/>
        </w:rPr>
        <w:t>Name: Domenic Serafino</w:t>
      </w:r>
    </w:p>
    <w:p>
      <w:pPr>
        <w:spacing w:after="0" w:line="10" w:lineRule="exact"/>
        <w:rPr>
          <w:sz w:val="20"/>
          <w:szCs w:val="20"/>
          <w:color w:val="auto"/>
        </w:rPr>
      </w:pPr>
    </w:p>
    <w:p>
      <w:pPr>
        <w:ind w:left="6960"/>
        <w:spacing w:after="0"/>
        <w:rPr>
          <w:sz w:val="20"/>
          <w:szCs w:val="20"/>
          <w:color w:val="auto"/>
        </w:rPr>
      </w:pPr>
      <w:r>
        <w:rPr>
          <w:rFonts w:ascii="Arial" w:cs="Arial" w:eastAsia="Arial" w:hAnsi="Arial"/>
          <w:sz w:val="13"/>
          <w:szCs w:val="13"/>
          <w:b w:val="1"/>
          <w:bCs w:val="1"/>
          <w:color w:val="auto"/>
        </w:rPr>
        <w:t>Chief Executive Officer</w:t>
      </w:r>
    </w:p>
    <w:p>
      <w:pPr>
        <w:spacing w:after="0" w:line="4" w:lineRule="exact"/>
        <w:rPr>
          <w:sz w:val="20"/>
          <w:szCs w:val="20"/>
          <w:color w:val="auto"/>
        </w:rPr>
      </w:pPr>
    </w:p>
    <w:p>
      <w:pPr>
        <w:ind w:left="6960"/>
        <w:spacing w:after="0"/>
        <w:rPr>
          <w:sz w:val="20"/>
          <w:szCs w:val="20"/>
          <w:color w:val="auto"/>
        </w:rPr>
      </w:pPr>
      <w:r>
        <w:rPr>
          <w:rFonts w:ascii="Arial" w:cs="Arial" w:eastAsia="Arial" w:hAnsi="Arial"/>
          <w:sz w:val="12"/>
          <w:szCs w:val="12"/>
          <w:b w:val="1"/>
          <w:bCs w:val="1"/>
          <w:color w:val="auto"/>
        </w:rPr>
        <w:t>(Principal Executive Officer)</w:t>
      </w:r>
    </w:p>
    <w:p>
      <w:pPr>
        <w:sectPr>
          <w:pgSz w:w="11900" w:h="16838" w:orient="portrait"/>
          <w:cols w:equalWidth="0" w:num="1">
            <w:col w:w="9839"/>
          </w:cols>
          <w:pgMar w:left="620" w:top="435" w:right="1440" w:bottom="1440" w:gutter="0" w:footer="0" w:header="0"/>
        </w:sectPr>
      </w:pPr>
    </w:p>
    <w:bookmarkStart w:id="76" w:name="page77"/>
    <w:bookmarkEnd w:id="76"/>
    <w:p>
      <w:pPr>
        <w:ind w:left="10320"/>
        <w:spacing w:after="0"/>
        <w:rPr>
          <w:sz w:val="20"/>
          <w:szCs w:val="20"/>
          <w:color w:val="auto"/>
        </w:rPr>
      </w:pPr>
      <w:r>
        <w:rPr>
          <w:rFonts w:ascii="Arial" w:cs="Arial" w:eastAsia="Arial" w:hAnsi="Arial"/>
          <w:sz w:val="13"/>
          <w:szCs w:val="13"/>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Certification of Principal Financial Officer Pursuant to 18 U.S.C. Section 1350 as Adopted Pursuant to Section 906 of the Sarbanes-Oxley Act of 2002</w:t>
      </w:r>
    </w:p>
    <w:p>
      <w:pPr>
        <w:spacing w:after="0" w:line="377" w:lineRule="exact"/>
        <w:rPr>
          <w:sz w:val="20"/>
          <w:szCs w:val="20"/>
          <w:color w:val="auto"/>
        </w:rPr>
      </w:pPr>
    </w:p>
    <w:p>
      <w:pPr>
        <w:ind w:right="500" w:firstLine="869"/>
        <w:spacing w:after="0" w:line="271" w:lineRule="auto"/>
        <w:rPr>
          <w:sz w:val="20"/>
          <w:szCs w:val="20"/>
          <w:color w:val="auto"/>
        </w:rPr>
      </w:pPr>
      <w:r>
        <w:rPr>
          <w:rFonts w:ascii="Arial" w:cs="Arial" w:eastAsia="Arial" w:hAnsi="Arial"/>
          <w:sz w:val="13"/>
          <w:szCs w:val="13"/>
          <w:color w:val="auto"/>
        </w:rPr>
        <w:t>Pursuant to 18 U.S.C. Section 1350, as adopted pursuant to Section 906 of the Sarbanes-Oxley Act of 2002, I, Domenic Della Pena, the Chief Financial Officer of Venus Concept Inc. (the “</w:t>
      </w:r>
      <w:r>
        <w:rPr>
          <w:rFonts w:ascii="Arial" w:cs="Arial" w:eastAsia="Arial" w:hAnsi="Arial"/>
          <w:sz w:val="13"/>
          <w:szCs w:val="13"/>
          <w:b w:val="1"/>
          <w:bCs w:val="1"/>
          <w:color w:val="auto"/>
        </w:rPr>
        <w:t>Company</w:t>
      </w:r>
      <w:r>
        <w:rPr>
          <w:rFonts w:ascii="Arial" w:cs="Arial" w:eastAsia="Arial" w:hAnsi="Arial"/>
          <w:sz w:val="13"/>
          <w:szCs w:val="13"/>
          <w:color w:val="auto"/>
        </w:rPr>
        <w:t>”), hereby certify, that, to my knowledge:</w:t>
      </w:r>
    </w:p>
    <w:p>
      <w:pPr>
        <w:spacing w:after="0" w:line="108" w:lineRule="exact"/>
        <w:rPr>
          <w:sz w:val="20"/>
          <w:szCs w:val="20"/>
          <w:color w:val="auto"/>
        </w:rPr>
      </w:pPr>
    </w:p>
    <w:p>
      <w:pPr>
        <w:ind w:left="1820" w:hanging="959"/>
        <w:spacing w:after="0"/>
        <w:tabs>
          <w:tab w:leader="none" w:pos="18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Quarterly Report on Form 10-Q for the quarter ended March 31, 2020 (the “</w:t>
      </w:r>
      <w:r>
        <w:rPr>
          <w:rFonts w:ascii="Arial" w:cs="Arial" w:eastAsia="Arial" w:hAnsi="Arial"/>
          <w:sz w:val="12"/>
          <w:szCs w:val="12"/>
          <w:b w:val="1"/>
          <w:bCs w:val="1"/>
          <w:color w:val="auto"/>
        </w:rPr>
        <w:t>Report</w:t>
      </w:r>
      <w:r>
        <w:rPr>
          <w:rFonts w:ascii="Arial" w:cs="Arial" w:eastAsia="Arial" w:hAnsi="Arial"/>
          <w:sz w:val="12"/>
          <w:szCs w:val="12"/>
          <w:color w:val="auto"/>
        </w:rPr>
        <w:t>”) of the Company fully complies with the requirements of Section 13(a) of the Securities</w:t>
      </w:r>
    </w:p>
    <w:p>
      <w:pPr>
        <w:spacing w:after="0" w:line="29"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Exchange Act of 1934; and</w:t>
      </w:r>
    </w:p>
    <w:p>
      <w:pPr>
        <w:spacing w:after="0" w:line="137" w:lineRule="exact"/>
        <w:rPr>
          <w:rFonts w:ascii="Arial" w:cs="Arial" w:eastAsia="Arial" w:hAnsi="Arial"/>
          <w:sz w:val="12"/>
          <w:szCs w:val="12"/>
          <w:color w:val="auto"/>
        </w:rPr>
      </w:pPr>
    </w:p>
    <w:p>
      <w:pPr>
        <w:ind w:left="1820" w:hanging="959"/>
        <w:spacing w:after="0"/>
        <w:tabs>
          <w:tab w:leader="none" w:pos="18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p>
      <w:pPr>
        <w:ind w:left="4240"/>
        <w:spacing w:after="0"/>
        <w:rPr>
          <w:sz w:val="20"/>
          <w:szCs w:val="20"/>
          <w:color w:val="auto"/>
        </w:rPr>
      </w:pPr>
      <w:r>
        <w:rPr>
          <w:rFonts w:ascii="Arial" w:cs="Arial" w:eastAsia="Arial" w:hAnsi="Arial"/>
          <w:sz w:val="13"/>
          <w:szCs w:val="13"/>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3163570</wp:posOffset>
            </wp:positionV>
            <wp:extent cx="7189470" cy="11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20"/>
          </w:cols>
          <w:pgMar w:left="300" w:top="629" w:right="379" w:bottom="1440" w:gutter="0" w:footer="0" w:header="0"/>
        </w:sectPr>
      </w:pPr>
    </w:p>
    <w:bookmarkStart w:id="77" w:name="page78"/>
    <w:bookmarkEnd w:id="77"/>
    <w:p>
      <w:pPr>
        <w:spacing w:after="0"/>
        <w:tabs>
          <w:tab w:leader="none" w:pos="4500" w:val="left"/>
        </w:tabs>
        <w:rPr>
          <w:sz w:val="20"/>
          <w:szCs w:val="20"/>
          <w:color w:val="auto"/>
        </w:rPr>
      </w:pPr>
      <w:r>
        <w:rPr>
          <w:rFonts w:ascii="Arial" w:cs="Arial" w:eastAsia="Arial" w:hAnsi="Arial"/>
          <w:sz w:val="13"/>
          <w:szCs w:val="13"/>
          <w:color w:val="auto"/>
        </w:rPr>
        <w:t>Date: May 14, 2020</w:t>
      </w:r>
      <w:r>
        <w:rPr>
          <w:sz w:val="20"/>
          <w:szCs w:val="20"/>
          <w:color w:val="auto"/>
        </w:rPr>
        <w:tab/>
      </w:r>
      <w:r>
        <w:rPr>
          <w:rFonts w:ascii="Arial" w:cs="Arial" w:eastAsia="Arial" w:hAnsi="Arial"/>
          <w:sz w:val="13"/>
          <w:szCs w:val="13"/>
          <w:color w:val="auto"/>
        </w:rPr>
        <w:t>By: /s/ DOMENIC DELLA PENNA</w:t>
      </w:r>
    </w:p>
    <w:p>
      <w:pPr>
        <w:spacing w:after="0" w:line="16" w:lineRule="exact"/>
        <w:rPr>
          <w:sz w:val="20"/>
          <w:szCs w:val="20"/>
          <w:color w:val="auto"/>
        </w:rPr>
      </w:pPr>
    </w:p>
    <w:p>
      <w:pPr>
        <w:ind w:left="7060"/>
        <w:spacing w:after="0"/>
        <w:rPr>
          <w:sz w:val="20"/>
          <w:szCs w:val="20"/>
          <w:color w:val="auto"/>
        </w:rPr>
      </w:pPr>
      <w:r>
        <w:rPr>
          <w:rFonts w:ascii="Arial" w:cs="Arial" w:eastAsia="Arial" w:hAnsi="Arial"/>
          <w:sz w:val="13"/>
          <w:szCs w:val="13"/>
          <w:b w:val="1"/>
          <w:bCs w:val="1"/>
          <w:color w:val="auto"/>
        </w:rPr>
        <w:t>Name: Domenic Della</w:t>
      </w:r>
    </w:p>
    <w:p>
      <w:pPr>
        <w:spacing w:after="0" w:line="10" w:lineRule="exact"/>
        <w:rPr>
          <w:sz w:val="20"/>
          <w:szCs w:val="20"/>
          <w:color w:val="auto"/>
        </w:rPr>
      </w:pPr>
    </w:p>
    <w:p>
      <w:pPr>
        <w:jc w:val="both"/>
        <w:ind w:left="7060"/>
        <w:spacing w:after="0"/>
        <w:tabs>
          <w:tab w:leader="none" w:pos="7860" w:val="left"/>
        </w:tabs>
        <w:rPr>
          <w:sz w:val="20"/>
          <w:szCs w:val="20"/>
          <w:color w:val="auto"/>
        </w:rPr>
      </w:pPr>
      <w:r>
        <w:rPr>
          <w:rFonts w:ascii="Arial" w:cs="Arial" w:eastAsia="Arial" w:hAnsi="Arial"/>
          <w:sz w:val="13"/>
          <w:szCs w:val="13"/>
          <w:b w:val="1"/>
          <w:bCs w:val="1"/>
          <w:color w:val="auto"/>
        </w:rPr>
        <w:t>Penna</w:t>
      </w:r>
      <w:r>
        <w:rPr>
          <w:sz w:val="20"/>
          <w:szCs w:val="20"/>
          <w:color w:val="auto"/>
        </w:rPr>
        <w:tab/>
      </w:r>
      <w:r>
        <w:rPr>
          <w:rFonts w:ascii="Arial" w:cs="Arial" w:eastAsia="Arial" w:hAnsi="Arial"/>
          <w:sz w:val="13"/>
          <w:szCs w:val="13"/>
          <w:b w:val="1"/>
          <w:bCs w:val="1"/>
          <w:color w:val="auto"/>
        </w:rPr>
        <w:t>Chief Financial</w:t>
      </w:r>
    </w:p>
    <w:p>
      <w:pPr>
        <w:ind w:left="7060"/>
        <w:spacing w:after="0" w:line="222" w:lineRule="auto"/>
        <w:rPr>
          <w:sz w:val="20"/>
          <w:szCs w:val="20"/>
          <w:color w:val="auto"/>
        </w:rPr>
      </w:pPr>
      <w:r>
        <w:rPr>
          <w:rFonts w:ascii="Arial" w:cs="Arial" w:eastAsia="Arial" w:hAnsi="Arial"/>
          <w:sz w:val="13"/>
          <w:szCs w:val="13"/>
          <w:b w:val="1"/>
          <w:bCs w:val="1"/>
          <w:color w:val="auto"/>
        </w:rPr>
        <w:t>Officer</w:t>
      </w:r>
    </w:p>
    <w:p>
      <w:pPr>
        <w:ind w:left="7060"/>
        <w:spacing w:after="0"/>
        <w:rPr>
          <w:sz w:val="20"/>
          <w:szCs w:val="20"/>
          <w:color w:val="auto"/>
        </w:rPr>
      </w:pPr>
      <w:r>
        <w:rPr>
          <w:rFonts w:ascii="Arial" w:cs="Arial" w:eastAsia="Arial" w:hAnsi="Arial"/>
          <w:sz w:val="12"/>
          <w:szCs w:val="12"/>
          <w:b w:val="1"/>
          <w:bCs w:val="1"/>
          <w:color w:val="auto"/>
        </w:rPr>
        <w:t>(Principal Financial Officer)</w:t>
      </w:r>
    </w:p>
    <w:sectPr>
      <w:pgSz w:w="11900" w:h="16838" w:orient="portrait"/>
      <w:cols w:equalWidth="0" w:num="1">
        <w:col w:w="9839"/>
      </w:cols>
      <w:pgMar w:left="620" w:top="124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upperLetter"/>
      <w:start w:val="68"/>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lowerRoman"/>
      <w:start w:val="2"/>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amp;"/>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amp;"/>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lowerLetter"/>
      <w:start w:val="7"/>
    </w:lvl>
  </w:abstractNum>
  <w:abstractNum w:abstractNumId="24">
    <w:nsid w:val="71F32454"/>
    <w:multiLevelType w:val="hybridMultilevel"/>
    <w:lvl w:ilvl="0">
      <w:lvlJc w:val="left"/>
      <w:lvlText w:val="%1."/>
      <w:numFmt w:val="decimal"/>
      <w:start w:val="5"/>
    </w:lvl>
    <w:lvl w:ilvl="1">
      <w:lvlJc w:val="left"/>
      <w:lvlText w:val="(%2)"/>
      <w:numFmt w:val="lowerLetter"/>
      <w:start w:val="1"/>
    </w:lvl>
  </w:abstractNum>
  <w:abstractNum w:abstractNumId="25">
    <w:nsid w:val="2CA88611"/>
    <w:multiLevelType w:val="hybridMultilevel"/>
    <w:lvl w:ilvl="0">
      <w:lvlJc w:val="left"/>
      <w:lvlText w:val="(%1)"/>
      <w:numFmt w:val="lowerRoman"/>
      <w:start w:val="3"/>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png"/><Relationship Id="rId108"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90" Type="http://schemas.openxmlformats.org/officeDocument/2006/relationships/hyperlink" Target="http://www.sec.gov/Archives/edgar/data/0001409269/000119312517311810/d448597dex31.htm" TargetMode="External"/><Relationship Id="rId91" Type="http://schemas.openxmlformats.org/officeDocument/2006/relationships/hyperlink" Target="http://www.sec.gov/Archives/edgar/data/0001409269/000119312519286952/d827576dex31.htm" TargetMode="External"/><Relationship Id="rId92" Type="http://schemas.openxmlformats.org/officeDocument/2006/relationships/hyperlink" Target="http://www.sec.gov/Archives/edgar/data/0001409269/000119312519286952/d827576dex32.htm" TargetMode="External"/><Relationship Id="rId93" Type="http://schemas.openxmlformats.org/officeDocument/2006/relationships/hyperlink" Target="http://www.sec.gov/Archives/edgar/data/0001409269/000119312517286792/d412930dex42.htm" TargetMode="External"/><Relationship Id="rId94" Type="http://schemas.openxmlformats.org/officeDocument/2006/relationships/hyperlink" Target="http://www.sec.gov/Archives/edgar/data/0001409269/000156459020014222/vero-ex43_458.htm" TargetMode="External"/><Relationship Id="rId95" Type="http://schemas.openxmlformats.org/officeDocument/2006/relationships/hyperlink" Target="http://www.sec.gov/Archives/edgar/data/0001409269/000156459020014222/vero-ex412_1615.htm" TargetMode="External"/><Relationship Id="rId96" Type="http://schemas.openxmlformats.org/officeDocument/2006/relationships/hyperlink" Target="http://www.sec.gov/Archives/edgar/data/0001409269/000156459020014222/vero-ex413_1616.htm" TargetMode="External"/><Relationship Id="rId97" Type="http://schemas.openxmlformats.org/officeDocument/2006/relationships/hyperlink" Target="http://www.sec.gov/Archives/edgar/data/0001409269/000119312520127865/d867207dex101.htm" TargetMode="External"/><Relationship Id="rId98" Type="http://schemas.openxmlformats.org/officeDocument/2006/relationships/hyperlink" Target="http://www.sec.gov/Archives/edgar/data/0001409269/000119312520083803/d883663dex101.htm" TargetMode="External"/><Relationship Id="rId99" Type="http://schemas.openxmlformats.org/officeDocument/2006/relationships/hyperlink" Target="http://www.sec.gov/Archives/edgar/data/0001409269/000119312520083803/d883663dex102.htm" TargetMode="External"/><Relationship Id="rId100" Type="http://schemas.openxmlformats.org/officeDocument/2006/relationships/hyperlink" Target="http://www.sec.gov/Archives/edgar/data/0001409269/000119312520083803/d883663dex103.htm" TargetMode="External"/><Relationship Id="rId101" Type="http://schemas.openxmlformats.org/officeDocument/2006/relationships/hyperlink" Target="http://www.sec.gov/Archives/edgar/data/0001409269/000119312520083803/d883663dex104.htm" TargetMode="External"/><Relationship Id="rId102" Type="http://schemas.openxmlformats.org/officeDocument/2006/relationships/hyperlink" Target="http://www.sec.gov/Archives/edgar/data/0001409269/000119312520083803/d883663dex105.htm" TargetMode="External"/><Relationship Id="rId103" Type="http://schemas.openxmlformats.org/officeDocument/2006/relationships/hyperlink" Target="http://www.sec.gov/Archives/edgar/data/0001409269/000119312520127865/d867207dex102.htm" TargetMode="External"/><Relationship Id="rId104" Type="http://schemas.openxmlformats.org/officeDocument/2006/relationships/hyperlink" Target="http://www.sec.gov/Archives/edgar/data/0001409269/000119312520019612/d87716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2020-05-14T15:38:34Z</dcterms:created>
  <dcterms:modified xsi:type="dcterms:W3CDTF">2020-05-14T15:38:34Z</dcterms:modified>
</cp:coreProperties>
</file>