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ero20230930_10q.htm"/>
      <w:bookmarkStart w:id="1" w:name="ksvero202309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____________ to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001-38238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Venus Concept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tbl>
      <w:tblPr>
        <w:tblW w:w="8239" w:type="dxa"/>
        <w:jc w:val="left"/>
        <w:tblInd w:w="0" w:type="dxa"/>
        <w:tblLayout w:type="fixed"/>
        <w:tblCellMar>
          <w:top w:w="0" w:type="dxa"/>
          <w:left w:w="0" w:type="dxa"/>
          <w:bottom w:w="0" w:type="dxa"/>
          <w:right w:w="0" w:type="dxa"/>
        </w:tblCellMar>
      </w:tblPr>
      <w:tblGrid>
        <w:gridCol w:w="5159"/>
        <w:gridCol w:w="3080"/>
      </w:tblGrid>
      <w:tr>
        <w:trPr/>
        <w:tc>
          <w:tcPr>
            <w:tcW w:w="5159"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30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06-1681204</w:t>
            </w:r>
          </w:p>
        </w:tc>
      </w:tr>
      <w:tr>
        <w:trPr/>
        <w:tc>
          <w:tcPr>
            <w:tcW w:w="5159"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incorporation or organization)</w:t>
            </w:r>
          </w:p>
        </w:tc>
        <w:tc>
          <w:tcPr>
            <w:tcW w:w="308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(I.R.S. Employer</w:t>
            </w:r>
            <w:r>
              <w:rPr>
                <w:rFonts w:ascii="Times New Roman" w:hAnsi="Times New Roman"/>
                <w:caps w:val="false"/>
                <w:smallCaps w:val="false"/>
                <w:sz w:val="16"/>
              </w:rPr>
              <w:br/>
            </w:r>
            <w:r>
              <w:rPr>
                <w:rFonts w:ascii="Times New Roman" w:hAnsi="Times New Roman"/>
                <w:b/>
                <w:caps w:val="false"/>
                <w:smallCaps w:val="false"/>
                <w:sz w:val="16"/>
              </w:rPr>
              <w:t>Identification No.)</w:t>
            </w:r>
          </w:p>
        </w:tc>
      </w:tr>
      <w:tr>
        <w:trPr/>
        <w:tc>
          <w:tcPr>
            <w:tcW w:w="823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235 Yorkland Blvd., Suite 900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Toronto, Ontario M2J 4Y8</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(877) 848-8430</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(Address including zip code, and telephone number including area code, of registrant</w:t>
            </w:r>
            <w:r>
              <w:rPr>
                <w:rFonts w:ascii="Times New Roman" w:hAnsi="Times New Roman"/>
                <w:caps w:val="false"/>
                <w:smallCaps w:val="false"/>
                <w:sz w:val="16"/>
              </w:rPr>
              <w:t>’</w:t>
            </w:r>
            <w:r>
              <w:rPr>
                <w:rFonts w:ascii="Times New Roman" w:hAnsi="Times New Roman"/>
                <w:b/>
                <w:caps w:val="false"/>
                <w:smallCaps w:val="false"/>
                <w:sz w:val="16"/>
              </w:rPr>
              <w:t>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185"/>
        <w:gridCol w:w="60"/>
        <w:gridCol w:w="1280"/>
        <w:gridCol w:w="60"/>
        <w:gridCol w:w="3350"/>
      </w:tblGrid>
      <w:tr>
        <w:trPr/>
        <w:tc>
          <w:tcPr>
            <w:tcW w:w="31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1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VERO</w:t>
            </w:r>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1565"/>
        <w:gridCol w:w="230"/>
        <w:gridCol w:w="1955"/>
        <w:gridCol w:w="230"/>
      </w:tblGrid>
      <w:tr>
        <w:trPr/>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As of November 10, 2023 the registrant had 5,529,149 shar</w:t>
      </w:r>
      <w:r>
        <w:rPr>
          <w:rFonts w:ascii="Times New Roman" w:hAnsi="Times New Roman"/>
          <w:caps w:val="false"/>
          <w:smallCaps w:val="false"/>
          <w:sz w:val="18"/>
          <w:shd w:fill="FFFFFF" w:val="clear"/>
        </w:rPr>
        <w:t>es</w:t>
      </w:r>
      <w:r>
        <w:rPr>
          <w:rFonts w:ascii="Times New Roman" w:hAnsi="Times New Roman"/>
          <w:caps w:val="false"/>
          <w:smallCaps w:val="false"/>
          <w:sz w:val="18"/>
        </w:rPr>
        <w:t xml:space="preserve"> of common stock, $0.0001 par value per share, outstanding.</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785"/>
        <w:gridCol w:w="7475"/>
        <w:gridCol w:w="440"/>
      </w:tblGrid>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475" w:type="dxa"/>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Financial Information</w:t>
              </w:r>
            </w:hyperlink>
          </w:p>
        </w:tc>
        <w:tc>
          <w:tcPr>
            <w:tcW w:w="440" w:type="dxa"/>
            <w:tcBorders/>
            <w:vAlign w:val="center"/>
          </w:tcPr>
          <w:p>
            <w:pPr>
              <w:pStyle w:val="TableContents"/>
              <w:bidi w:val="0"/>
              <w:spacing w:before="0" w:after="0"/>
              <w:ind w:left="0" w:right="0" w:hanging="0"/>
              <w:jc w:val="right"/>
              <w:rPr/>
            </w:pPr>
            <w:hyperlink w:anchor="p1">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475"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b/>
                  <w:caps w:val="false"/>
                  <w:smallCaps w:val="false"/>
                  <w:sz w:val="20"/>
                </w:rPr>
                <w:t>Condensed Consolidated Financial Statements (unaudited)</w:t>
              </w:r>
            </w:hyperlink>
          </w:p>
        </w:tc>
        <w:tc>
          <w:tcPr>
            <w:tcW w:w="440" w:type="dxa"/>
            <w:tcBorders/>
            <w:vAlign w:val="center"/>
          </w:tcPr>
          <w:p>
            <w:pPr>
              <w:pStyle w:val="TableContents"/>
              <w:bidi w:val="0"/>
              <w:spacing w:before="0" w:after="0"/>
              <w:ind w:left="0" w:right="0" w:hanging="0"/>
              <w:jc w:val="right"/>
              <w:rPr/>
            </w:pPr>
            <w:hyperlink w:anchor="p1i1">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bal">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al">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3</w:t>
              </w:r>
            </w:hyperlink>
          </w:p>
        </w:tc>
      </w:tr>
      <w:tr>
        <w:trPr/>
        <w:tc>
          <w:tcPr>
            <w:tcW w:w="785"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ind w:left="0" w:right="0" w:hanging="0"/>
              <w:jc w:val="left"/>
              <w:rPr/>
            </w:pPr>
            <w:hyperlink w:anchor="comp">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right"/>
              <w:rPr/>
            </w:pPr>
            <w:hyperlink w:anchor="comp">
              <w:r>
                <w:rPr>
                  <w:rStyle w:val="InternetLink"/>
                  <w:rFonts w:ascii="Times New Roman" w:hAnsi="Times New Roman"/>
                  <w:caps w:val="false"/>
                  <w:smallCaps w:val="false"/>
                  <w:sz w:val="20"/>
                </w:rPr>
                <w:t>4</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Condensed Consolidated Statements of Stockholders’ Equity (Deficit)</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5</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cash">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ash">
              <w:r>
                <w:rPr>
                  <w:rStyle w:val="InternetLink"/>
                  <w:rFonts w:ascii="Times New Roman" w:hAnsi="Times New Roman"/>
                  <w:caps w:val="false"/>
                  <w:smallCaps w:val="false"/>
                  <w:sz w:val="20"/>
                </w:rPr>
                <w:t>6</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47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the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475"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b/>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p1i2">
              <w:r>
                <w:rPr>
                  <w:rStyle w:val="InternetLink"/>
                  <w:rFonts w:ascii="Times New Roman" w:hAnsi="Times New Roman"/>
                  <w:caps w:val="false"/>
                  <w:smallCaps w:val="false"/>
                  <w:sz w:val="20"/>
                </w:rPr>
                <w:t>24</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475"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b/>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p1i3">
              <w:r>
                <w:rPr>
                  <w:rStyle w:val="InternetLink"/>
                  <w:rFonts w:ascii="Times New Roman" w:hAnsi="Times New Roman"/>
                  <w:caps w:val="false"/>
                  <w:smallCaps w:val="false"/>
                  <w:sz w:val="20"/>
                </w:rPr>
                <w:t>43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475"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b/>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p1i4">
              <w:r>
                <w:rPr>
                  <w:rStyle w:val="InternetLink"/>
                  <w:rFonts w:ascii="Times New Roman" w:hAnsi="Times New Roman"/>
                  <w:caps w:val="false"/>
                  <w:smallCaps w:val="false"/>
                  <w:sz w:val="20"/>
                </w:rPr>
                <w:t>43</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475" w:type="dxa"/>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p2">
              <w:r>
                <w:rPr>
                  <w:rStyle w:val="InternetLink"/>
                  <w:rFonts w:ascii="Times New Roman" w:hAnsi="Times New Roman"/>
                  <w:caps w:val="false"/>
                  <w:smallCaps w:val="false"/>
                  <w:sz w:val="20"/>
                </w:rPr>
                <w:t>44</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475"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b/>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p2i1">
              <w:r>
                <w:rPr>
                  <w:rStyle w:val="InternetLink"/>
                  <w:rFonts w:ascii="Times New Roman" w:hAnsi="Times New Roman"/>
                  <w:caps w:val="false"/>
                  <w:smallCaps w:val="false"/>
                  <w:sz w:val="20"/>
                </w:rPr>
                <w:t>44</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7475"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b/>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p2i1a">
              <w:r>
                <w:rPr>
                  <w:rStyle w:val="InternetLink"/>
                  <w:rFonts w:ascii="Times New Roman" w:hAnsi="Times New Roman"/>
                  <w:caps w:val="false"/>
                  <w:smallCaps w:val="false"/>
                  <w:sz w:val="20"/>
                </w:rPr>
                <w:t>44</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475"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b/>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p2i2">
              <w:r>
                <w:rPr>
                  <w:rStyle w:val="InternetLink"/>
                  <w:rFonts w:ascii="Times New Roman" w:hAnsi="Times New Roman"/>
                  <w:caps w:val="false"/>
                  <w:smallCaps w:val="false"/>
                  <w:sz w:val="20"/>
                </w:rPr>
                <w:t>45</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475"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b/>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p2i3">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475"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b/>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p2i4">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w:t>
            </w:r>
          </w:p>
        </w:tc>
        <w:tc>
          <w:tcPr>
            <w:tcW w:w="7475"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p2i5">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7475"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b/>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p2i6">
              <w:r>
                <w:rPr>
                  <w:rStyle w:val="InternetLink"/>
                  <w:rFonts w:ascii="Times New Roman" w:hAnsi="Times New Roman"/>
                  <w:caps w:val="false"/>
                  <w:smallCaps w:val="false"/>
                  <w:sz w:val="20"/>
                </w:rPr>
                <w:t>46</w:t>
              </w:r>
            </w:hyperlink>
          </w:p>
        </w:tc>
      </w:tr>
      <w:tr>
        <w:trPr/>
        <w:tc>
          <w:tcPr>
            <w:tcW w:w="8260" w:type="dxa"/>
            <w:gridSpan w:val="2"/>
            <w:tcBorders/>
            <w:vAlign w:val="center"/>
          </w:tcPr>
          <w:p>
            <w:pPr>
              <w:pStyle w:val="TableContents"/>
              <w:bidi w:val="0"/>
              <w:spacing w:before="0" w:after="0"/>
              <w:ind w:left="0" w:right="0" w:hanging="0"/>
              <w:jc w:val="left"/>
              <w:rPr/>
            </w:pPr>
            <w:hyperlink w:anchor="sig">
              <w:r>
                <w:rPr>
                  <w:rStyle w:val="InternetLink"/>
                  <w:rFonts w:ascii="Times New Roman" w:hAnsi="Times New Roman"/>
                  <w:b/>
                  <w:caps w:val="false"/>
                  <w:smallCaps w:val="false"/>
                  <w:sz w:val="20"/>
                </w:rPr>
                <w:t>Signatures</w:t>
              </w:r>
            </w:hyperlink>
          </w:p>
        </w:tc>
        <w:tc>
          <w:tcPr>
            <w:tcW w:w="440" w:type="dxa"/>
            <w:tcBorders/>
            <w:vAlign w:val="center"/>
          </w:tcPr>
          <w:p>
            <w:pPr>
              <w:pStyle w:val="TableContents"/>
              <w:bidi w:val="0"/>
              <w:spacing w:before="0" w:after="0"/>
              <w:ind w:left="0" w:right="0" w:hanging="0"/>
              <w:jc w:val="right"/>
              <w:rPr/>
            </w:pPr>
            <w:hyperlink w:anchor="sig">
              <w:r>
                <w:rPr>
                  <w:rStyle w:val="InternetLink"/>
                  <w:rFonts w:ascii="Times New Roman" w:hAnsi="Times New Roman"/>
                  <w:caps w:val="false"/>
                  <w:smallCaps w:val="false"/>
                  <w:sz w:val="20"/>
                </w:rPr>
                <w:t>47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1"/>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p1i1"/>
      <w:bookmarkEnd w:id="4"/>
      <w:r>
        <w:rPr>
          <w:rFonts w:ascii="Times New Roman" w:hAnsi="Times New Roman"/>
          <w:b/>
          <w:caps w:val="false"/>
          <w:smallCaps w:val="false"/>
          <w:sz w:val="20"/>
        </w:rPr>
        <w:t>ITEM 1.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al"/>
      <w:bookmarkEnd w:id="5"/>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8"/>
        <w:gridCol w:w="60"/>
        <w:gridCol w:w="141"/>
        <w:gridCol w:w="858"/>
        <w:gridCol w:w="80"/>
        <w:gridCol w:w="60"/>
        <w:gridCol w:w="138"/>
        <w:gridCol w:w="838"/>
        <w:gridCol w:w="82"/>
      </w:tblGrid>
      <w:tr>
        <w:trPr/>
        <w:tc>
          <w:tcPr>
            <w:tcW w:w="7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11,569</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Accounts receivable, net of allowance of $12,811 and $13,619 as of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37,262</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23,906</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Prepaid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1,688</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Advances to suppliers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5,881</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3,702</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5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3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84,008</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Long-term receivables,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20,044</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947</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Severance pay funds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741</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1,857</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5,862</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11,919</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long-term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41,370</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125,378</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Trade payables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8,033</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16,667</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7,735</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Unearned 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2,397</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Warranty accrual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1,074</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revenues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1,765</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1,807</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5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3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39,595</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Long-term debt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70,003</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374</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severance pay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867</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Unearned interest 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957</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Warranty accrual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4,221</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long-term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long-term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77,045</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116,640</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 (DEFICIT) (Note 14):</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$0.0001 par value: 300,000,000 shares authorized as of September 30, 2023 and December 31, 2022; 5,529,149 and 5,161,374 issued and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238,587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232,169</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(250,787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(224,105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9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8,093</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Non-controlling interests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645</w:t>
            </w:r>
          </w:p>
        </w:tc>
        <w:tc>
          <w:tcPr>
            <w:tcW w:w="82" w:type="dxa"/>
            <w:tcBorders/>
            <w:shd w:fill="CCEEFF" w:val="clear"/>
            <w:vAlign w:val="center"/>
          </w:tcPr>
          <w:p>
            <w:pPr>
              <w:pStyle w:val="TableContents"/>
              <w:bidi w:val="0"/>
              <w:spacing w:before="0" w:after="283"/>
              <w:jc w:val="left"/>
              <w:rPr/>
            </w:pPr>
            <w:r>
              <w:rPr/>
              <w:t> </w:t>
            </w:r>
          </w:p>
        </w:tc>
      </w:tr>
      <w:tr>
        <w:trPr/>
        <w:tc>
          <w:tcPr>
            <w:tcW w:w="7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8,738</w:t>
            </w:r>
          </w:p>
        </w:tc>
        <w:tc>
          <w:tcPr>
            <w:tcW w:w="82" w:type="dxa"/>
            <w:tcBorders/>
            <w:shd w:fill="FFFFFF" w:val="clear"/>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 (DEFICIT)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125,378</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2"/>
        <w:gridCol w:w="60"/>
        <w:gridCol w:w="207"/>
        <w:gridCol w:w="979"/>
        <w:gridCol w:w="132"/>
        <w:gridCol w:w="99"/>
        <w:gridCol w:w="207"/>
        <w:gridCol w:w="1079"/>
        <w:gridCol w:w="80"/>
        <w:gridCol w:w="60"/>
        <w:gridCol w:w="195"/>
        <w:gridCol w:w="1018"/>
        <w:gridCol w:w="124"/>
        <w:gridCol w:w="93"/>
        <w:gridCol w:w="195"/>
        <w:gridCol w:w="1018"/>
        <w:gridCol w:w="87"/>
      </w:tblGrid>
      <w:tr>
        <w:trPr/>
        <w:tc>
          <w:tcPr>
            <w:tcW w:w="45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4,368</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14,440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29,490</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Products and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13,248</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43,782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45,721</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8,069</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Products and services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4,248</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16,960</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5,431</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18,118</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25,029</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12,185</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40,104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50,182</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6,907</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30,976</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10,115</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30,933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36,814</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8,379</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18,947</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60,779</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76,169</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(6,762</w:t>
            </w:r>
          </w:p>
        </w:tc>
        <w:tc>
          <w:tcPr>
            <w:tcW w:w="13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(20,675</w:t>
            </w:r>
          </w:p>
        </w:tc>
        <w:tc>
          <w:tcPr>
            <w:tcW w:w="1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(25,987</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4,389</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Finance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1,605</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subsidiaries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(9,277</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(25,797</w:t>
            </w:r>
          </w:p>
        </w:tc>
        <w:tc>
          <w:tcPr>
            <w:tcW w:w="1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(33,552</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13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(8,956</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(25,900</w:t>
            </w:r>
          </w:p>
        </w:tc>
        <w:tc>
          <w:tcPr>
            <w:tcW w:w="1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(33,644</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stockholders of the Company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(9,068</w:t>
            </w:r>
          </w:p>
        </w:tc>
        <w:tc>
          <w:tcPr>
            <w:tcW w:w="13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(26,134</w:t>
            </w:r>
          </w:p>
        </w:tc>
        <w:tc>
          <w:tcPr>
            <w:tcW w:w="1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(33,783</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w:t>
            </w:r>
          </w:p>
        </w:tc>
        <w:tc>
          <w:tcPr>
            <w:tcW w:w="13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w:t>
            </w:r>
          </w:p>
        </w:tc>
        <w:tc>
          <w:tcPr>
            <w:tcW w:w="1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(7.86</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w:t>
            </w:r>
          </w:p>
        </w:tc>
        <w:tc>
          <w:tcPr>
            <w:tcW w:w="1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(7.86</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number of shares used in per share calculation: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57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5,527</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4,298</w:t>
            </w:r>
          </w:p>
        </w:tc>
        <w:tc>
          <w:tcPr>
            <w:tcW w:w="87" w:type="dxa"/>
            <w:tcBorders/>
            <w:shd w:fill="FFFFFF" w:val="clear"/>
            <w:vAlign w:val="center"/>
          </w:tcPr>
          <w:p>
            <w:pPr>
              <w:pStyle w:val="TableContents"/>
              <w:bidi w:val="0"/>
              <w:spacing w:before="0" w:after="283"/>
              <w:jc w:val="left"/>
              <w:rPr/>
            </w:pPr>
            <w:r>
              <w:rPr/>
              <w:t> </w:t>
            </w:r>
          </w:p>
        </w:tc>
      </w:tr>
      <w:tr>
        <w:trPr/>
        <w:tc>
          <w:tcPr>
            <w:tcW w:w="45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5,527</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5,413</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4,298</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
      <w:bookmarkEnd w:id="7"/>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159" w:type="dxa"/>
        <w:jc w:val="left"/>
        <w:tblInd w:w="0" w:type="dxa"/>
        <w:tblLayout w:type="fixed"/>
        <w:tblCellMar>
          <w:top w:w="0" w:type="dxa"/>
          <w:left w:w="0" w:type="dxa"/>
          <w:bottom w:w="0" w:type="dxa"/>
          <w:right w:w="0" w:type="dxa"/>
        </w:tblCellMar>
      </w:tblPr>
      <w:tblGrid>
        <w:gridCol w:w="4025"/>
        <w:gridCol w:w="60"/>
        <w:gridCol w:w="234"/>
        <w:gridCol w:w="1022"/>
        <w:gridCol w:w="150"/>
        <w:gridCol w:w="112"/>
        <w:gridCol w:w="234"/>
        <w:gridCol w:w="1220"/>
        <w:gridCol w:w="80"/>
        <w:gridCol w:w="60"/>
        <w:gridCol w:w="213"/>
        <w:gridCol w:w="1109"/>
        <w:gridCol w:w="136"/>
        <w:gridCol w:w="102"/>
        <w:gridCol w:w="213"/>
        <w:gridCol w:w="1109"/>
        <w:gridCol w:w="80"/>
      </w:tblGrid>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4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(8,956</w:t>
            </w:r>
          </w:p>
        </w:tc>
        <w:tc>
          <w:tcPr>
            <w:tcW w:w="1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(25,900</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attributable to stockholders of the Company</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(9,068</w:t>
            </w:r>
          </w:p>
        </w:tc>
        <w:tc>
          <w:tcPr>
            <w:tcW w:w="1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(26,134</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(8,956</w:t>
            </w:r>
          </w:p>
        </w:tc>
        <w:tc>
          <w:tcPr>
            <w:tcW w:w="1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(25,900</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VENUS CONCEPT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0"/>
        <w:gridCol w:w="60"/>
        <w:gridCol w:w="76"/>
        <w:gridCol w:w="943"/>
        <w:gridCol w:w="60"/>
        <w:gridCol w:w="60"/>
        <w:gridCol w:w="109"/>
        <w:gridCol w:w="1351"/>
        <w:gridCol w:w="60"/>
        <w:gridCol w:w="60"/>
        <w:gridCol w:w="60"/>
        <w:gridCol w:w="740"/>
        <w:gridCol w:w="60"/>
        <w:gridCol w:w="60"/>
        <w:gridCol w:w="170"/>
        <w:gridCol w:w="405"/>
        <w:gridCol w:w="60"/>
        <w:gridCol w:w="60"/>
        <w:gridCol w:w="132"/>
        <w:gridCol w:w="728"/>
        <w:gridCol w:w="60"/>
        <w:gridCol w:w="60"/>
        <w:gridCol w:w="132"/>
        <w:gridCol w:w="803"/>
        <w:gridCol w:w="80"/>
        <w:gridCol w:w="60"/>
        <w:gridCol w:w="261"/>
        <w:gridCol w:w="429"/>
        <w:gridCol w:w="80"/>
        <w:gridCol w:w="60"/>
        <w:gridCol w:w="165"/>
        <w:gridCol w:w="871"/>
        <w:gridCol w:w="100"/>
      </w:tblGrid>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 Multi-Tranche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 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 Stockholders’</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 (Deficit)</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January 1, 2023</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3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5,161,374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8,738</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Restricted share units vested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224,378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745</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Adoption of ASC 326</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35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(9,657</w:t>
            </w:r>
          </w:p>
        </w:tc>
        <w:tc>
          <w:tcPr>
            <w:tcW w:w="1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 non-controlling interest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35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42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0" w:type="dxa"/>
            <w:tcBorders/>
            <w:shd w:fill="CCEEFF" w:val="clear"/>
            <w:vAlign w:val="center"/>
          </w:tcPr>
          <w:p>
            <w:pPr>
              <w:pStyle w:val="TableContents"/>
              <w:bidi w:val="0"/>
              <w:spacing w:before="0" w:after="283"/>
              <w:jc w:val="left"/>
              <w:rPr>
                <w:color w:val="CCEEFF"/>
              </w:rPr>
            </w:pPr>
            <w:r>
              <w:rPr>
                <w:color w:val="CCEEFF"/>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16"/>
              </w:rPr>
            </w:pPr>
            <w:r>
              <w:rPr>
                <w:rFonts w:ascii="Times New Roman;Times;serif" w:hAnsi="Times New Roman;Times;serif"/>
                <w:color w:val="000000"/>
                <w:sz w:val="16"/>
              </w:rPr>
              <w:t>481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16"/>
              </w:rPr>
            </w:pPr>
            <w:r>
              <w:rPr>
                <w:rFonts w:ascii="Times New Roman;Times;serif" w:hAnsi="Times New Roman;Times;serif"/>
                <w:color w:val="000000"/>
                <w:sz w:val="16"/>
              </w:rPr>
              <w:t>481</w:t>
            </w:r>
          </w:p>
        </w:tc>
        <w:tc>
          <w:tcPr>
            <w:tcW w:w="100" w:type="dxa"/>
            <w:tcBorders/>
            <w:shd w:fill="CCEEFF" w:val="clear"/>
            <w:vAlign w:val="center"/>
          </w:tcPr>
          <w:p>
            <w:pPr>
              <w:pStyle w:val="TableContents"/>
              <w:bidi w:val="0"/>
              <w:spacing w:before="0" w:after="283"/>
              <w:jc w:val="left"/>
              <w:rPr>
                <w:color w:val="000000"/>
              </w:rPr>
            </w:pPr>
            <w:r>
              <w:rPr>
                <w:color w:val="000000"/>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March 31, 2023</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16"/>
              </w:rPr>
            </w:pPr>
            <w:r>
              <w:rPr>
                <w:rFonts w:ascii="Times New Roman;Times;serif" w:hAnsi="Times New Roman;Times;serif"/>
                <w:color w:val="000000"/>
                <w:sz w:val="16"/>
              </w:rPr>
              <w:t>5,407,752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2023 Private Placement shares, net of costs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280,899</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1,206</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Beneficial conversion feature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loss — the Company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(7,409</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income — non-controlling interest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180" w:hanging="0"/>
              <w:jc w:val="left"/>
              <w:rPr>
                <w:rFonts w:ascii="Times New Roman;Times;serif" w:hAnsi="Times New Roman;Times;serif"/>
                <w:sz w:val="16"/>
              </w:rPr>
            </w:pPr>
            <w:r>
              <w:rPr>
                <w:rFonts w:ascii="Times New Roman;Times;serif" w:hAnsi="Times New Roman;Times;serif"/>
                <w:sz w:val="16"/>
              </w:rPr>
              <w:t>Dividends from subsidiaries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10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June 30, 2023</w:t>
            </w:r>
          </w:p>
        </w:tc>
        <w:tc>
          <w:tcPr>
            <w:tcW w:w="60" w:type="dxa"/>
            <w:tcBorders/>
            <w:shd w:fill="FFFFFF" w:val="clear"/>
            <w:vAlign w:val="center"/>
          </w:tcPr>
          <w:p>
            <w:pPr>
              <w:pStyle w:val="TableContents"/>
              <w:bidi w:val="0"/>
              <w:spacing w:before="0" w:after="0"/>
              <w:ind w:left="0" w:right="0" w:hanging="0"/>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280,899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5,526,481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235,467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(241,719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(5,542</w:t>
            </w:r>
          </w:p>
        </w:tc>
        <w:tc>
          <w:tcPr>
            <w:tcW w:w="100"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Restricted share units vested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2023 Private Placement shares, net of costs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792,398</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1,524</w:t>
            </w:r>
          </w:p>
        </w:tc>
        <w:tc>
          <w:tcPr>
            <w:tcW w:w="100"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Beneficial conversion feature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1,232</w:t>
            </w:r>
          </w:p>
        </w:tc>
        <w:tc>
          <w:tcPr>
            <w:tcW w:w="100"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loss — the Company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(9,068</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7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income — non-controlling interest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p>
        </w:tc>
        <w:tc>
          <w:tcPr>
            <w:tcW w:w="100" w:type="dxa"/>
            <w:tcBorders/>
            <w:shd w:fill="CCEEFF" w:val="clear"/>
            <w:vAlign w:val="center"/>
          </w:tcPr>
          <w:p>
            <w:pPr>
              <w:pStyle w:val="TableContents"/>
              <w:bidi w:val="0"/>
              <w:spacing w:before="0" w:after="283"/>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c>
          <w:tcPr>
            <w:tcW w:w="10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 September 30, 2023</w:t>
            </w:r>
          </w:p>
        </w:tc>
        <w:tc>
          <w:tcPr>
            <w:tcW w:w="60" w:type="dxa"/>
            <w:tcBorders/>
            <w:shd w:fill="CCEEFF" w:val="clear"/>
            <w:vAlign w:val="center"/>
          </w:tcPr>
          <w:p>
            <w:pPr>
              <w:pStyle w:val="TableContents"/>
              <w:bidi w:val="0"/>
              <w:spacing w:before="0" w:after="0"/>
              <w:ind w:left="0" w:right="0" w:hanging="0"/>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3,185,000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1,073,297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5,529,149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(250,787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(11,378</w:t>
            </w:r>
          </w:p>
        </w:tc>
        <w:tc>
          <w:tcPr>
            <w:tcW w:w="100" w:type="dxa"/>
            <w:tcBorders/>
            <w:shd w:fill="CCEE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9848" w:type="dxa"/>
        <w:jc w:val="left"/>
        <w:tblInd w:w="0" w:type="dxa"/>
        <w:tblLayout w:type="fixed"/>
        <w:tblCellMar>
          <w:top w:w="0" w:type="dxa"/>
          <w:left w:w="0" w:type="dxa"/>
          <w:bottom w:w="0" w:type="dxa"/>
          <w:right w:w="0" w:type="dxa"/>
        </w:tblCellMar>
      </w:tblPr>
      <w:tblGrid>
        <w:gridCol w:w="2450"/>
        <w:gridCol w:w="60"/>
        <w:gridCol w:w="65"/>
        <w:gridCol w:w="660"/>
        <w:gridCol w:w="60"/>
        <w:gridCol w:w="60"/>
        <w:gridCol w:w="60"/>
        <w:gridCol w:w="740"/>
        <w:gridCol w:w="60"/>
        <w:gridCol w:w="60"/>
        <w:gridCol w:w="179"/>
        <w:gridCol w:w="426"/>
        <w:gridCol w:w="60"/>
        <w:gridCol w:w="60"/>
        <w:gridCol w:w="187"/>
        <w:gridCol w:w="1032"/>
        <w:gridCol w:w="60"/>
        <w:gridCol w:w="60"/>
        <w:gridCol w:w="136"/>
        <w:gridCol w:w="829"/>
        <w:gridCol w:w="80"/>
        <w:gridCol w:w="60"/>
        <w:gridCol w:w="280"/>
        <w:gridCol w:w="895"/>
        <w:gridCol w:w="80"/>
        <w:gridCol w:w="60"/>
        <w:gridCol w:w="161"/>
        <w:gridCol w:w="848"/>
        <w:gridCol w:w="8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w:t>
              <w:br/>
              <w:t>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Stockholders’</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Equity </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January 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4,265,506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41,596</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Options exercised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non-controlling interest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March 31, 2022</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4,266,604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33,426</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non-controlling interest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558</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from subsidiaries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June 30, 2022</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4,293,271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23,396</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non-controlling interest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Equity issuance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September 30, 2022</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4,372,306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10,013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 Share amounts have been retroactively adjusted to reflect the impact of a 1-for-15 reverse stock split effected in May 2023, as discussed in Note 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Amounts associated with Private Placement and Preferred shares round to $nil.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
      <w:bookmarkEnd w:id="9"/>
      <w:r>
        <w:rPr>
          <w:rFonts w:ascii="Times New Roman" w:hAnsi="Times New Roman"/>
          <w:b/>
          <w:caps w:val="false"/>
          <w:smallCaps w:val="false"/>
          <w:sz w:val="20"/>
        </w:rPr>
        <w:t>VENUS CONCEPT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position w:val="-2"/>
          <w:sz w:val="16"/>
          <w:sz w:val="20"/>
        </w:rPr>
      </w:pPr>
      <w:r>
        <w:rPr>
          <w:rFonts w:ascii="Times New Roman" w:hAnsi="Times New Roman"/>
          <w:b/>
          <w:i/>
          <w:caps w:val="false"/>
          <w:smallCaps w:val="false"/>
          <w:position w:val="-2"/>
          <w:sz w:val="16"/>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092" w:type="dxa"/>
        <w:jc w:val="left"/>
        <w:tblInd w:w="0" w:type="dxa"/>
        <w:tblLayout w:type="fixed"/>
        <w:tblCellMar>
          <w:top w:w="0" w:type="dxa"/>
          <w:left w:w="0" w:type="dxa"/>
          <w:bottom w:w="0" w:type="dxa"/>
          <w:right w:w="0" w:type="dxa"/>
        </w:tblCellMar>
      </w:tblPr>
      <w:tblGrid>
        <w:gridCol w:w="7070"/>
        <w:gridCol w:w="60"/>
        <w:gridCol w:w="213"/>
        <w:gridCol w:w="1109"/>
        <w:gridCol w:w="136"/>
        <w:gridCol w:w="102"/>
        <w:gridCol w:w="213"/>
        <w:gridCol w:w="1109"/>
        <w:gridCol w:w="80"/>
      </w:tblGrid>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(25,900</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3,042</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3,293</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1,214</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1,552</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5,912</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inventory obsolescence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760</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1,753</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Finance expenses and accretion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1,310</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291</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tax expense (recovery)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on disposal of subsidiary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Loss (gain)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Accounts receivable short-term and long-term</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11,146</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4,493</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(246</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Prepaid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527</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Advances to suppliers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1,268</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407</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1,215</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5,714</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(380</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327</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Trade payables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(913</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(4,483</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(292</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Severance pay funds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Unearned interest income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(960</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(917</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Other long-term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(12,085</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Purchases of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issuance of common stock, net of costs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1,109</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2023 Multi-Tranche Private Placement, net of costs of $491</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4,509</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Repayment of government assistance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Dividends from subsidiaries paid to non-controlling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5,531</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(6,643</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 —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11,569</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30,876</w:t>
            </w:r>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 —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6,777</w:t>
            </w:r>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w:t>
            </w:r>
          </w:p>
        </w:tc>
        <w:tc>
          <w:tcPr>
            <w:tcW w:w="13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3,356</w:t>
            </w:r>
          </w:p>
        </w:tc>
        <w:tc>
          <w:tcPr>
            <w:tcW w:w="13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2,885</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VENUS CONCEPT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unless otherwise noted,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w:t>
      </w:r>
      <w:r>
        <w:rPr>
          <w:rStyle w:val="Emphasis"/>
          <w:rFonts w:ascii="Times New Roman" w:hAnsi="Times New Roman"/>
          <w:caps w:val="false"/>
          <w:smallCaps w:val="false"/>
          <w:sz w:val="20"/>
        </w:rPr>
        <w:t xml:space="preserve">November 22, 2002. </w:t>
      </w:r>
      <w:r>
        <w:rPr>
          <w:rFonts w:ascii="Times New Roman" w:hAnsi="Times New Roman"/>
          <w:caps w:val="false"/>
          <w:smallCaps w:val="false"/>
          <w:sz w:val="20"/>
        </w:rPr>
        <w:t>In these notes to the unaudited condensed consolidated financial statements, the “Company” and “Venus Concept,” refer to Venus Concept Inc. and its subsidiaries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be necessary should the Company be unable to continue in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had recurring net operating losses and negative cash flows from operations. As of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had an accumulated deficit of $250,787 </w:t>
      </w:r>
      <w:r>
        <w:rPr>
          <w:rFonts w:ascii="Times New Roman" w:hAnsi="Times New Roman"/>
          <w:caps w:val="false"/>
          <w:smallCaps w:val="false"/>
          <w:sz w:val="20"/>
          <w:shd w:fill="FFFFFF" w:val="clear"/>
        </w:rPr>
        <w:t>a</w:t>
      </w:r>
      <w:r>
        <w:rPr>
          <w:rFonts w:ascii="Times New Roman" w:hAnsi="Times New Roman"/>
          <w:caps w:val="false"/>
          <w:smallCaps w:val="false"/>
          <w:sz w:val="20"/>
        </w:rPr>
        <w:t xml:space="preserve">nd $224,105, respectively, though, the Company was in compliance with all required covenants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Company’s recurring losses from operations and negative cash flows raise substantial doubt about the Company’s ability to continue as a going concern within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date that the unaudited condensed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Given the economic uncertainty in U.S. and international markets, the Company cannot anticipate the extent to which the current economic turmoil and financial market conditions will continue to adversely impact the Company’s business and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additional capital to fund its future operations and to access the capital markets sooner than planned.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be successful in raising additional capital or that such capital, if available, will be on terms that are acceptable to the Company. If the Company is unable to raise sufficient additional capital,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compelled to reduce the scope of its operations and planned capital expenditures or sell certain assets, including intellectual property assets. These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result from the uncertainty.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be necessary should the Company be unable to continue in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accompanying unaudited condensed consolidated financial statements have been prepared in accordance with accounting principles generally accepted in the United States (“U.S. GAAP”) and with the instructions to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-Q and Article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of Regulation S-</w:t>
      </w:r>
      <w:r>
        <w:rPr>
          <w:rStyle w:val="Emphasis"/>
          <w:rFonts w:ascii="Times New Roman;Times;serif" w:hAnsi="Times New Roman;Times;serif"/>
          <w:caps w:val="false"/>
          <w:smallCaps w:val="false"/>
          <w:sz w:val="20"/>
        </w:rPr>
        <w:t>X.</w:t>
      </w:r>
      <w:r>
        <w:rPr>
          <w:rFonts w:ascii="Times New Roman;Times;serif" w:hAnsi="Times New Roman;Times;serif"/>
          <w:caps w:val="false"/>
          <w:smallCaps w:val="false"/>
          <w:sz w:val="20"/>
        </w:rPr>
        <w:t xml:space="preserve"> Accordingly, they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December 31, 2022</w:t>
      </w:r>
      <w:r>
        <w:rPr>
          <w:rFonts w:ascii="Times New Roman;Times;serif" w:hAnsi="Times New Roman;Times;serif"/>
          <w:caps w:val="false"/>
          <w:smallCaps w:val="false"/>
          <w:sz w:val="20"/>
        </w:rPr>
        <w:t xml:space="preserve">, filed with the Securities and Exchange Commission (the “SEC”) on </w:t>
      </w:r>
      <w:r>
        <w:rPr>
          <w:rStyle w:val="Emphasis"/>
          <w:rFonts w:ascii="Times New Roman;Times;serif" w:hAnsi="Times New Roman;Times;serif"/>
          <w:caps w:val="false"/>
          <w:smallCaps w:val="false"/>
          <w:sz w:val="20"/>
        </w:rPr>
        <w:t xml:space="preserve">March 27, 2023. </w:t>
      </w:r>
      <w:r>
        <w:rPr>
          <w:rFonts w:ascii="Times New Roman;Times;serif" w:hAnsi="Times New Roman;Times;serif"/>
          <w:caps w:val="false"/>
          <w:smallCaps w:val="false"/>
          <w:sz w:val="20"/>
        </w:rPr>
        <w:t>In the opinion of management, all adjustments (consisting only of normal recurring adjustments) considered necessary for fair presentation have been included. Operating results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 2023</w:t>
      </w:r>
      <w:r>
        <w:rPr>
          <w:rFonts w:ascii="Times New Roman;Times;serif" w:hAnsi="Times New Roman;Times;serif"/>
          <w:caps w:val="false"/>
          <w:smallCaps w:val="false"/>
          <w:sz w:val="20"/>
        </w:rPr>
        <w:t xml:space="preserve">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necessarily indicative of the results that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expected for the year ending </w:t>
      </w:r>
      <w:r>
        <w:rPr>
          <w:rStyle w:val="Emphasis"/>
          <w:rFonts w:ascii="Times New Roman;Times;serif" w:hAnsi="Times New Roman;Times;serif"/>
          <w:caps w:val="false"/>
          <w:smallCaps w:val="false"/>
          <w:sz w:val="20"/>
        </w:rPr>
        <w:t xml:space="preserve">December 31, 2023. </w:t>
      </w:r>
      <w:r>
        <w:rPr>
          <w:rFonts w:ascii="Times New Roman;Times;serif" w:hAnsi="Times New Roman;Times;serif"/>
          <w:caps w:val="false"/>
          <w:smallCaps w:val="false"/>
          <w:sz w:val="20"/>
        </w:rPr>
        <w:t xml:space="preserve">For further information, refer to the consolidated financial statements and footnotes thereto included in Item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the Company’s most recent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w:t>
      </w:r>
      <w:r>
        <w:rPr>
          <w:rStyle w:val="Emphasis"/>
          <w:rFonts w:ascii="Times New Roman;Times;serif" w:hAnsi="Times New Roman;Times;serif"/>
          <w:caps w:val="false"/>
          <w:smallCaps w:val="false"/>
          <w:sz w:val="20"/>
        </w:rPr>
        <w:t>September 30, 2023 </w:t>
      </w:r>
      <w:r>
        <w:rPr>
          <w:rFonts w:ascii="Times New Roman;Times;serif" w:hAnsi="Times New Roman;Times;serif"/>
          <w:caps w:val="false"/>
          <w:smallCaps w:val="false"/>
          <w:sz w:val="20"/>
        </w:rPr>
        <w:t xml:space="preserve">and through the date of this report filing. The accounting matters assessed included, but were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limited to, the allowance for expected credit losses and the carrying value of intangible and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At the annual and special meeting of the Company’s shareholders held on </w:t>
      </w:r>
      <w:r>
        <w:rPr>
          <w:rStyle w:val="Emphasis"/>
          <w:rFonts w:ascii="Times New Roman;Times;serif" w:hAnsi="Times New Roman;Times;serif"/>
          <w:caps w:val="false"/>
          <w:smallCaps w:val="false"/>
          <w:sz w:val="20"/>
        </w:rPr>
        <w:t xml:space="preserve">May 10, 2023, </w:t>
      </w:r>
      <w:r>
        <w:rPr>
          <w:rFonts w:ascii="Times New Roman;Times;serif" w:hAnsi="Times New Roman;Times;serif"/>
          <w:caps w:val="false"/>
          <w:smallCaps w:val="false"/>
          <w:sz w:val="20"/>
        </w:rPr>
        <w:t xml:space="preserve">the Company’s shareholders granted the Company’s Board of Directors discretionary authority to implement a consolidation of the issued and outstanding common shares of the Company (a "Reverse Stock Split") and to fix the specific ratio within a range of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-for-</w:t>
      </w:r>
      <w:r>
        <w:rPr>
          <w:rStyle w:val="Emphasis"/>
          <w:rFonts w:ascii="Times New Roman;Times;serif" w:hAnsi="Times New Roman;Times;serif"/>
          <w:caps w:val="false"/>
          <w:smallCaps w:val="false"/>
          <w:sz w:val="20"/>
        </w:rPr>
        <w:t>five</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-for-5) to a maximum of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-for-</w:t>
      </w:r>
      <w:r>
        <w:rPr>
          <w:rStyle w:val="Emphasis"/>
          <w:rFonts w:ascii="Times New Roman;Times;serif" w:hAnsi="Times New Roman;Times;serif"/>
          <w:caps w:val="false"/>
          <w:smallCaps w:val="false"/>
          <w:sz w:val="20"/>
        </w:rPr>
        <w:t>fifteen</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-for-15) consolidation. On </w:t>
      </w:r>
      <w:r>
        <w:rPr>
          <w:rStyle w:val="Emphasis"/>
          <w:rFonts w:ascii="Times New Roman;Times;serif" w:hAnsi="Times New Roman;Times;serif"/>
          <w:caps w:val="false"/>
          <w:smallCaps w:val="false"/>
          <w:sz w:val="20"/>
        </w:rPr>
        <w:t xml:space="preserve">May 11, 2023, </w:t>
      </w:r>
      <w:r>
        <w:rPr>
          <w:rFonts w:ascii="Times New Roman;Times;serif" w:hAnsi="Times New Roman;Times;serif"/>
          <w:caps w:val="false"/>
          <w:smallCaps w:val="false"/>
          <w:sz w:val="20"/>
        </w:rPr>
        <w:t xml:space="preserve">the Company filed an amendment to the Company’s Certificate of Incorporation to implement the Reverse Stock Split based on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-for-</w:t>
      </w:r>
      <w:r>
        <w:rPr>
          <w:rStyle w:val="Emphasis"/>
          <w:rFonts w:ascii="Times New Roman;Times;serif" w:hAnsi="Times New Roman;Times;serif"/>
          <w:caps w:val="false"/>
          <w:smallCaps w:val="false"/>
          <w:sz w:val="20"/>
        </w:rPr>
        <w:t>fifteen</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-for-15) consolidation ratio. The Company’s common shares began trading on the Nasdaq Capital Market on a split-adjusted basis under the Company’s existing trade symbol “VERO” at the opening of the market on </w:t>
      </w:r>
      <w:r>
        <w:rPr>
          <w:rStyle w:val="Emphasis"/>
          <w:rFonts w:ascii="Times New Roman;Times;serif" w:hAnsi="Times New Roman;Times;serif"/>
          <w:caps w:val="false"/>
          <w:smallCaps w:val="false"/>
          <w:sz w:val="20"/>
        </w:rPr>
        <w:t>May 12, 2023. </w:t>
      </w:r>
      <w:r>
        <w:rPr>
          <w:rFonts w:ascii="Times New Roman;Times;serif" w:hAnsi="Times New Roman;Times;serif"/>
          <w:caps w:val="false"/>
          <w:smallCaps w:val="false"/>
          <w:sz w:val="20"/>
        </w:rPr>
        <w:t>In accordance with U.S. GAAP, the change has been applied retroactively.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Amounts reported in thousands within this report are computed based on the amounts in U.S. dollars. As a result, the sum of the components reported in thousands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equal the total amount reported in thousands due to rounding. Certain columns and rows within tables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add due to the use of rounded numbers. Percentages presented are calculated from the underlying numbers in dollars.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accounting policies the Company follows are set forth in the Company’s audited consolidated financial statements for fiscal year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For further information, refer to the consolidated financial statements and footnotes thereto included in Item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the Company’s most recent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There have been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material changes to these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Standards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June 2016, </w:t>
      </w:r>
      <w:r>
        <w:rPr>
          <w:rFonts w:ascii="Times New Roman;Times;serif" w:hAnsi="Times New Roman;Times;serif"/>
          <w:caps w:val="false"/>
          <w:smallCaps w:val="false"/>
          <w:sz w:val="20"/>
        </w:rPr>
        <w:t xml:space="preserve">the Financial Accounting Standards Board (“FASB”) issued Accounting Standards Board Update (“ASU”) </w:t>
      </w:r>
      <w:r>
        <w:rPr>
          <w:rStyle w:val="Emphasis"/>
          <w:rFonts w:ascii="Times New Roman;Times;serif" w:hAnsi="Times New Roman;Times;serif"/>
          <w:caps w:val="false"/>
          <w:smallCaps w:val="false"/>
          <w:sz w:val="20"/>
        </w:rPr>
        <w:t>2016</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13,</w:t>
      </w:r>
      <w:r>
        <w:rPr>
          <w:rFonts w:ascii="Times New Roman;Times;serif" w:hAnsi="Times New Roman;Times;serif"/>
          <w:caps w:val="false"/>
          <w:smallCaps w:val="false"/>
          <w:sz w:val="20"/>
        </w:rPr>
        <w:t xml:space="preserve"> Financial Instruments – Credit Losses (Topic </w:t>
      </w:r>
      <w:r>
        <w:rPr>
          <w:rStyle w:val="Emphasis"/>
          <w:rFonts w:ascii="Times New Roman;Times;serif" w:hAnsi="Times New Roman;Times;serif"/>
          <w:caps w:val="false"/>
          <w:smallCaps w:val="false"/>
          <w:sz w:val="20"/>
        </w:rPr>
        <w:t>326</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Measurement of Credit Losses on Financial Instruments</w:t>
      </w:r>
      <w:r>
        <w:rPr>
          <w:rFonts w:ascii="Times New Roman;Times;serif" w:hAnsi="Times New Roman;Times;serif"/>
          <w:caps w:val="false"/>
          <w:smallCaps w:val="false"/>
          <w:sz w:val="20"/>
        </w:rPr>
        <w:t xml:space="preserve">, and also issued subsequent amendments to the initial guidance: ASU </w:t>
      </w:r>
      <w:r>
        <w:rPr>
          <w:rStyle w:val="Emphasis"/>
          <w:rFonts w:ascii="Times New Roman;Times;serif" w:hAnsi="Times New Roman;Times;serif"/>
          <w:caps w:val="false"/>
          <w:smallCaps w:val="false"/>
          <w:sz w:val="20"/>
        </w:rPr>
        <w:t>2018</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19,</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04,</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05,</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11,</w:t>
      </w:r>
      <w:r>
        <w:rPr>
          <w:rFonts w:ascii="Times New Roman;Times;serif" w:hAnsi="Times New Roman;Times;serif"/>
          <w:caps w:val="false"/>
          <w:smallCaps w:val="false"/>
          <w:sz w:val="20"/>
        </w:rPr>
        <w:t xml:space="preserve"> and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02,</w:t>
      </w:r>
      <w:r>
        <w:rPr>
          <w:rFonts w:ascii="Times New Roman;Times;serif" w:hAnsi="Times New Roman;Times;serif"/>
          <w:caps w:val="false"/>
          <w:smallCaps w:val="false"/>
          <w:sz w:val="20"/>
        </w:rPr>
        <w:t xml:space="preserve"> which replace the existing incurred loss impairment model with an expected credit loss model and require a financial asset measured at amortized cost to be presented at the net amount expected to be collected. This guidance was adopted as of </w:t>
      </w:r>
      <w:r>
        <w:rPr>
          <w:rStyle w:val="Emphasis"/>
          <w:rFonts w:ascii="Times New Roman;Times;serif" w:hAnsi="Times New Roman;Times;serif"/>
          <w:caps w:val="false"/>
          <w:smallCaps w:val="false"/>
          <w:sz w:val="20"/>
        </w:rPr>
        <w:t>January 1, 2023. </w:t>
      </w:r>
      <w:r>
        <w:rPr>
          <w:rFonts w:ascii="Times New Roman;Times;serif" w:hAnsi="Times New Roman;Times;serif"/>
          <w:caps w:val="false"/>
          <w:smallCaps w:val="false"/>
          <w:sz w:val="20"/>
        </w:rPr>
        <w:t>The Company recognized a charge of $0.5 million to opening retained earnings as a result of the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i/>
          <w:caps w:val="false"/>
          <w:smallCaps w:val="false"/>
          <w:sz w:val="20"/>
        </w:rPr>
        <w:t xml:space="preserve">Recently Issued Accounting Standards </w:t>
      </w:r>
      <w:r>
        <w:rPr>
          <w:rStyle w:val="Emphasis"/>
          <w:rFonts w:ascii="Times New Roman;Times;serif" w:hAnsi="Times New Roman;Times;serif"/>
          <w:b/>
          <w:i/>
          <w:caps w:val="false"/>
          <w:smallCaps w:val="false"/>
          <w:sz w:val="20"/>
        </w:rPr>
        <w:t>Not</w:t>
      </w:r>
      <w:r>
        <w:rPr>
          <w:rFonts w:ascii="Times New Roman;Times;serif" w:hAnsi="Times New Roman;Times;serif"/>
          <w:b/>
          <w:i/>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August 2020,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Debt—Debt with Conversion and Other Options (Subtopic </w:t>
      </w:r>
      <w:r>
        <w:rPr>
          <w:rStyle w:val="Emphasis"/>
          <w:rFonts w:ascii="Times New Roman;Times;serif" w:hAnsi="Times New Roman;Times;serif"/>
          <w:caps w:val="false"/>
          <w:smallCaps w:val="false"/>
          <w:sz w:val="20"/>
        </w:rPr>
        <w:t>470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20</w:t>
      </w:r>
      <w:r>
        <w:rPr>
          <w:rFonts w:ascii="Times New Roman;Times;serif" w:hAnsi="Times New Roman;Times;serif"/>
          <w:caps w:val="false"/>
          <w:smallCaps w:val="false"/>
          <w:sz w:val="20"/>
        </w:rPr>
        <w:t xml:space="preserve">) and Derivatives and Hedging—Contracts in Entity’s Own Equity (Subtopic </w:t>
      </w:r>
      <w:r>
        <w:rPr>
          <w:rStyle w:val="Emphasis"/>
          <w:rFonts w:ascii="Times New Roman;Times;serif" w:hAnsi="Times New Roman;Times;serif"/>
          <w:caps w:val="false"/>
          <w:smallCaps w:val="false"/>
          <w:sz w:val="20"/>
        </w:rPr>
        <w:t>815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is effective for the Company on </w:t>
      </w:r>
      <w:r>
        <w:rPr>
          <w:rStyle w:val="Emphasis"/>
          <w:rFonts w:ascii="Times New Roman;Times;serif" w:hAnsi="Times New Roman;Times;serif"/>
          <w:caps w:val="false"/>
          <w:smallCaps w:val="false"/>
          <w:sz w:val="20"/>
        </w:rPr>
        <w:t xml:space="preserve">January 1, 2024, </w:t>
      </w:r>
      <w:r>
        <w:rPr>
          <w:rFonts w:ascii="Times New Roman;Times;serif" w:hAnsi="Times New Roman;Times;serif"/>
          <w:caps w:val="false"/>
          <w:smallCaps w:val="false"/>
          <w:sz w:val="20"/>
        </w:rPr>
        <w:t xml:space="preserve">with early adoption permitted. ASU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can be adopted on either a fully retrospective or modified retrospective basis. The Company is currently assessing the impact of applying this guidance as well as when to adopt this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and the weighted average number of shares used in computing basic and diluted net loss per share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9"/>
        <w:gridCol w:w="60"/>
        <w:gridCol w:w="184"/>
        <w:gridCol w:w="803"/>
        <w:gridCol w:w="117"/>
        <w:gridCol w:w="88"/>
        <w:gridCol w:w="184"/>
        <w:gridCol w:w="959"/>
        <w:gridCol w:w="80"/>
        <w:gridCol w:w="60"/>
        <w:gridCol w:w="176"/>
        <w:gridCol w:w="952"/>
        <w:gridCol w:w="119"/>
        <w:gridCol w:w="75"/>
        <w:gridCol w:w="176"/>
        <w:gridCol w:w="952"/>
        <w:gridCol w:w="101"/>
      </w:tblGrid>
      <w:tr>
        <w:trPr/>
        <w:tc>
          <w:tcPr>
            <w:tcW w:w="5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101" w:type="dxa"/>
            <w:tcBorders/>
            <w:shd w:fill="FFFFFF" w:val="clear"/>
            <w:vAlign w:val="center"/>
          </w:tcPr>
          <w:p>
            <w:pPr>
              <w:pStyle w:val="TableContents"/>
              <w:bidi w:val="0"/>
              <w:spacing w:before="0" w:after="283"/>
              <w:jc w:val="left"/>
              <w:rPr/>
            </w:pPr>
            <w:r>
              <w:rPr/>
              <w:t> </w:t>
            </w:r>
          </w:p>
        </w:tc>
      </w:tr>
      <w:tr>
        <w:trPr/>
        <w:tc>
          <w:tcPr>
            <w:tcW w:w="5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01" w:type="dxa"/>
            <w:tcBorders/>
            <w:shd w:fill="FFFFFF" w:val="clear"/>
            <w:vAlign w:val="center"/>
          </w:tcPr>
          <w:p>
            <w:pPr>
              <w:pStyle w:val="TableContents"/>
              <w:bidi w:val="0"/>
              <w:spacing w:before="0" w:after="283"/>
              <w:jc w:val="left"/>
              <w:rPr/>
            </w:pPr>
            <w:r>
              <w:rPr/>
              <w:t> </w:t>
            </w:r>
          </w:p>
        </w:tc>
      </w:tr>
      <w:tr>
        <w:trPr/>
        <w:tc>
          <w:tcPr>
            <w:tcW w:w="51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11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(8,956</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ind w:left="0" w:right="0" w:hanging="0"/>
              <w:jc w:val="right"/>
              <w:rPr/>
            </w:pPr>
            <w:r>
              <w:rPr/>
              <w:t>(25,900</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ind w:left="0" w:right="0" w:hanging="0"/>
              <w:jc w:val="right"/>
              <w:rPr/>
            </w:pPr>
            <w:r>
              <w:rPr/>
              <w:t>(33,644</w:t>
            </w:r>
          </w:p>
        </w:tc>
        <w:tc>
          <w:tcPr>
            <w:tcW w:w="101" w:type="dxa"/>
            <w:tcBorders/>
            <w:shd w:fill="FFFFFF" w:val="clear"/>
            <w:vAlign w:val="center"/>
          </w:tcPr>
          <w:p>
            <w:pPr>
              <w:pStyle w:val="TableContents"/>
              <w:bidi w:val="0"/>
              <w:spacing w:before="0" w:after="283"/>
              <w:jc w:val="left"/>
              <w:rPr/>
            </w:pPr>
            <w:r>
              <w:rPr/>
              <w:t>)</w:t>
            </w:r>
          </w:p>
        </w:tc>
      </w:tr>
      <w:tr>
        <w:trPr/>
        <w:tc>
          <w:tcPr>
            <w:tcW w:w="511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allocated to stockholders of the Company</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(9,068</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(26,134</w:t>
            </w:r>
          </w:p>
        </w:tc>
        <w:tc>
          <w:tcPr>
            <w:tcW w:w="1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(33,783</w:t>
            </w:r>
          </w:p>
        </w:tc>
        <w:tc>
          <w:tcPr>
            <w:tcW w:w="1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51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 used in computing net loss per share, basic</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5,527</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5,413</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101" w:type="dxa"/>
            <w:tcBorders/>
            <w:shd w:fill="CCEEFF" w:val="clear"/>
            <w:vAlign w:val="center"/>
          </w:tcPr>
          <w:p>
            <w:pPr>
              <w:pStyle w:val="TableContents"/>
              <w:bidi w:val="0"/>
              <w:spacing w:before="0" w:after="283"/>
              <w:jc w:val="left"/>
              <w:rPr/>
            </w:pPr>
            <w:r>
              <w:rPr/>
              <w:t> </w:t>
            </w:r>
          </w:p>
        </w:tc>
      </w:tr>
      <w:tr>
        <w:trPr/>
        <w:tc>
          <w:tcPr>
            <w:tcW w:w="51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 used in computing net loss per share, diluted</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5,527</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4,298</w:t>
            </w:r>
          </w:p>
        </w:tc>
        <w:tc>
          <w:tcPr>
            <w:tcW w:w="101" w:type="dxa"/>
            <w:tcBorders/>
            <w:shd w:fill="FFFFFF" w:val="clear"/>
            <w:vAlign w:val="center"/>
          </w:tcPr>
          <w:p>
            <w:pPr>
              <w:pStyle w:val="TableContents"/>
              <w:bidi w:val="0"/>
              <w:spacing w:before="0" w:after="283"/>
              <w:jc w:val="left"/>
              <w:rPr/>
            </w:pPr>
            <w:r>
              <w:rPr/>
              <w:t> </w:t>
            </w:r>
          </w:p>
        </w:tc>
      </w:tr>
      <w:tr>
        <w:trPr/>
        <w:tc>
          <w:tcPr>
            <w:tcW w:w="51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511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w:t>
            </w:r>
          </w:p>
        </w:tc>
        <w:tc>
          <w:tcPr>
            <w:tcW w:w="1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(7.86</w:t>
            </w:r>
          </w:p>
        </w:tc>
        <w:tc>
          <w:tcPr>
            <w:tcW w:w="1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w:t>
            </w:r>
          </w:p>
        </w:tc>
        <w:tc>
          <w:tcPr>
            <w:tcW w:w="1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(7.86</w:t>
            </w:r>
          </w:p>
        </w:tc>
        <w:tc>
          <w:tcPr>
            <w:tcW w:w="1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net loss, all the outstanding shares of common stock equivalents were excluded from the calculation of diluted net loss per share attributable to common stockholders for the quarters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because including them would have been antidilutive: </w:t>
      </w:r>
    </w:p>
    <w:p>
      <w:pPr>
        <w:pStyle w:val="TextBody"/>
        <w:bidi w:val="0"/>
        <w:spacing w:before="0" w:after="0"/>
        <w:ind w:left="0" w:right="0" w:hanging="0"/>
        <w:jc w:val="left"/>
        <w:rPr>
          <w:caps w:val="false"/>
          <w:smallCaps w:val="false"/>
        </w:rPr>
      </w:pPr>
      <w:r>
        <w:rPr>
          <w:caps w:val="false"/>
          <w:smallCaps w:val="false"/>
        </w:rPr>
        <w:t> </w:t>
      </w:r>
    </w:p>
    <w:tbl>
      <w:tblPr>
        <w:tblW w:w="9253" w:type="dxa"/>
        <w:jc w:val="left"/>
        <w:tblInd w:w="0" w:type="dxa"/>
        <w:tblLayout w:type="fixed"/>
        <w:tblCellMar>
          <w:top w:w="0" w:type="dxa"/>
          <w:left w:w="0" w:type="dxa"/>
          <w:bottom w:w="0" w:type="dxa"/>
          <w:right w:w="0" w:type="dxa"/>
        </w:tblCellMar>
      </w:tblPr>
      <w:tblGrid>
        <w:gridCol w:w="5705"/>
        <w:gridCol w:w="60"/>
        <w:gridCol w:w="109"/>
        <w:gridCol w:w="1545"/>
        <w:gridCol w:w="60"/>
        <w:gridCol w:w="60"/>
        <w:gridCol w:w="109"/>
        <w:gridCol w:w="1545"/>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2022</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to purchase common stock and restricted stock units ("RSUs")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472,985</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stock</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4,985,608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252,717</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share units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25,924</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convertible notes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547,593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for common stock</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potential dilutive shares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7,617,705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2,361,149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-tiered hierarchy, which prioritizes the inputs used in the valuation methodologies in measuring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w:t>
      </w:r>
      <w:r>
        <w:rPr>
          <w:rFonts w:ascii="Times New Roman" w:hAnsi="Times New Roman"/>
          <w:caps w:val="false"/>
          <w:smallCaps w:val="false"/>
          <w:sz w:val="20"/>
        </w:rPr>
        <w:t>–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either directly or indirectly, such as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that are significant to the fair value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Guaranteed investment certificates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the Company uses alternative pricing sources and models utilizing market observable inputs for valuation. The following tables set forth the fair value of the Company’s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assets and liabilities within the fair value hierarchy: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1"/>
        <w:gridCol w:w="60"/>
        <w:gridCol w:w="916"/>
        <w:gridCol w:w="1837"/>
        <w:gridCol w:w="95"/>
        <w:gridCol w:w="95"/>
        <w:gridCol w:w="765"/>
        <w:gridCol w:w="1412"/>
        <w:gridCol w:w="95"/>
        <w:gridCol w:w="95"/>
        <w:gridCol w:w="701"/>
        <w:gridCol w:w="1463"/>
        <w:gridCol w:w="95"/>
        <w:gridCol w:w="95"/>
        <w:gridCol w:w="262"/>
        <w:gridCol w:w="364"/>
        <w:gridCol w:w="64"/>
      </w:tblGrid>
      <w:tr>
        <w:trPr/>
        <w:tc>
          <w:tcPr>
            <w:tcW w:w="1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Measurements as of September 30, 2023</w:t>
            </w:r>
          </w:p>
        </w:tc>
        <w:tc>
          <w:tcPr>
            <w:tcW w:w="64" w:type="dxa"/>
            <w:tcBorders/>
            <w:shd w:fill="FFFFFF" w:val="clear"/>
            <w:vAlign w:val="center"/>
          </w:tcPr>
          <w:p>
            <w:pPr>
              <w:pStyle w:val="TableContents"/>
              <w:bidi w:val="0"/>
              <w:spacing w:before="0" w:after="283"/>
              <w:jc w:val="left"/>
              <w:rPr/>
            </w:pPr>
            <w:r>
              <w:rPr/>
              <w:t> </w:t>
            </w:r>
          </w:p>
        </w:tc>
      </w:tr>
      <w:tr>
        <w:trPr/>
        <w:tc>
          <w:tcPr>
            <w:tcW w:w="1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 in Active Markets using Identical Assets (Level 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4" w:type="dxa"/>
            <w:tcBorders/>
            <w:shd w:fill="FFFFFF" w:val="clear"/>
            <w:vAlign w:val="center"/>
          </w:tcPr>
          <w:p>
            <w:pPr>
              <w:pStyle w:val="TableContents"/>
              <w:bidi w:val="0"/>
              <w:spacing w:before="0" w:after="283"/>
              <w:jc w:val="left"/>
              <w:rPr/>
            </w:pPr>
            <w:r>
              <w:rPr/>
              <w:t> </w:t>
            </w:r>
          </w:p>
        </w:tc>
      </w:tr>
      <w:tr>
        <w:trPr/>
        <w:tc>
          <w:tcPr>
            <w:tcW w:w="17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83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1791"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Guaranteed Investment Certificates</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83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1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6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4" w:type="dxa"/>
            <w:tcBorders/>
            <w:shd w:fill="FFFFFF" w:val="clear"/>
            <w:vAlign w:val="center"/>
          </w:tcPr>
          <w:p>
            <w:pPr>
              <w:pStyle w:val="TableContents"/>
              <w:bidi w:val="0"/>
              <w:spacing w:before="0" w:after="283"/>
              <w:jc w:val="left"/>
              <w:rPr/>
            </w:pPr>
            <w:r>
              <w:rPr/>
              <w:t> </w:t>
            </w:r>
          </w:p>
        </w:tc>
      </w:tr>
      <w:tr>
        <w:trPr/>
        <w:tc>
          <w:tcPr>
            <w:tcW w:w="17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2"/>
        <w:gridCol w:w="60"/>
        <w:gridCol w:w="915"/>
        <w:gridCol w:w="1841"/>
        <w:gridCol w:w="94"/>
        <w:gridCol w:w="94"/>
        <w:gridCol w:w="766"/>
        <w:gridCol w:w="1413"/>
        <w:gridCol w:w="94"/>
        <w:gridCol w:w="94"/>
        <w:gridCol w:w="702"/>
        <w:gridCol w:w="1464"/>
        <w:gridCol w:w="94"/>
        <w:gridCol w:w="94"/>
        <w:gridCol w:w="261"/>
        <w:gridCol w:w="362"/>
        <w:gridCol w:w="65"/>
      </w:tblGrid>
      <w:tr>
        <w:trPr/>
        <w:tc>
          <w:tcPr>
            <w:tcW w:w="1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8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Measurements as of December 31, 2022</w:t>
            </w:r>
          </w:p>
        </w:tc>
        <w:tc>
          <w:tcPr>
            <w:tcW w:w="65" w:type="dxa"/>
            <w:tcBorders/>
            <w:shd w:fill="FFFFFF" w:val="clear"/>
            <w:vAlign w:val="center"/>
          </w:tcPr>
          <w:p>
            <w:pPr>
              <w:pStyle w:val="TableContents"/>
              <w:bidi w:val="0"/>
              <w:spacing w:before="0" w:after="283"/>
              <w:jc w:val="left"/>
              <w:rPr/>
            </w:pPr>
            <w:r>
              <w:rPr/>
              <w:t> </w:t>
            </w:r>
          </w:p>
        </w:tc>
      </w:tr>
      <w:tr>
        <w:trPr/>
        <w:tc>
          <w:tcPr>
            <w:tcW w:w="1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 in Active Markets using Identical Assets (Level 1)</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2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21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5" w:type="dxa"/>
            <w:tcBorders/>
            <w:shd w:fill="FFFFFF" w:val="clear"/>
            <w:vAlign w:val="center"/>
          </w:tcPr>
          <w:p>
            <w:pPr>
              <w:pStyle w:val="TableContents"/>
              <w:bidi w:val="0"/>
              <w:spacing w:before="0" w:after="283"/>
              <w:jc w:val="left"/>
              <w:rPr/>
            </w:pPr>
            <w:r>
              <w:rPr/>
              <w:t> </w:t>
            </w:r>
          </w:p>
        </w:tc>
      </w:tr>
      <w:tr>
        <w:trPr/>
        <w:tc>
          <w:tcPr>
            <w:tcW w:w="17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184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79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Guaranteed Investment Certificates</w:t>
            </w:r>
          </w:p>
        </w:tc>
        <w:tc>
          <w:tcPr>
            <w:tcW w:w="60" w:type="dxa"/>
            <w:tcBorders/>
            <w:shd w:fill="FFFFFF" w:val="cle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5" w:type="dxa"/>
            <w:tcBorders/>
            <w:shd w:fill="FFFFFF" w:val="clear"/>
            <w:vAlign w:val="center"/>
          </w:tcPr>
          <w:p>
            <w:pPr>
              <w:pStyle w:val="TableContents"/>
              <w:bidi w:val="0"/>
              <w:spacing w:before="0" w:after="283"/>
              <w:jc w:val="left"/>
              <w:rPr/>
            </w:pPr>
            <w:r>
              <w:rPr/>
              <w:t> </w:t>
            </w:r>
          </w:p>
        </w:tc>
      </w:tr>
      <w:tr>
        <w:trPr/>
        <w:tc>
          <w:tcPr>
            <w:tcW w:w="17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products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$24,716 and $40,377 as of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performed an assessment of the allowance for expected credit losses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Based upon such assessment, the Company recorded an allowance for expected credit losses totaling $12,811 and $13,619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respectively. The balance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includes $0.5 million due to the adoption of revised guidance of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Measurement of Credit Losses on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the Company’s accounts receivables is presented below:</w:t>
      </w:r>
    </w:p>
    <w:p>
      <w:pPr>
        <w:pStyle w:val="TextBody"/>
        <w:bidi w:val="0"/>
        <w:spacing w:before="0" w:after="0"/>
        <w:ind w:left="0" w:right="0" w:hanging="0"/>
        <w:jc w:val="left"/>
        <w:rPr>
          <w:caps w:val="false"/>
          <w:smallCaps w:val="false"/>
        </w:rPr>
      </w:pPr>
      <w:r>
        <w:rPr>
          <w:caps w:val="false"/>
          <w:smallCaps w:val="false"/>
        </w:rPr>
        <w:t> </w:t>
      </w:r>
    </w:p>
    <w:tbl>
      <w:tblPr>
        <w:tblW w:w="5588" w:type="dxa"/>
        <w:jc w:val="left"/>
        <w:tblInd w:w="0" w:type="dxa"/>
        <w:tblLayout w:type="fixed"/>
        <w:tblCellMar>
          <w:top w:w="0" w:type="dxa"/>
          <w:left w:w="0" w:type="dxa"/>
          <w:bottom w:w="0" w:type="dxa"/>
          <w:right w:w="0" w:type="dxa"/>
        </w:tblCellMar>
      </w:tblPr>
      <w:tblGrid>
        <w:gridCol w:w="2975"/>
        <w:gridCol w:w="60"/>
        <w:gridCol w:w="191"/>
        <w:gridCol w:w="998"/>
        <w:gridCol w:w="80"/>
        <w:gridCol w:w="60"/>
        <w:gridCol w:w="184"/>
        <w:gridCol w:w="960"/>
        <w:gridCol w:w="8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70,925</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Unearned income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53,952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Reported as: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trade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unearned interest income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trade receivables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20,044</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unearned interest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Current subscription agreements are reported as part of accounts receivable. The following are the contractual commitments, net of allowance for expected credit losses, to be received by the Company over the next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w:t>
      </w:r>
    </w:p>
    <w:p>
      <w:pPr>
        <w:pStyle w:val="TextBody"/>
        <w:bidi w:val="0"/>
        <w:spacing w:before="0" w:after="0"/>
        <w:ind w:left="36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4760"/>
        <w:gridCol w:w="60"/>
        <w:gridCol w:w="125"/>
        <w:gridCol w:w="590"/>
        <w:gridCol w:w="60"/>
        <w:gridCol w:w="60"/>
        <w:gridCol w:w="125"/>
        <w:gridCol w:w="590"/>
        <w:gridCol w:w="60"/>
        <w:gridCol w:w="60"/>
        <w:gridCol w:w="125"/>
        <w:gridCol w:w="485"/>
        <w:gridCol w:w="60"/>
        <w:gridCol w:w="60"/>
        <w:gridCol w:w="125"/>
        <w:gridCol w:w="485"/>
        <w:gridCol w:w="60"/>
        <w:gridCol w:w="60"/>
        <w:gridCol w:w="142"/>
        <w:gridCol w:w="298"/>
        <w:gridCol w:w="60"/>
        <w:gridCol w:w="60"/>
        <w:gridCol w:w="142"/>
        <w:gridCol w:w="298"/>
        <w:gridCol w:w="60"/>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financing receivables, net of allowance of $5,331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financing receivables, net of allowance of $320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Accounts receivable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bear interest and are typically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collateralized.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and could be material to its unaudited condensed consolidated financial position, results of operations and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expected credit losses consisted of the following activity:</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2540"/>
        <w:gridCol w:w="60"/>
        <w:gridCol w:w="125"/>
        <w:gridCol w:w="590"/>
        <w:gridCol w:w="80"/>
      </w:tblGrid>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January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11,997</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Write-offs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7,337</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13,619</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Write-offs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14,207</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Write-offs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13,233</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Write-offs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12,811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SELECT BALANCE SHEET AND STATEMENT OF OPERATIONS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p>
    <w:tbl>
      <w:tblPr>
        <w:tblW w:w="4003" w:type="dxa"/>
        <w:jc w:val="left"/>
        <w:tblInd w:w="0" w:type="dxa"/>
        <w:tblLayout w:type="fixed"/>
        <w:tblCellMar>
          <w:top w:w="0" w:type="dxa"/>
          <w:left w:w="0" w:type="dxa"/>
          <w:bottom w:w="0" w:type="dxa"/>
          <w:right w:w="0" w:type="dxa"/>
        </w:tblCellMar>
      </w:tblPr>
      <w:tblGrid>
        <w:gridCol w:w="1430"/>
        <w:gridCol w:w="60"/>
        <w:gridCol w:w="207"/>
        <w:gridCol w:w="982"/>
        <w:gridCol w:w="60"/>
        <w:gridCol w:w="60"/>
        <w:gridCol w:w="199"/>
        <w:gridCol w:w="945"/>
        <w:gridCol w:w="60"/>
      </w:tblGrid>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2,478</w:t>
            </w:r>
          </w:p>
        </w:tc>
        <w:tc>
          <w:tcPr>
            <w:tcW w:w="6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Work-in-progress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2,112</w:t>
            </w:r>
          </w:p>
        </w:tc>
        <w:tc>
          <w:tcPr>
            <w:tcW w:w="6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19,316</w:t>
            </w:r>
          </w:p>
        </w:tc>
        <w:tc>
          <w:tcPr>
            <w:tcW w:w="6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Additions to inventory are primarily comprised of newly produced units and applicators, refurbishment cost from demonstration units and used equipment which were reacquired during the period from upgraded sale</w:t>
      </w:r>
      <w:r>
        <w:rPr>
          <w:rFonts w:ascii="Times New Roman" w:hAnsi="Times New Roman"/>
          <w:caps w:val="false"/>
          <w:smallCaps w:val="false"/>
          <w:sz w:val="20"/>
          <w:shd w:fill="FFFFFF" w:val="clear"/>
        </w:rPr>
        <w:t>s. The Company expens</w:t>
      </w:r>
      <w:r>
        <w:rPr>
          <w:rFonts w:ascii="Times New Roman" w:hAnsi="Times New Roman"/>
          <w:caps w:val="false"/>
          <w:smallCaps w:val="false"/>
          <w:sz w:val="20"/>
        </w:rPr>
        <w:t>ed $5,109 and $17,009 </w:t>
      </w:r>
      <w:r>
        <w:rPr>
          <w:rFonts w:ascii="Times New Roman" w:hAnsi="Times New Roman"/>
          <w:caps w:val="false"/>
          <w:smallCaps w:val="false"/>
          <w:sz w:val="20"/>
          <w:shd w:fill="FFFFFF" w:val="clear"/>
        </w:rPr>
        <w:t xml:space="preserve">in cost of goods sold in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September 30, 2023, </w:t>
      </w:r>
      <w:r>
        <w:rPr>
          <w:rFonts w:ascii="Times New Roman" w:hAnsi="Times New Roman"/>
          <w:caps w:val="false"/>
          <w:smallCaps w:val="false"/>
          <w:sz w:val="20"/>
          <w:shd w:fill="FFFFFF" w:val="clear"/>
        </w:rPr>
        <w:t xml:space="preserve">respectively. </w:t>
      </w:r>
      <w:r>
        <w:rPr>
          <w:rFonts w:ascii="Times New Roman" w:hAnsi="Times New Roman"/>
          <w:caps w:val="false"/>
          <w:smallCaps w:val="false"/>
          <w:sz w:val="20"/>
        </w:rPr>
        <w:t xml:space="preserve">The Company expensed $7,696 and $23,437 in cost of goods sold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 </w:t>
      </w:r>
      <w:r>
        <w:rPr>
          <w:rFonts w:ascii="Times New Roman" w:hAnsi="Times New Roman"/>
          <w:caps w:val="false"/>
          <w:smallCaps w:val="false"/>
          <w:sz w:val="20"/>
          <w:shd w:fill="FFFFFF" w:val="clear"/>
        </w:rPr>
        <w:t>The balance of cost of goods sold represents the sale of applicators, parts, consumables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provides for excess and obsolete inventories when conditions indicate that the inventory cost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a provision for obsolescence of $3,506 and $3,258 was taken against inventory,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552" w:type="dxa"/>
        <w:jc w:val="left"/>
        <w:tblInd w:w="0" w:type="dxa"/>
        <w:tblLayout w:type="fixed"/>
        <w:tblCellMar>
          <w:top w:w="0" w:type="dxa"/>
          <w:left w:w="0" w:type="dxa"/>
          <w:bottom w:w="0" w:type="dxa"/>
          <w:right w:w="0" w:type="dxa"/>
        </w:tblCellMar>
      </w:tblPr>
      <w:tblGrid>
        <w:gridCol w:w="2795"/>
        <w:gridCol w:w="60"/>
        <w:gridCol w:w="81"/>
        <w:gridCol w:w="943"/>
        <w:gridCol w:w="60"/>
        <w:gridCol w:w="60"/>
        <w:gridCol w:w="221"/>
        <w:gridCol w:w="968"/>
        <w:gridCol w:w="80"/>
        <w:gridCol w:w="60"/>
        <w:gridCol w:w="212"/>
        <w:gridCol w:w="932"/>
        <w:gridCol w:w="8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 Lives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 equipment tooling and molds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6 –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81" w:type="dxa"/>
            <w:tcBorders/>
            <w:shd w:fill="CCEEFF" w:val="clear"/>
            <w:vAlign w:val="center"/>
          </w:tcPr>
          <w:p>
            <w:pPr>
              <w:pStyle w:val="TableContents"/>
              <w:bidi w:val="0"/>
              <w:spacing w:before="0" w:after="283"/>
              <w:ind w:left="0" w:right="0" w:hanging="0"/>
              <w:jc w:val="center"/>
              <w:rPr/>
            </w:pPr>
            <w:r>
              <w:rPr/>
              <w:t> </w:t>
            </w:r>
          </w:p>
        </w:tc>
        <w:tc>
          <w:tcPr>
            <w:tcW w:w="943"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up to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 and software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 –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Demo units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7,547</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expense amounted to $134 and $206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Depreciation expense was $444 and $695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Current Assets</w:t>
      </w:r>
    </w:p>
    <w:p>
      <w:pPr>
        <w:pStyle w:val="TextBody"/>
        <w:bidi w:val="0"/>
        <w:spacing w:before="0" w:after="0"/>
        <w:ind w:left="0" w:right="0" w:hanging="0"/>
        <w:jc w:val="left"/>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3845"/>
        <w:gridCol w:w="60"/>
        <w:gridCol w:w="243"/>
        <w:gridCol w:w="946"/>
        <w:gridCol w:w="60"/>
        <w:gridCol w:w="60"/>
        <w:gridCol w:w="234"/>
        <w:gridCol w:w="910"/>
        <w:gridCol w:w="60"/>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Government remittances (1)</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1,602</w:t>
            </w:r>
          </w:p>
        </w:tc>
        <w:tc>
          <w:tcPr>
            <w:tcW w:w="6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Consideration receivable from subsidiaries sale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629</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financing costs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301</w:t>
            </w:r>
          </w:p>
        </w:tc>
        <w:tc>
          <w:tcPr>
            <w:tcW w:w="6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Sundry assets and miscellaneous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1,170</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Government remittances are receivables from the local tax authorities for refunds of sales taxes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tbl>
      <w:tblPr>
        <w:tblW w:w="6733" w:type="dxa"/>
        <w:jc w:val="left"/>
        <w:tblInd w:w="0" w:type="dxa"/>
        <w:tblLayout w:type="fixed"/>
        <w:tblCellMar>
          <w:top w:w="0" w:type="dxa"/>
          <w:left w:w="0" w:type="dxa"/>
          <w:bottom w:w="0" w:type="dxa"/>
          <w:right w:w="0" w:type="dxa"/>
        </w:tblCellMar>
      </w:tblPr>
      <w:tblGrid>
        <w:gridCol w:w="4160"/>
        <w:gridCol w:w="60"/>
        <w:gridCol w:w="207"/>
        <w:gridCol w:w="982"/>
        <w:gridCol w:w="60"/>
        <w:gridCol w:w="60"/>
        <w:gridCol w:w="199"/>
        <w:gridCol w:w="945"/>
        <w:gridCol w:w="6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Payroll and related expense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2,244</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5,045</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Commission accrual</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3,761</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and consumption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5,617</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Warranty Accrual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the details of the change in the Company’s warranty accrual:</w:t>
      </w:r>
    </w:p>
    <w:p>
      <w:pPr>
        <w:pStyle w:val="TextBody"/>
        <w:bidi w:val="0"/>
        <w:spacing w:before="0" w:after="0"/>
        <w:ind w:left="0" w:right="0" w:hanging="0"/>
        <w:jc w:val="left"/>
        <w:rPr>
          <w:caps w:val="false"/>
          <w:smallCaps w:val="false"/>
        </w:rPr>
      </w:pPr>
      <w:r>
        <w:rPr>
          <w:caps w:val="false"/>
          <w:smallCaps w:val="false"/>
        </w:rPr>
        <w:t> </w:t>
      </w:r>
    </w:p>
    <w:tbl>
      <w:tblPr>
        <w:tblW w:w="6008" w:type="dxa"/>
        <w:jc w:val="left"/>
        <w:tblInd w:w="0" w:type="dxa"/>
        <w:tblLayout w:type="fixed"/>
        <w:tblCellMar>
          <w:top w:w="0" w:type="dxa"/>
          <w:left w:w="0" w:type="dxa"/>
          <w:bottom w:w="0" w:type="dxa"/>
          <w:right w:w="0" w:type="dxa"/>
        </w:tblCellMar>
      </w:tblPr>
      <w:tblGrid>
        <w:gridCol w:w="3395"/>
        <w:gridCol w:w="60"/>
        <w:gridCol w:w="243"/>
        <w:gridCol w:w="946"/>
        <w:gridCol w:w="80"/>
        <w:gridCol w:w="60"/>
        <w:gridCol w:w="212"/>
        <w:gridCol w:w="932"/>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as of the beginning of the period</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1,753</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Warranties issued during the period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Warranty costs incurred during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the end of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1,482</w:t>
            </w:r>
          </w:p>
        </w:tc>
        <w:tc>
          <w:tcPr>
            <w:tcW w:w="80" w:type="dxa"/>
            <w:tcBorders/>
            <w:shd w:fill="FFFFFF" w:val="clear"/>
            <w:vAlign w:val="center"/>
          </w:tcPr>
          <w:p>
            <w:pPr>
              <w:pStyle w:val="TableContents"/>
              <w:bidi w:val="0"/>
              <w:spacing w:before="0" w:after="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1,482</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the details of the Company’s finance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8"/>
        <w:gridCol w:w="60"/>
        <w:gridCol w:w="271"/>
        <w:gridCol w:w="1054"/>
        <w:gridCol w:w="130"/>
        <w:gridCol w:w="130"/>
        <w:gridCol w:w="271"/>
        <w:gridCol w:w="1054"/>
        <w:gridCol w:w="60"/>
        <w:gridCol w:w="60"/>
        <w:gridCol w:w="263"/>
        <w:gridCol w:w="1023"/>
        <w:gridCol w:w="126"/>
        <w:gridCol w:w="126"/>
        <w:gridCol w:w="263"/>
        <w:gridCol w:w="1023"/>
        <w:gridCol w:w="83"/>
      </w:tblGrid>
      <w:tr>
        <w:trPr/>
        <w:tc>
          <w:tcPr>
            <w:tcW w:w="4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3" w:type="dxa"/>
            <w:tcBorders/>
            <w:shd w:fill="FFFFFF"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83" w:type="dxa"/>
            <w:tcBorders/>
            <w:shd w:fill="FFFFFF" w:val="clear"/>
            <w:vAlign w:val="center"/>
          </w:tcPr>
          <w:p>
            <w:pPr>
              <w:pStyle w:val="TableContents"/>
              <w:bidi w:val="0"/>
              <w:spacing w:before="0" w:after="283"/>
              <w:jc w:val="left"/>
              <w:rPr/>
            </w:pPr>
            <w:r>
              <w:rPr/>
              <w:t> </w:t>
            </w:r>
          </w:p>
        </w:tc>
      </w:tr>
      <w:tr>
        <w:trPr/>
        <w:tc>
          <w:tcPr>
            <w:tcW w:w="4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2,979</w:t>
            </w:r>
          </w:p>
        </w:tc>
        <w:tc>
          <w:tcPr>
            <w:tcW w:w="83" w:type="dxa"/>
            <w:tcBorders/>
            <w:shd w:fill="CCEEFF" w:val="clear"/>
            <w:vAlign w:val="center"/>
          </w:tcPr>
          <w:p>
            <w:pPr>
              <w:pStyle w:val="TableContents"/>
              <w:bidi w:val="0"/>
              <w:spacing w:before="0" w:after="283"/>
              <w:jc w:val="left"/>
              <w:rPr/>
            </w:pPr>
            <w:r>
              <w:rPr/>
              <w:t> </w:t>
            </w:r>
          </w:p>
        </w:tc>
      </w:tr>
      <w:tr>
        <w:trPr/>
        <w:tc>
          <w:tcPr>
            <w:tcW w:w="4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on long-term debt and amortization of fees</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3" w:type="dxa"/>
            <w:tcBorders/>
            <w:shd w:fill="FFFFFF" w:val="clear"/>
            <w:vAlign w:val="center"/>
          </w:tcPr>
          <w:p>
            <w:pPr>
              <w:pStyle w:val="TableContents"/>
              <w:bidi w:val="0"/>
              <w:spacing w:before="0" w:after="283"/>
              <w:jc w:val="left"/>
              <w:rPr/>
            </w:pPr>
            <w:r>
              <w:rPr/>
              <w:t> </w:t>
            </w:r>
          </w:p>
        </w:tc>
      </w:tr>
      <w:tr>
        <w:trPr/>
        <w:tc>
          <w:tcPr>
            <w:tcW w:w="420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60" w:right="0" w:hanging="180"/>
        <w:jc w:val="left"/>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presents the various components of lease costs. </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1715"/>
        <w:gridCol w:w="60"/>
        <w:gridCol w:w="357"/>
        <w:gridCol w:w="958"/>
        <w:gridCol w:w="171"/>
        <w:gridCol w:w="171"/>
        <w:gridCol w:w="357"/>
        <w:gridCol w:w="958"/>
        <w:gridCol w:w="60"/>
        <w:gridCol w:w="60"/>
        <w:gridCol w:w="303"/>
        <w:gridCol w:w="1175"/>
        <w:gridCol w:w="145"/>
        <w:gridCol w:w="145"/>
        <w:gridCol w:w="303"/>
        <w:gridCol w:w="812"/>
        <w:gridCol w:w="75"/>
      </w:tblGrid>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75"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supplemental information relating to the cash flows arising from lease transactions. Cash payments related to short-term leases are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measurement of operating lease liabilities, and as such, are excluded from the amounts below.</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3770"/>
        <w:gridCol w:w="60"/>
        <w:gridCol w:w="357"/>
        <w:gridCol w:w="958"/>
        <w:gridCol w:w="171"/>
        <w:gridCol w:w="171"/>
        <w:gridCol w:w="357"/>
        <w:gridCol w:w="958"/>
        <w:gridCol w:w="60"/>
        <w:gridCol w:w="60"/>
        <w:gridCol w:w="303"/>
        <w:gridCol w:w="1175"/>
        <w:gridCol w:w="145"/>
        <w:gridCol w:w="145"/>
        <w:gridCol w:w="303"/>
        <w:gridCol w:w="812"/>
        <w:gridCol w:w="75"/>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outflows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weighted-average lease term and discount rate for operating leases.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230"/>
        <w:gridCol w:w="60"/>
        <w:gridCol w:w="60"/>
        <w:gridCol w:w="710"/>
        <w:gridCol w:w="185"/>
        <w:gridCol w:w="60"/>
        <w:gridCol w:w="60"/>
        <w:gridCol w:w="710"/>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September 30,</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3.12 yrs.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4.29 yrs.</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a maturity analysis of expected undiscounted cash flows for operating leases on an annual basis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years and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69" w:type="dxa"/>
        <w:jc w:val="left"/>
        <w:tblInd w:w="0" w:type="dxa"/>
        <w:tblLayout w:type="fixed"/>
        <w:tblCellMar>
          <w:top w:w="0" w:type="dxa"/>
          <w:left w:w="0" w:type="dxa"/>
          <w:bottom w:w="0" w:type="dxa"/>
          <w:right w:w="0" w:type="dxa"/>
        </w:tblCellMar>
      </w:tblPr>
      <w:tblGrid>
        <w:gridCol w:w="2330"/>
        <w:gridCol w:w="60"/>
        <w:gridCol w:w="286"/>
        <w:gridCol w:w="1113"/>
        <w:gridCol w:w="80"/>
      </w:tblGrid>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400</w:t>
            </w:r>
          </w:p>
        </w:tc>
        <w:tc>
          <w:tcPr>
            <w:tcW w:w="8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1,453</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1,228</w:t>
            </w:r>
          </w:p>
        </w:tc>
        <w:tc>
          <w:tcPr>
            <w:tcW w:w="8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1,038</w:t>
            </w:r>
          </w:p>
        </w:tc>
        <w:tc>
          <w:tcPr>
            <w:tcW w:w="8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594</w:t>
            </w:r>
          </w:p>
        </w:tc>
        <w:tc>
          <w:tcPr>
            <w:tcW w:w="8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Imputed Interest (1)</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(438</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Imputed interest represents the difference between undiscounted cash flows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INTANGIBLE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net of accumulated amortization and goodwill were as follows:</w:t>
      </w:r>
    </w:p>
    <w:p>
      <w:pPr>
        <w:pStyle w:val="TextBody"/>
        <w:bidi w:val="0"/>
        <w:spacing w:before="0" w:after="0"/>
        <w:ind w:left="0" w:right="0" w:hanging="0"/>
        <w:jc w:val="left"/>
        <w:rPr>
          <w:caps w:val="false"/>
          <w:smallCaps w:val="false"/>
        </w:rPr>
      </w:pPr>
      <w:r>
        <w:rPr>
          <w:caps w:val="false"/>
          <w:smallCaps w:val="false"/>
        </w:rPr>
        <w:t> </w:t>
      </w:r>
    </w:p>
    <w:tbl>
      <w:tblPr>
        <w:tblW w:w="6727" w:type="dxa"/>
        <w:jc w:val="left"/>
        <w:tblInd w:w="0" w:type="dxa"/>
        <w:tblLayout w:type="fixed"/>
        <w:tblCellMar>
          <w:top w:w="0" w:type="dxa"/>
          <w:left w:w="0" w:type="dxa"/>
          <w:bottom w:w="0" w:type="dxa"/>
          <w:right w:w="0" w:type="dxa"/>
        </w:tblCellMar>
      </w:tblPr>
      <w:tblGrid>
        <w:gridCol w:w="1895"/>
        <w:gridCol w:w="60"/>
        <w:gridCol w:w="208"/>
        <w:gridCol w:w="981"/>
        <w:gridCol w:w="60"/>
        <w:gridCol w:w="60"/>
        <w:gridCol w:w="362"/>
        <w:gridCol w:w="1892"/>
        <w:gridCol w:w="80"/>
        <w:gridCol w:w="60"/>
        <w:gridCol w:w="206"/>
        <w:gridCol w:w="803"/>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September 30, 2023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Amount</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901</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Brand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8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1,237</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Technology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5,874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Supplier agreement</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1,309</w:t>
            </w:r>
          </w:p>
        </w:tc>
        <w:tc>
          <w:tcPr>
            <w:tcW w:w="60" w:type="dxa"/>
            <w:tcBorders/>
            <w:shd w:fill="FFFFFF" w:val="clear"/>
            <w:vAlign w:val="center"/>
          </w:tcPr>
          <w:p>
            <w:pPr>
              <w:pStyle w:val="TableContents"/>
              <w:bidi w:val="0"/>
              <w:spacing w:before="0" w:after="0"/>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7" w:type="dxa"/>
        <w:jc w:val="left"/>
        <w:tblInd w:w="0" w:type="dxa"/>
        <w:tblLayout w:type="fixed"/>
        <w:tblCellMar>
          <w:top w:w="0" w:type="dxa"/>
          <w:left w:w="0" w:type="dxa"/>
          <w:bottom w:w="0" w:type="dxa"/>
          <w:right w:w="0" w:type="dxa"/>
        </w:tblCellMar>
      </w:tblPr>
      <w:tblGrid>
        <w:gridCol w:w="1895"/>
        <w:gridCol w:w="60"/>
        <w:gridCol w:w="208"/>
        <w:gridCol w:w="981"/>
        <w:gridCol w:w="60"/>
        <w:gridCol w:w="60"/>
        <w:gridCol w:w="362"/>
        <w:gridCol w:w="1892"/>
        <w:gridCol w:w="80"/>
        <w:gridCol w:w="60"/>
        <w:gridCol w:w="176"/>
        <w:gridCol w:w="833"/>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December 31, 2022</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Amount</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18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ind w:left="0" w:right="0" w:hanging="0"/>
              <w:jc w:val="left"/>
              <w:rPr/>
            </w:pPr>
            <w:r>
              <w:rPr/>
              <w:t> </w:t>
            </w:r>
          </w:p>
        </w:tc>
        <w:tc>
          <w:tcPr>
            <w:tcW w:w="1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7,981</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Supplier agreement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September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amortization expense was $</w:t>
      </w:r>
      <w:r>
        <w:rPr>
          <w:rFonts w:ascii="Times New Roman" w:hAnsi="Times New Roman"/>
          <w:sz w:val="20"/>
          <w:shd w:fill="FFFFFF" w:val="clear"/>
        </w:rPr>
        <w:t>875, respectively</w:t>
      </w:r>
      <w:r>
        <w:rPr>
          <w:rFonts w:ascii="Times New Roman" w:hAnsi="Times New Roman"/>
          <w:sz w:val="20"/>
        </w:rPr>
        <w:t xml:space="preserve">. For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September 30,</w:t>
      </w:r>
      <w:r>
        <w:rPr>
          <w:rFonts w:ascii="Times New Roman" w:hAnsi="Times New Roman"/>
          <w:sz w:val="20"/>
        </w:rPr>
        <w:t xml:space="preserve"> </w:t>
      </w:r>
      <w:r>
        <w:rPr>
          <w:rStyle w:val="Emphasis"/>
          <w:rFonts w:ascii="Times New Roman" w:hAnsi="Times New Roman"/>
          <w:sz w:val="20"/>
        </w:rPr>
        <w:t>2023</w:t>
      </w:r>
      <w:r>
        <w:rPr>
          <w:rFonts w:ascii="Times New Roman" w:hAnsi="Times New Roman"/>
          <w:sz w:val="20"/>
        </w:rPr>
        <w:t xml:space="preserve"> and </w:t>
      </w:r>
      <w:r>
        <w:rPr>
          <w:rStyle w:val="Emphasis"/>
          <w:rFonts w:ascii="Times New Roman" w:hAnsi="Times New Roman"/>
          <w:sz w:val="20"/>
        </w:rPr>
        <w:t>2022,</w:t>
      </w:r>
      <w:r>
        <w:rPr>
          <w:rFonts w:ascii="Times New Roman" w:hAnsi="Times New Roman"/>
          <w:sz w:val="20"/>
        </w:rPr>
        <w:t xml:space="preserve"> amortization expense was $2,597 and $2,598,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Estimated amortization expense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fiscal years and all years thereafter are as follows:</w:t>
      </w:r>
    </w:p>
    <w:p>
      <w:pPr>
        <w:pStyle w:val="TextBody"/>
        <w:bidi w:val="0"/>
        <w:spacing w:before="0" w:after="0"/>
        <w:ind w:left="0" w:right="0" w:hanging="0"/>
        <w:jc w:val="left"/>
        <w:rPr>
          <w:caps w:val="false"/>
          <w:smallCaps w:val="false"/>
        </w:rPr>
      </w:pPr>
      <w:r>
        <w:rPr>
          <w:caps w:val="false"/>
          <w:smallCaps w:val="false"/>
        </w:rPr>
        <w:t> </w:t>
      </w:r>
    </w:p>
    <w:tbl>
      <w:tblPr>
        <w:tblW w:w="3060" w:type="dxa"/>
        <w:jc w:val="left"/>
        <w:tblInd w:w="0" w:type="dxa"/>
        <w:tblLayout w:type="fixed"/>
        <w:tblCellMar>
          <w:top w:w="0" w:type="dxa"/>
          <w:left w:w="0" w:type="dxa"/>
          <w:bottom w:w="0" w:type="dxa"/>
          <w:right w:w="0" w:type="dxa"/>
        </w:tblCellMar>
      </w:tblPr>
      <w:tblGrid>
        <w:gridCol w:w="2330"/>
        <w:gridCol w:w="60"/>
        <w:gridCol w:w="125"/>
        <w:gridCol w:w="485"/>
        <w:gridCol w:w="60"/>
      </w:tblGrid>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875</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3,473</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3,004</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656</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w:t>
            </w:r>
          </w:p>
        </w:tc>
        <w:tc>
          <w:tcPr>
            <w:tcW w:w="60" w:type="dxa"/>
            <w:tcBorders/>
            <w:shd w:fill="FFFFFF" w:val="clear"/>
            <w:vAlign w:val="center"/>
          </w:tcPr>
          <w:p>
            <w:pPr>
              <w:pStyle w:val="TableContents"/>
              <w:bidi w:val="0"/>
              <w:spacing w:before="0" w:after="0"/>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COMMITMENTS AND 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has non-cancellable purchase orders placed with its contract manufacturers in the amount of $9.4 million. In addition,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had $1.0 million of open purchase orders that can be cancelled with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days’ notice, except for a portion equal to 25% of the total amount representing the purchase of “long lead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Aggregate future service and purchase commitments with manufacturers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2330"/>
        <w:gridCol w:w="60"/>
        <w:gridCol w:w="518"/>
        <w:gridCol w:w="2456"/>
        <w:gridCol w:w="60"/>
      </w:tblGrid>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Purchase and Service Commitments</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11,273</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 and Thereafter</w:t>
            </w:r>
          </w:p>
        </w:tc>
        <w:tc>
          <w:tcPr>
            <w:tcW w:w="60" w:type="dxa"/>
            <w:tcBorders/>
            <w:shd w:fill="FFFFFF" w:val="clear"/>
            <w:vAlign w:val="center"/>
          </w:tcPr>
          <w:p>
            <w:pPr>
              <w:pStyle w:val="TableContents"/>
              <w:bidi w:val="0"/>
              <w:spacing w:before="0" w:after="283"/>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Purported Shareholder Class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11, 2019, </w:t>
      </w:r>
      <w:r>
        <w:rPr>
          <w:rFonts w:ascii="Times New Roman" w:hAnsi="Times New Roman"/>
          <w:caps w:val="false"/>
          <w:smallCaps w:val="false"/>
          <w:sz w:val="20"/>
        </w:rPr>
        <w:t xml:space="preserve">a verified shareholder derivative complaint was filed in the United States District Court for the Northern District of California, captioned Mason v. Rhodes,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5:19</w:t>
      </w:r>
      <w:r>
        <w:rPr>
          <w:rFonts w:ascii="Times New Roman" w:hAnsi="Times New Roman"/>
          <w:caps w:val="false"/>
          <w:smallCaps w:val="false"/>
          <w:sz w:val="20"/>
        </w:rPr>
        <w:t>-cv-</w:t>
      </w:r>
      <w:r>
        <w:rPr>
          <w:rStyle w:val="Emphasis"/>
          <w:rFonts w:ascii="Times New Roman" w:hAnsi="Times New Roman"/>
          <w:caps w:val="false"/>
          <w:smallCaps w:val="false"/>
          <w:sz w:val="20"/>
        </w:rPr>
        <w:t>03997</w:t>
      </w:r>
      <w:r>
        <w:rPr>
          <w:rFonts w:ascii="Times New Roman" w:hAnsi="Times New Roman"/>
          <w:caps w:val="false"/>
          <w:smallCaps w:val="false"/>
          <w:sz w:val="20"/>
        </w:rPr>
        <w:t xml:space="preserve">-NC. The complaint alleges that certain of Restoration Robotics’ former officers and directors breached their fiduciary duties, have been unjustly enriched and violated Section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of the Exchange Act in connection with the IPO and Restoration Robotics’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proxy statement. The complaint seeks unspecified damages, declaratory relief, other equitable relief and attorneys’ fees and costs. On </w:t>
      </w:r>
      <w:r>
        <w:rPr>
          <w:rStyle w:val="Emphasis"/>
          <w:rFonts w:ascii="Times New Roman" w:hAnsi="Times New Roman"/>
          <w:caps w:val="false"/>
          <w:smallCaps w:val="false"/>
          <w:sz w:val="20"/>
        </w:rPr>
        <w:t xml:space="preserve">August 21, 2019, </w:t>
      </w:r>
      <w:r>
        <w:rPr>
          <w:rFonts w:ascii="Times New Roman" w:hAnsi="Times New Roman"/>
          <w:caps w:val="false"/>
          <w:smallCaps w:val="false"/>
          <w:sz w:val="20"/>
        </w:rPr>
        <w:t xml:space="preserve">the District Court granted the parties’ joint stipulation to stay the Mason action. On </w:t>
      </w:r>
      <w:r>
        <w:rPr>
          <w:rStyle w:val="Emphasis"/>
          <w:rFonts w:ascii="Times New Roman" w:hAnsi="Times New Roman"/>
          <w:caps w:val="false"/>
          <w:smallCaps w:val="false"/>
          <w:sz w:val="20"/>
        </w:rPr>
        <w:t xml:space="preserve">June 21, 2021, </w:t>
      </w:r>
      <w:r>
        <w:rPr>
          <w:rFonts w:ascii="Times New Roman" w:hAnsi="Times New Roman"/>
          <w:caps w:val="false"/>
          <w:smallCaps w:val="false"/>
          <w:sz w:val="20"/>
        </w:rPr>
        <w:t xml:space="preserve">the District Court granted the parties’ further stipulation to stay the Mason action. On </w:t>
      </w:r>
      <w:r>
        <w:rPr>
          <w:rStyle w:val="Emphasis"/>
          <w:rFonts w:ascii="Times New Roman" w:hAnsi="Times New Roman"/>
          <w:caps w:val="false"/>
          <w:smallCaps w:val="false"/>
          <w:sz w:val="20"/>
        </w:rPr>
        <w:t xml:space="preserve">March 2, 2023, </w:t>
      </w:r>
      <w:r>
        <w:rPr>
          <w:rFonts w:ascii="Times New Roman" w:hAnsi="Times New Roman"/>
          <w:caps w:val="false"/>
          <w:smallCaps w:val="false"/>
          <w:sz w:val="20"/>
        </w:rPr>
        <w:t xml:space="preserve">Plaintiff filed a stipulation voluntarily dismissing the action. The District Court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entered the stipulation.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MAIN STREET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w:t>
      </w:r>
      <w:r>
        <w:rPr>
          <w:rStyle w:val="Emphasis"/>
          <w:rFonts w:ascii="Times New Roman" w:hAnsi="Times New Roman"/>
          <w:caps w:val="false"/>
          <w:smallCaps w:val="false"/>
          <w:sz w:val="20"/>
        </w:rPr>
        <w:t>13</w:t>
      </w: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Federal Reserve Act (the “MSLP Loan”). On </w:t>
      </w:r>
      <w:r>
        <w:rPr>
          <w:rStyle w:val="Emphasis"/>
          <w:rFonts w:ascii="Times New Roman" w:hAnsi="Times New Roman"/>
          <w:caps w:val="false"/>
          <w:smallCaps w:val="false"/>
          <w:sz w:val="20"/>
        </w:rPr>
        <w:t>December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MSLP Loan had been funded and the transaction was closed. The MSLP Note has a term of five years and bears interest at a rate per annum equal to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LIBOR plus 3%. On </w:t>
      </w:r>
      <w:r>
        <w:rPr>
          <w:rStyle w:val="Emphasis"/>
          <w:rFonts w:ascii="Times New Roman" w:hAnsi="Times New Roman"/>
          <w:caps w:val="false"/>
          <w:smallCaps w:val="false"/>
          <w:sz w:val="20"/>
        </w:rPr>
        <w:t xml:space="preserve">December 8,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8, 2024, </w:t>
      </w:r>
      <w:r>
        <w:rPr>
          <w:rFonts w:ascii="Times New Roman" w:hAnsi="Times New Roman"/>
          <w:caps w:val="false"/>
          <w:smallCaps w:val="false"/>
          <w:sz w:val="20"/>
        </w:rPr>
        <w:t xml:space="preserve">the Company must make an annual payment of principal plus accrued but unpaid interest in an amount equal to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percent (15%) of the outstanding principal balance of the MSLP Note (inclusive of accrued but unpaid interest). The entire outstanding principal balance of the MSLP Note together with all accrued and unpaid interest is due and payable in full on </w:t>
      </w:r>
      <w:r>
        <w:rPr>
          <w:rStyle w:val="Emphasis"/>
          <w:rFonts w:ascii="Times New Roman" w:hAnsi="Times New Roman"/>
          <w:caps w:val="false"/>
          <w:smallCaps w:val="false"/>
          <w:sz w:val="20"/>
        </w:rPr>
        <w:t xml:space="preserve">December 8, 2025. </w:t>
      </w: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was in compliance with all required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scheduled payments, inclusive of principal and estimated interest, on the outstanding borrowings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2820" w:type="dxa"/>
        <w:jc w:val="left"/>
        <w:tblInd w:w="0" w:type="dxa"/>
        <w:tblLayout w:type="fixed"/>
        <w:tblCellMar>
          <w:top w:w="0" w:type="dxa"/>
          <w:left w:w="0" w:type="dxa"/>
          <w:bottom w:w="0" w:type="dxa"/>
          <w:right w:w="0" w:type="dxa"/>
        </w:tblCellMar>
      </w:tblPr>
      <w:tblGrid>
        <w:gridCol w:w="455"/>
        <w:gridCol w:w="60"/>
        <w:gridCol w:w="125"/>
        <w:gridCol w:w="2120"/>
        <w:gridCol w:w="60"/>
      </w:tblGrid>
      <w:tr>
        <w:trPr/>
        <w:tc>
          <w:tcPr>
            <w:tcW w:w="4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120"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Fonts w:ascii="Times New Roman" w:hAnsi="Times New Roman"/>
                <w:b/>
                <w:sz w:val="20"/>
              </w:rPr>
              <w:t>As of September 30, 2023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1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1,100</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1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8,291</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51,783</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61,174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4, 2023, </w:t>
      </w:r>
      <w:r>
        <w:rPr>
          <w:rFonts w:ascii="Times New Roman" w:hAnsi="Times New Roman"/>
          <w:caps w:val="false"/>
          <w:smallCaps w:val="false"/>
          <w:sz w:val="20"/>
        </w:rPr>
        <w:t xml:space="preserve">the Company, Venus Concept USA Inc. ("Venus USA"), Venus Concept Canada Corp., Venus Concept Ltd., a wholly owned subsidiary of the Company ("Venus Ltd.") entered into a Loan Modification Agreement with CNB (the "MSLP Loan Modification"), which modified certain terms of the MSLP Loan Agreement (as so modified by the MSLP Loan Modification, the "MSLP Facility"). Refer to Note </w:t>
      </w:r>
      <w:r>
        <w:rPr>
          <w:rStyle w:val="Emphasis"/>
          <w:rFonts w:ascii="Times New Roman" w:hAnsi="Times New Roman"/>
          <w:caps w:val="false"/>
          <w:smallCaps w:val="false"/>
          <w:sz w:val="20"/>
        </w:rPr>
        <w:t>18</w:t>
      </w:r>
      <w:r>
        <w:rPr>
          <w:rFonts w:ascii="Times New Roman" w:hAnsi="Times New Roman"/>
          <w:caps w:val="false"/>
          <w:smallCaps w:val="false"/>
          <w:sz w:val="20"/>
        </w:rPr>
        <w:t> </w:t>
      </w:r>
      <w:r>
        <w:rPr>
          <w:rFonts w:ascii="Times New Roman" w:hAnsi="Times New Roman"/>
          <w:i/>
          <w:caps w:val="false"/>
          <w:smallCaps w:val="false"/>
          <w:sz w:val="20"/>
        </w:rPr>
        <w:t>"Subsequent Events"</w:t>
      </w:r>
      <w:r>
        <w:rPr>
          <w:rFonts w:ascii="Times New Roman" w:hAnsi="Times New Roman"/>
          <w:caps w:val="false"/>
          <w:smallCaps w:val="false"/>
          <w:sz w:val="20"/>
        </w:rPr>
        <w: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MADRYN LONG-TERM DEBT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11, 2016, </w:t>
      </w:r>
      <w:r>
        <w:rPr>
          <w:rFonts w:ascii="Times New Roman" w:hAnsi="Times New Roman"/>
          <w:caps w:val="false"/>
          <w:smallCaps w:val="false"/>
          <w:sz w:val="20"/>
        </w:rPr>
        <w:t>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contemporaneously with the MSLP Loan Agreement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the Company and its subsidiaries, Venus USA, Venus Ltd., Venus Concept Canada, Corp. ("Venus Canada"), and the Madryn Noteholders (as defined below), entered into a Securities Exchange Agreement (the "Exchange Agreement") dated as of </w:t>
      </w:r>
      <w:r>
        <w:rPr>
          <w:rStyle w:val="Emphasis"/>
          <w:rFonts w:ascii="Times New Roman" w:hAnsi="Times New Roman"/>
          <w:caps w:val="false"/>
          <w:smallCaps w:val="false"/>
          <w:sz w:val="20"/>
        </w:rPr>
        <w:t xml:space="preserve">December 8, 2020, </w:t>
      </w:r>
      <w:r>
        <w:rPr>
          <w:rFonts w:ascii="Times New Roman" w:hAnsi="Times New Roman"/>
          <w:caps w:val="false"/>
          <w:smallCaps w:val="false"/>
          <w:sz w:val="20"/>
        </w:rPr>
        <w:t xml:space="preserve">pursuant to which the Company (i) repaid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$42.5 million aggregate principal amount owed under the Madryn Credit Agreement, and (ii) issued,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to Madryn Health Partners (Cayman Master), LP and Madryn Health Partners, LP (the "Madryn Noteholders") secured subordinated convertible notes in the aggregate principal amount of $26.7 million (the "Notes"). The Madryn Credit Agreement was terminated effective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upon the funding and closing of the MSLP Loan and the issuance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the Company had approximately $27.8 million principal and interest of convertible notes outstanding that were issued pursuant to the Exchange Agreement (as defined below).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Notes will accrue interest at a rate of 8.0% per annum from the date of original issuance of the Notes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w:t>
      </w:r>
      <w:r>
        <w:rPr>
          <w:rStyle w:val="Emphasis"/>
          <w:rFonts w:ascii="Times New Roman" w:hAnsi="Times New Roman"/>
          <w:caps w:val="false"/>
          <w:smallCaps w:val="false"/>
          <w:sz w:val="20"/>
        </w:rPr>
        <w:t xml:space="preserve"> December 31, 2020. </w:t>
      </w:r>
      <w:r>
        <w:rPr>
          <w:rFonts w:ascii="Times New Roman" w:hAnsi="Times New Roman"/>
          <w:caps w:val="false"/>
          <w:smallCaps w:val="false"/>
          <w:sz w:val="20"/>
        </w:rPr>
        <w:t>The Notes will mature on </w:t>
      </w:r>
      <w:r>
        <w:rPr>
          <w:rStyle w:val="Emphasis"/>
          <w:rFonts w:ascii="Times New Roman" w:hAnsi="Times New Roman"/>
          <w:caps w:val="false"/>
          <w:smallCaps w:val="false"/>
          <w:sz w:val="20"/>
        </w:rPr>
        <w:t xml:space="preserve"> December 9, 2025, </w:t>
      </w:r>
      <w:r>
        <w:rPr>
          <w:rFonts w:ascii="Times New Roman" w:hAnsi="Times New Roman"/>
          <w:caps w:val="false"/>
          <w:smallCaps w:val="false"/>
          <w:sz w:val="20"/>
        </w:rPr>
        <w:t xml:space="preserve">unless earlier redeemed or converted. In connection with the Exchange Agreement, the Company also entered into, by and among the Company, Venus USA, Venus Canada, Venus Ltd., and the Madryn Noteholders, (i) a Guaranty and Security Agreement dated as of </w:t>
      </w:r>
      <w:r>
        <w:rPr>
          <w:rStyle w:val="Emphasis"/>
          <w:rFonts w:ascii="Times New Roman" w:hAnsi="Times New Roman"/>
          <w:caps w:val="false"/>
          <w:smallCaps w:val="false"/>
          <w:sz w:val="20"/>
        </w:rPr>
        <w:t>December 9, 2020 (</w:t>
      </w:r>
      <w:r>
        <w:rPr>
          <w:rFonts w:ascii="Times New Roman" w:hAnsi="Times New Roman"/>
          <w:caps w:val="false"/>
          <w:smallCaps w:val="false"/>
          <w:sz w:val="20"/>
        </w:rPr>
        <w:t xml:space="preserve">the "Madryn Security Agreement"), pursuant to which the Company agreed to grant Madryn a security interest in substantially all of its assets to secure the obligations under the Notes and (ii) a Subordination of Debt Agreement dated as of </w:t>
      </w:r>
      <w:r>
        <w:rPr>
          <w:rStyle w:val="Emphasis"/>
          <w:rFonts w:ascii="Times New Roman" w:hAnsi="Times New Roman"/>
          <w:caps w:val="false"/>
          <w:smallCaps w:val="false"/>
          <w:sz w:val="20"/>
        </w:rPr>
        <w:t>December 9, 2020 (</w:t>
      </w:r>
      <w:r>
        <w:rPr>
          <w:rFonts w:ascii="Times New Roman" w:hAnsi="Times New Roman"/>
          <w:caps w:val="false"/>
          <w:smallCaps w:val="false"/>
          <w:sz w:val="20"/>
        </w:rPr>
        <w:t xml:space="preserve">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pursuant to the MSLP Loan Agreement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the CNB Loan Agreement,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$48.75 per share. In connection with the Notes, the Company recognized interest expense of $557 and $546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In connection with the Notes, the Company recognized interest expense of $1,631 and $1,620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 conversion feature, providing the Madryn Noteholders with a right to receive the Company’s shares upon conversion of the Notes, was qualified for a scope exception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and determined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therefore a nominal value was allocated to the underlying embedded derivative liabilities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scheduled payments, inclusive of principal and interest, on the outstanding borrowings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2820" w:type="dxa"/>
        <w:jc w:val="left"/>
        <w:tblInd w:w="0" w:type="dxa"/>
        <w:tblLayout w:type="fixed"/>
        <w:tblCellMar>
          <w:top w:w="0" w:type="dxa"/>
          <w:left w:w="0" w:type="dxa"/>
          <w:bottom w:w="0" w:type="dxa"/>
          <w:right w:w="0" w:type="dxa"/>
        </w:tblCellMar>
      </w:tblPr>
      <w:tblGrid>
        <w:gridCol w:w="455"/>
        <w:gridCol w:w="60"/>
        <w:gridCol w:w="125"/>
        <w:gridCol w:w="2120"/>
        <w:gridCol w:w="60"/>
      </w:tblGrid>
      <w:tr>
        <w:trPr/>
        <w:tc>
          <w:tcPr>
            <w:tcW w:w="4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120"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Fonts w:ascii="Times New Roman" w:hAnsi="Times New Roman"/>
                <w:b/>
                <w:sz w:val="20"/>
              </w:rPr>
              <w:t>As of September 30, 2023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1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533</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1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1,695</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29,376</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31,604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did not make any principal repayments. Pursuant to consent agreements entered into by and between the Company and certain of its subsidiaries as guarantors, Madryn and CNB as of </w:t>
      </w:r>
      <w:r>
        <w:rPr>
          <w:rStyle w:val="Emphasis"/>
          <w:rFonts w:ascii="Times New Roman" w:hAnsi="Times New Roman"/>
          <w:caps w:val="false"/>
          <w:smallCaps w:val="false"/>
          <w:sz w:val="20"/>
        </w:rPr>
        <w:t xml:space="preserve">June 30, 2023,  July 28,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September 29, 2023, </w:t>
      </w:r>
      <w:r>
        <w:rPr>
          <w:rFonts w:ascii="Times New Roman" w:hAnsi="Times New Roman"/>
          <w:caps w:val="false"/>
          <w:smallCaps w:val="false"/>
          <w:sz w:val="20"/>
        </w:rPr>
        <w:t xml:space="preserve">the Company paid the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payable under the Notes on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Q3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payable under the Notes on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by adding such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Q3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to the outstanding principal of the applicable Notes. Cash payment of the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Q3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interest under the Notes, was deferred until </w:t>
      </w:r>
      <w:r>
        <w:rPr>
          <w:rStyle w:val="Emphasis"/>
          <w:rFonts w:ascii="Times New Roman" w:hAnsi="Times New Roman"/>
          <w:caps w:val="false"/>
          <w:smallCaps w:val="false"/>
          <w:sz w:val="20"/>
        </w:rPr>
        <w:t>October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or such later date as the Madryn Noteholders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confirm from time to time in writing in their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4, 2023, </w:t>
      </w:r>
      <w:r>
        <w:rPr>
          <w:rFonts w:ascii="Times New Roman" w:hAnsi="Times New Roman"/>
          <w:caps w:val="false"/>
          <w:smallCaps w:val="false"/>
          <w:sz w:val="20"/>
        </w:rPr>
        <w:t xml:space="preserve">the Company entered into an Exchange Agreement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Exchange Agreement") with the Madryn Noteholders, pursuant to which the Madryn Noteholders agreed to exchange $26,695,110.58 in aggregate principal amount outstanding under the Notes for (i) $22,791,748.32 in aggregate principal amount of new secured convertible notes of the Company and (ii) 248,755 shares of newly-created convertible preferred stock of the Company, par value $0.0001 per share designated as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Convertible Preferred Stock". Refer to Note </w:t>
      </w:r>
      <w:r>
        <w:rPr>
          <w:rStyle w:val="Emphasis"/>
          <w:rFonts w:ascii="Times New Roman" w:hAnsi="Times New Roman"/>
          <w:caps w:val="false"/>
          <w:smallCaps w:val="false"/>
          <w:sz w:val="20"/>
        </w:rPr>
        <w:t>18</w:t>
      </w:r>
      <w:r>
        <w:rPr>
          <w:rFonts w:ascii="Times New Roman" w:hAnsi="Times New Roman"/>
          <w:caps w:val="false"/>
          <w:smallCaps w:val="false"/>
          <w:sz w:val="20"/>
        </w:rPr>
        <w:t> </w:t>
      </w:r>
      <w:r>
        <w:rPr>
          <w:rFonts w:ascii="Times New Roman" w:hAnsi="Times New Roman"/>
          <w:i/>
          <w:caps w:val="false"/>
          <w:smallCaps w:val="false"/>
          <w:sz w:val="20"/>
        </w:rPr>
        <w:t>"Subsequent Events"</w:t>
      </w:r>
      <w:r>
        <w:rPr>
          <w:rFonts w:ascii="Times New Roman" w:hAnsi="Times New Roman"/>
          <w:caps w:val="false"/>
          <w:smallCaps w:val="false"/>
          <w:sz w:val="20"/>
        </w:rPr>
        <w: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29, 2018, </w:t>
      </w:r>
      <w:r>
        <w:rPr>
          <w:rFonts w:ascii="Times New Roman" w:hAnsi="Times New Roman"/>
          <w:caps w:val="false"/>
          <w:smallCaps w:val="false"/>
          <w:sz w:val="20"/>
        </w:rPr>
        <w:t xml:space="preserve">Venus Ltd. entered into an Amended and Restated Loan Agreement as a guarantor with CNB, as amended on </w:t>
      </w:r>
      <w:r>
        <w:rPr>
          <w:rStyle w:val="Emphasis"/>
          <w:rFonts w:ascii="Times New Roman" w:hAnsi="Times New Roman"/>
          <w:caps w:val="false"/>
          <w:smallCaps w:val="false"/>
          <w:sz w:val="20"/>
        </w:rPr>
        <w:t xml:space="preserve">March 20, 2020, 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26, 2021 (</w:t>
      </w:r>
      <w:r>
        <w:rPr>
          <w:rFonts w:ascii="Times New Roman" w:hAnsi="Times New Roman"/>
          <w:caps w:val="false"/>
          <w:smallCaps w:val="false"/>
          <w:sz w:val="20"/>
        </w:rPr>
        <w:t xml:space="preserve">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w:t>
      </w:r>
      <w:r>
        <w:rPr>
          <w:rStyle w:val="Emphasis"/>
          <w:rFonts w:ascii="Times New Roman" w:hAnsi="Times New Roman"/>
          <w:caps w:val="false"/>
          <w:smallCaps w:val="false"/>
          <w:sz w:val="20"/>
        </w:rPr>
        <w:t xml:space="preserve">August 29, 2018, </w:t>
      </w:r>
      <w:r>
        <w:rPr>
          <w:rFonts w:ascii="Times New Roman" w:hAnsi="Times New Roman"/>
          <w:caps w:val="false"/>
          <w:smallCaps w:val="false"/>
          <w:sz w:val="20"/>
        </w:rPr>
        <w:t xml:space="preserve">as amended on </w:t>
      </w:r>
      <w:r>
        <w:rPr>
          <w:rStyle w:val="Emphasis"/>
          <w:rFonts w:ascii="Times New Roman" w:hAnsi="Times New Roman"/>
          <w:caps w:val="false"/>
          <w:smallCaps w:val="false"/>
          <w:sz w:val="20"/>
        </w:rPr>
        <w:t xml:space="preserve">March 20, 2020, 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26, 2021 (</w:t>
      </w:r>
      <w:r>
        <w:rPr>
          <w:rFonts w:ascii="Times New Roman" w:hAnsi="Times New Roman"/>
          <w:caps w:val="false"/>
          <w:smallCaps w:val="false"/>
          <w:sz w:val="20"/>
        </w:rPr>
        <w:t xml:space="preserve">the “CNB Guaranty”), pursuant to which Venus Ltd. agreed to guaranty the obligations of its subsidiaries under the CNB Loan Agreement. On </w:t>
      </w:r>
      <w:r>
        <w:rPr>
          <w:rStyle w:val="Emphasis"/>
          <w:rFonts w:ascii="Times New Roman" w:hAnsi="Times New Roman"/>
          <w:caps w:val="false"/>
          <w:smallCaps w:val="false"/>
          <w:sz w:val="20"/>
        </w:rPr>
        <w:t xml:space="preserve">March 20, 2020, </w:t>
      </w:r>
      <w:r>
        <w:rPr>
          <w:rFonts w:ascii="Times New Roman" w:hAnsi="Times New Roman"/>
          <w:caps w:val="false"/>
          <w:smallCaps w:val="false"/>
          <w:sz w:val="20"/>
        </w:rPr>
        <w:t xml:space="preserve">the Company also entered into a Security Agreement with CNB (the “CNB Security Agreement”), as amended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pursuant to which it agreed to grant CNB a security interest in substantially all of our assets to secure the obligations under the CNB Loan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w:t>
      </w:r>
      <w:r>
        <w:rPr>
          <w:rStyle w:val="Emphasis"/>
          <w:rFonts w:ascii="Times New Roman" w:hAnsi="Times New Roman"/>
          <w:caps w:val="false"/>
          <w:smallCaps w:val="false"/>
          <w:sz w:val="20"/>
        </w:rPr>
        <w:t xml:space="preserve"> January 25,  February 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March 25,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the Company, Venus USA and Venus Canada entered into a Fourth Amended and Restated Loan Agreement (the “Amended CNB Loan Agreement”) with CNB, pursuant to which, among other things, (i) the maximum principal amount the revolving credit facility was reduced from $10,000 to $5,000 at the LIBOR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rate plus 3.25%, subject to a minimum LIBOR rate floor of 0.50%, and (ii) beginning </w:t>
      </w:r>
      <w:r>
        <w:rPr>
          <w:rStyle w:val="Emphasis"/>
          <w:rFonts w:ascii="Times New Roman" w:hAnsi="Times New Roman"/>
          <w:caps w:val="false"/>
          <w:smallCaps w:val="false"/>
          <w:sz w:val="20"/>
        </w:rPr>
        <w:t xml:space="preserve">December 10, 2021, </w:t>
      </w:r>
      <w:r>
        <w:rPr>
          <w:rFonts w:ascii="Times New Roman" w:hAnsi="Times New Roman"/>
          <w:caps w:val="false"/>
          <w:smallCaps w:val="false"/>
          <w:sz w:val="20"/>
        </w:rPr>
        <w:t xml:space="preserve">the cash deposit requirement was reduced from $3,000 to $1,500, to be maintained with CNB at all times during the term of the Amended CNB Loan Agreement. The Amended CNB Loan Agreement is secured by substantially all of the Company’s assets and the assets of certain of its subsidiaries. On </w:t>
      </w:r>
      <w:r>
        <w:rPr>
          <w:rStyle w:val="Emphasis"/>
          <w:rFonts w:ascii="Times New Roman" w:hAnsi="Times New Roman"/>
          <w:caps w:val="false"/>
          <w:smallCaps w:val="false"/>
          <w:sz w:val="20"/>
        </w:rPr>
        <w:t xml:space="preserve">February 22, 2023, </w:t>
      </w:r>
      <w:r>
        <w:rPr>
          <w:rFonts w:ascii="Times New Roman" w:hAnsi="Times New Roman"/>
          <w:caps w:val="false"/>
          <w:smallCaps w:val="false"/>
          <w:sz w:val="20"/>
        </w:rPr>
        <w:t xml:space="preserve">CNB notified the Company that it would be temporarily restricting advances under the Fourth Amended and Restated CNB Loan Agreement pursuant to its rights under Section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agreement. CNB and the Company continue to discuss lifting the restrictions on advances under the credit facility. However, CNB and the Company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agreed to the criteria the Company must satisfy in order to lift the restrictions on advances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was in compliance with all required covenants. An event of default under this agreement would cause a default under the MSLP Loan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Amended CNB Loan Agreement, the Company, Venus USA and Venus Canada issued a promissory note dated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in favor of CNB (the “CNB Note”) in the amount of $5,000 with a maturity date of </w:t>
      </w:r>
      <w:r>
        <w:rPr>
          <w:rStyle w:val="Emphasis"/>
          <w:rFonts w:ascii="Times New Roman" w:hAnsi="Times New Roman"/>
          <w:caps w:val="false"/>
          <w:smallCaps w:val="false"/>
          <w:sz w:val="20"/>
        </w:rPr>
        <w:t xml:space="preserve"> July 24, 2023 </w:t>
      </w:r>
      <w:r>
        <w:rPr>
          <w:rFonts w:ascii="Times New Roman" w:hAnsi="Times New Roman"/>
          <w:caps w:val="false"/>
          <w:smallCaps w:val="false"/>
          <w:sz w:val="20"/>
        </w:rPr>
        <w:t xml:space="preserve">and the obligations of the Company pursuant to certain of the Company’s outstanding promissory notes were reaffirmed as subordinated to the indebtedness of the Company owing to CNB pursuant to a Supplement to Subordination of Debt Agreements dated as of </w:t>
      </w:r>
      <w:r>
        <w:rPr>
          <w:rStyle w:val="Emphasis"/>
          <w:rFonts w:ascii="Times New Roman" w:hAnsi="Times New Roman"/>
          <w:caps w:val="false"/>
          <w:smallCaps w:val="false"/>
          <w:sz w:val="20"/>
        </w:rPr>
        <w:t>August 26, 2021 </w:t>
      </w:r>
      <w:r>
        <w:rPr>
          <w:rFonts w:ascii="Times New Roman" w:hAnsi="Times New Roman"/>
          <w:caps w:val="false"/>
          <w:smallCaps w:val="false"/>
          <w:sz w:val="20"/>
        </w:rPr>
        <w:t>by and among Madryn Health Partners, LP, Madryn Health Partners (Cayman Master), LP, the Company and CNB.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COMMON STOCK RESERVED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pStyle w:val="TextBody"/>
        <w:bidi w:val="0"/>
        <w:spacing w:before="0" w:after="0"/>
        <w:ind w:left="0" w:right="0" w:hanging="0"/>
        <w:jc w:val="left"/>
        <w:rPr>
          <w:caps w:val="false"/>
          <w:smallCaps w:val="false"/>
        </w:rPr>
      </w:pPr>
      <w:r>
        <w:rPr>
          <w:caps w:val="false"/>
          <w:smallCaps w:val="false"/>
        </w:rPr>
        <w:t> </w:t>
      </w:r>
    </w:p>
    <w:tbl>
      <w:tblPr>
        <w:tblW w:w="9643" w:type="dxa"/>
        <w:jc w:val="left"/>
        <w:tblInd w:w="0" w:type="dxa"/>
        <w:tblLayout w:type="fixed"/>
        <w:tblCellMar>
          <w:top w:w="0" w:type="dxa"/>
          <w:left w:w="0" w:type="dxa"/>
          <w:bottom w:w="0" w:type="dxa"/>
          <w:right w:w="0" w:type="dxa"/>
        </w:tblCellMar>
      </w:tblPr>
      <w:tblGrid>
        <w:gridCol w:w="6140"/>
        <w:gridCol w:w="60"/>
        <w:gridCol w:w="98"/>
        <w:gridCol w:w="1556"/>
        <w:gridCol w:w="60"/>
        <w:gridCol w:w="60"/>
        <w:gridCol w:w="106"/>
        <w:gridCol w:w="1503"/>
        <w:gridCol w:w="60"/>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common stock 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5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1,061,930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stock options and RSUs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55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875,524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shares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55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4,985,608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2,123,443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conversion of future non-voting preferred share issuance</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556"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80,617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conversion of future voting preferred share issuance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55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5,747,826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609,891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future option grants and RSUs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55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24,999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Lincoln Park</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55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1,054,299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reserved for Madryn Noteholders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5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570,088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547,714</w:t>
            </w:r>
          </w:p>
        </w:tc>
        <w:tc>
          <w:tcPr>
            <w:tcW w:w="6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common stock reserved for issuance</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14,158,087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6,378,417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14.</w:t>
      </w:r>
      <w:r>
        <w:rPr>
          <w:rFonts w:ascii="Times New Roman;Times;serif" w:hAnsi="Times New Roman;Times;serif"/>
          <w:b/>
          <w:caps w:val="false"/>
          <w:smallCaps w:val="false"/>
          <w:sz w:val="20"/>
        </w:rPr>
        <w:t xml:space="preserv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common stock confers upon its holders the following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right to participate and vote in the Company’s stockholder meetings, whether annual or special. Each share will entitle its holder, when attending and participating in the voting in person or via proxy, to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to a share in the distribution of dividends, whether in cash or in the form of bonus shares, the distribution of assets or any other distribution pro rata to the par value of the shares held by them;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right to a share in the distribution of the Company’s excess assets upon liquidation pro rata to the par value of the shares held by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annual and special meeting of the Company’s shareholders held on </w:t>
      </w:r>
      <w:r>
        <w:rPr>
          <w:rStyle w:val="Emphasis"/>
          <w:rFonts w:ascii="Times New Roman" w:hAnsi="Times New Roman"/>
          <w:caps w:val="false"/>
          <w:smallCaps w:val="false"/>
          <w:sz w:val="20"/>
        </w:rPr>
        <w:t xml:space="preserve"> May 10, 2023, </w:t>
      </w:r>
      <w:r>
        <w:rPr>
          <w:rFonts w:ascii="Times New Roman" w:hAnsi="Times New Roman"/>
          <w:caps w:val="false"/>
          <w:smallCaps w:val="false"/>
          <w:sz w:val="20"/>
        </w:rPr>
        <w:t>the Company’s shareholders granted the Company’s Board of Directors discretionary authority to implement the Reverse Stock Split and to fix the specific consolidation ratio within a range of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five</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-for-5) to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fifteen</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-for-15). On </w:t>
      </w:r>
      <w:r>
        <w:rPr>
          <w:rStyle w:val="Emphasis"/>
          <w:rFonts w:ascii="Times New Roman" w:hAnsi="Times New Roman"/>
          <w:caps w:val="false"/>
          <w:smallCaps w:val="false"/>
          <w:sz w:val="20"/>
        </w:rPr>
        <w:t xml:space="preserve"> May 11, 2023, </w:t>
      </w:r>
      <w:r>
        <w:rPr>
          <w:rFonts w:ascii="Times New Roman" w:hAnsi="Times New Roman"/>
          <w:caps w:val="false"/>
          <w:smallCaps w:val="false"/>
          <w:sz w:val="20"/>
        </w:rPr>
        <w:t>the Company filed an amendment to the Company’s Certificate of Incorporation to implement the Reverse Stock Split based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fifteen</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-for-15) consolidation ratio. The Company’s common shares began trading on the Nasdaq Capital Market on a reverse split-adjusted basis under the Company’s existing trade symbol “VERO” at the opening of the market on </w:t>
      </w:r>
      <w:r>
        <w:rPr>
          <w:rStyle w:val="Emphasis"/>
          <w:rFonts w:ascii="Times New Roman" w:hAnsi="Times New Roman"/>
          <w:caps w:val="false"/>
          <w:smallCaps w:val="false"/>
          <w:sz w:val="20"/>
        </w:rPr>
        <w:t xml:space="preserve"> May 12, 2023. </w:t>
      </w:r>
      <w:r>
        <w:rPr>
          <w:rFonts w:ascii="Times New Roman" w:hAnsi="Times New Roman"/>
          <w:caps w:val="false"/>
          <w:smallCaps w:val="false"/>
          <w:sz w:val="20"/>
        </w:rPr>
        <w:t>In accordance with U.S. GAAP, the change has been applied retroactively.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Purchase Agreement with Lincoln Park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June 16, 2020, </w:t>
      </w:r>
      <w:r>
        <w:rPr>
          <w:rFonts w:ascii="Times New Roman;Times;serif" w:hAnsi="Times New Roman;Times;serif"/>
          <w:sz w:val="20"/>
        </w:rPr>
        <w:t xml:space="preserve">the Company entered into the Equity Purchase Agreement with Lincoln Park, which provides that, upon the terms and subject to the conditions and limitations set forth therein,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w:t>
      </w:r>
      <w:r>
        <w:rPr>
          <w:rStyle w:val="Emphasis"/>
          <w:rFonts w:ascii="Times New Roman;Times;serif" w:hAnsi="Times New Roman;Times;serif"/>
          <w:sz w:val="20"/>
        </w:rPr>
        <w:t xml:space="preserve">may </w:t>
      </w:r>
      <w:r>
        <w:rPr>
          <w:rFonts w:ascii="Times New Roman;Times;serif" w:hAnsi="Times New Roman;Times;serif"/>
          <w:sz w:val="20"/>
        </w:rPr>
        <w:t xml:space="preserve">in </w:t>
      </w:r>
      <w:r>
        <w:rPr>
          <w:rStyle w:val="Emphasis"/>
          <w:rFonts w:ascii="Times New Roman;Times;serif" w:hAnsi="Times New Roman;Times;serif"/>
          <w:sz w:val="20"/>
        </w:rPr>
        <w:t>no</w:t>
      </w:r>
      <w:r>
        <w:rPr>
          <w:rFonts w:ascii="Times New Roman;Times;serif" w:hAnsi="Times New Roman;Times;serif"/>
          <w:sz w:val="20"/>
        </w:rPr>
        <w:t xml:space="preserve">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w:t>
      </w:r>
      <w:r>
        <w:rPr>
          <w:rStyle w:val="Emphasis"/>
          <w:rFonts w:ascii="Times New Roman;Times;serif" w:hAnsi="Times New Roman;Times;serif"/>
          <w:sz w:val="20"/>
        </w:rPr>
        <w:t>no</w:t>
      </w:r>
      <w:r>
        <w:rPr>
          <w:rFonts w:ascii="Times New Roman;Times;serif" w:hAnsi="Times New Roman;Times;serif"/>
          <w:sz w:val="20"/>
        </w:rPr>
        <w:t xml:space="preserve"> longer apply, or (ii) with Equity Purchase Agreement equals or exceeds $59.6325 per share (subject to adjustment) (which represents the minimum price, as defined under Nasdaq Stock Market LLC ("Nasdaq") Listing Rule </w:t>
      </w:r>
      <w:r>
        <w:rPr>
          <w:rStyle w:val="Emphasis"/>
          <w:rFonts w:ascii="Times New Roman;Times;serif" w:hAnsi="Times New Roman;Times;serif"/>
          <w:sz w:val="20"/>
        </w:rPr>
        <w:t>5635</w:t>
      </w:r>
      <w:r>
        <w:rPr>
          <w:rFonts w:ascii="Times New Roman;Times;serif" w:hAnsi="Times New Roman;Times;serif"/>
          <w:sz w:val="20"/>
        </w:rPr>
        <w:t xml:space="preserve">(d), on the Nasdaq Global Market immediately preceding the signing of the Equity Purchase Agreement, such that the transactions contemplated by the Equity Purchase Agreement are exempt from the Exchange Cap limitation under applicable Nasdaq rules. Also, at </w:t>
      </w:r>
      <w:r>
        <w:rPr>
          <w:rStyle w:val="Emphasis"/>
          <w:rFonts w:ascii="Times New Roman;Times;serif" w:hAnsi="Times New Roman;Times;serif"/>
          <w:sz w:val="20"/>
        </w:rPr>
        <w:t>no</w:t>
      </w:r>
      <w:r>
        <w:rPr>
          <w:rFonts w:ascii="Times New Roman;Times;serif" w:hAnsi="Times New Roman;Times;serif"/>
          <w:sz w:val="20"/>
        </w:rPr>
        <w:t xml:space="preserve"> time </w:t>
      </w:r>
      <w:r>
        <w:rPr>
          <w:rStyle w:val="Emphasis"/>
          <w:rFonts w:ascii="Times New Roman;Times;serif" w:hAnsi="Times New Roman;Times;serif"/>
          <w:sz w:val="20"/>
        </w:rPr>
        <w:t xml:space="preserve">may </w:t>
      </w:r>
      <w:r>
        <w:rPr>
          <w:rFonts w:ascii="Times New Roman;Times;serif" w:hAnsi="Times New Roman;Times;serif"/>
          <w:sz w:val="20"/>
        </w:rPr>
        <w:t>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From commencement to expiry on </w:t>
      </w:r>
      <w:r>
        <w:rPr>
          <w:rStyle w:val="Emphasis"/>
          <w:rFonts w:ascii="Times New Roman;Times;serif" w:hAnsi="Times New Roman;Times;serif"/>
          <w:caps w:val="false"/>
          <w:smallCaps w:val="false"/>
          <w:sz w:val="20"/>
        </w:rPr>
        <w:t xml:space="preserve">July 1, 2022, </w:t>
      </w:r>
      <w:r>
        <w:rPr>
          <w:rFonts w:ascii="Times New Roman;Times;serif" w:hAnsi="Times New Roman;Times;serif"/>
          <w:caps w:val="false"/>
          <w:smallCaps w:val="false"/>
          <w:sz w:val="20"/>
        </w:rPr>
        <w:t xml:space="preserve">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the Company issued 26,666 shares of its common stock and the proceeds from common stock issuances as of </w:t>
      </w:r>
      <w:r>
        <w:rPr>
          <w:rStyle w:val="Emphasis"/>
          <w:rFonts w:ascii="Times New Roman;Times;serif" w:hAnsi="Times New Roman;Times;serif"/>
          <w:caps w:val="false"/>
          <w:smallCaps w:val="false"/>
          <w:sz w:val="20"/>
        </w:rPr>
        <w:t>December 31,</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were $272, with no issuance costs. The proceeds in the amount of $272 were recorded in the condensed consolidated statements of cash flows as net cash proceeds from issuance of common stock. The Equity Purchase Agreement expired on </w:t>
      </w:r>
      <w:r>
        <w:rPr>
          <w:rStyle w:val="Emphasis"/>
          <w:rFonts w:ascii="Times New Roman;Times;serif" w:hAnsi="Times New Roman;Times;serif"/>
          <w:caps w:val="false"/>
          <w:smallCaps w:val="false"/>
          <w:sz w:val="20"/>
        </w:rPr>
        <w:t xml:space="preserve">July 1, 2022, </w:t>
      </w:r>
      <w:r>
        <w:rPr>
          <w:rFonts w:ascii="Times New Roman;Times;serif" w:hAnsi="Times New Roman;Times;serif"/>
          <w:caps w:val="false"/>
          <w:smallCaps w:val="false"/>
          <w:sz w:val="20"/>
        </w:rPr>
        <w:t xml:space="preserve">and was replaced with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LPC Purchase Agreement discussed below.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Times;serif" w:hAnsi="Times New Roman;Times;serif"/>
          <w:i/>
          <w:sz w:val="20"/>
        </w:rPr>
        <w:t>2022</w:t>
      </w:r>
      <w:r>
        <w:rPr>
          <w:rFonts w:ascii="Times New Roman;Times;serif" w:hAnsi="Times New Roman;Times;serif"/>
          <w:i/>
          <w:sz w:val="20"/>
        </w:rPr>
        <w:t xml:space="preserve"> LPC Purchase Agreement with Lincoln Park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12, 2022, </w:t>
      </w:r>
      <w:r>
        <w:rPr>
          <w:rFonts w:ascii="Times New Roman;Times;serif" w:hAnsi="Times New Roman;Times;serif"/>
          <w:sz w:val="20"/>
        </w:rPr>
        <w:t xml:space="preserve">the Company entered into the </w:t>
      </w:r>
      <w:r>
        <w:rPr>
          <w:rStyle w:val="Emphasis"/>
          <w:rFonts w:ascii="Times New Roman;Times;serif" w:hAnsi="Times New Roman;Times;serif"/>
          <w:sz w:val="20"/>
        </w:rPr>
        <w:t>2022</w:t>
      </w:r>
      <w:r>
        <w:rPr>
          <w:rFonts w:ascii="Times New Roman;Times;serif" w:hAnsi="Times New Roman;Times;serif"/>
          <w:sz w:val="20"/>
        </w:rPr>
        <w:t xml:space="preserve"> LPC Purchase Agreement with Lincoln Park, as the Equity Purchase Agreement expired on </w:t>
      </w:r>
      <w:r>
        <w:rPr>
          <w:rStyle w:val="Emphasis"/>
          <w:rFonts w:ascii="Times New Roman;Times;serif" w:hAnsi="Times New Roman;Times;serif"/>
          <w:sz w:val="20"/>
        </w:rPr>
        <w:t xml:space="preserve">July 1, 2022. </w:t>
      </w:r>
      <w:r>
        <w:rPr>
          <w:rFonts w:ascii="Times New Roman;Times;serif" w:hAnsi="Times New Roman;Times;serif"/>
          <w:sz w:val="20"/>
        </w:rPr>
        <w:t xml:space="preserve">The </w:t>
      </w:r>
      <w:r>
        <w:rPr>
          <w:rStyle w:val="Emphasis"/>
          <w:rFonts w:ascii="Times New Roman;Times;serif" w:hAnsi="Times New Roman;Times;serif"/>
          <w:sz w:val="20"/>
        </w:rPr>
        <w:t>2022</w:t>
      </w:r>
      <w:r>
        <w:rPr>
          <w:rFonts w:ascii="Times New Roman;Times;serif" w:hAnsi="Times New Roman;Times;serif"/>
          <w:sz w:val="20"/>
        </w:rPr>
        <w:t xml:space="preserve"> LPC Purchase Agreement provides that, upon the terms and subject to the conditions and limitations set forth therein,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sell to Lincoln Park up to $11,000 of shares (the “Purchase Shares”) of its common stock, par value $0.0001 per share. Concurrently with entering into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Company also entered into a registration rights agreement (the </w:t>
      </w:r>
      <w:r>
        <w:rPr>
          <w:rStyle w:val="Emphasis"/>
          <w:rFonts w:ascii="Times New Roman;Times;serif" w:hAnsi="Times New Roman;Times;serif"/>
          <w:sz w:val="20"/>
        </w:rPr>
        <w:t>“2022</w:t>
      </w:r>
      <w:r>
        <w:rPr>
          <w:rFonts w:ascii="Times New Roman;Times;serif" w:hAnsi="Times New Roman;Times;serif"/>
          <w:sz w:val="20"/>
        </w:rPr>
        <w:t xml:space="preserve"> LPC Registration Rights Agreement”) with Lincoln Park, pursuant to which it agreed to provide Lincoln Park with certain registration rights related to the shares issued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aggregate number of shares that the Company can issue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w:t>
      </w:r>
      <w:r>
        <w:rPr>
          <w:rStyle w:val="Emphasis"/>
          <w:rFonts w:ascii="Times New Roman;Times;serif" w:hAnsi="Times New Roman;Times;serif"/>
          <w:sz w:val="20"/>
        </w:rPr>
        <w:t>may not</w:t>
      </w:r>
      <w:r>
        <w:rPr>
          <w:rFonts w:ascii="Times New Roman;Times;serif" w:hAnsi="Times New Roman;Times;serif"/>
          <w:sz w:val="20"/>
        </w:rPr>
        <w:t xml:space="preserve"> exceed 858,224 shares of common stock, which is equal to 19.99% of the shares of common stock outstanding immediately prior to the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w:t>
      </w:r>
      <w:r>
        <w:rPr>
          <w:rStyle w:val="Emphasis"/>
          <w:rFonts w:ascii="Times New Roman;Times;serif" w:hAnsi="Times New Roman;Times;serif"/>
          <w:sz w:val="20"/>
        </w:rPr>
        <w:t>“2022</w:t>
      </w:r>
      <w:r>
        <w:rPr>
          <w:rFonts w:ascii="Times New Roman;Times;serif" w:hAnsi="Times New Roman;Times;serif"/>
          <w:sz w:val="20"/>
        </w:rPr>
        <w:t xml:space="preserve"> Exchange Cap”), unless (i) stockholder approval is obtained to issue shares of common stock in excess of the </w:t>
      </w:r>
      <w:r>
        <w:rPr>
          <w:rStyle w:val="Emphasis"/>
          <w:rFonts w:ascii="Times New Roman;Times;serif" w:hAnsi="Times New Roman;Times;serif"/>
          <w:sz w:val="20"/>
        </w:rPr>
        <w:t>2022</w:t>
      </w:r>
      <w:r>
        <w:rPr>
          <w:rFonts w:ascii="Times New Roman;Times;serif" w:hAnsi="Times New Roman;Times;serif"/>
          <w:sz w:val="20"/>
        </w:rPr>
        <w:t xml:space="preserve"> Exchange Cap, in which case the </w:t>
      </w:r>
      <w:r>
        <w:rPr>
          <w:rStyle w:val="Emphasis"/>
          <w:rFonts w:ascii="Times New Roman;Times;serif" w:hAnsi="Times New Roman;Times;serif"/>
          <w:sz w:val="20"/>
        </w:rPr>
        <w:t>2022</w:t>
      </w:r>
      <w:r>
        <w:rPr>
          <w:rFonts w:ascii="Times New Roman;Times;serif" w:hAnsi="Times New Roman;Times;serif"/>
          <w:sz w:val="20"/>
        </w:rPr>
        <w:t xml:space="preserve"> Exchange Cap will </w:t>
      </w:r>
      <w:r>
        <w:rPr>
          <w:rStyle w:val="Emphasis"/>
          <w:rFonts w:ascii="Times New Roman;Times;serif" w:hAnsi="Times New Roman;Times;serif"/>
          <w:sz w:val="20"/>
        </w:rPr>
        <w:t>no</w:t>
      </w:r>
      <w:r>
        <w:rPr>
          <w:rFonts w:ascii="Times New Roman;Times;serif" w:hAnsi="Times New Roman;Times;serif"/>
          <w:sz w:val="20"/>
        </w:rPr>
        <w:t xml:space="preserve"> longer apply, or (ii) the average price of all applicable sales of common stock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equals or exceeds the lower of (i) the Nasdaq official closing price immediately preceding the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or (ii) the arithmetic average of the </w:t>
      </w:r>
      <w:r>
        <w:rPr>
          <w:rStyle w:val="Emphasis"/>
          <w:rFonts w:ascii="Times New Roman;Times;serif" w:hAnsi="Times New Roman;Times;serif"/>
          <w:sz w:val="20"/>
        </w:rPr>
        <w:t>five</w:t>
      </w:r>
      <w:r>
        <w:rPr>
          <w:rFonts w:ascii="Times New Roman;Times;serif" w:hAnsi="Times New Roman;Times;serif"/>
          <w:sz w:val="20"/>
        </w:rPr>
        <w:t xml:space="preserve"> Nasdaq official closing prices for the common stock immediately preceding the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plus an incremental amount to take into account the issuance of the commitment shares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such that the transactions contemplated by the </w:t>
      </w:r>
      <w:r>
        <w:rPr>
          <w:rStyle w:val="Emphasis"/>
          <w:rFonts w:ascii="Times New Roman;Times;serif" w:hAnsi="Times New Roman;Times;serif"/>
          <w:sz w:val="20"/>
        </w:rPr>
        <w:t>2022</w:t>
      </w:r>
      <w:r>
        <w:rPr>
          <w:rFonts w:ascii="Times New Roman;Times;serif" w:hAnsi="Times New Roman;Times;serif"/>
          <w:sz w:val="20"/>
        </w:rPr>
        <w:t xml:space="preserve"> LPC Purchase Agreement are exempt from the </w:t>
      </w:r>
      <w:r>
        <w:rPr>
          <w:rStyle w:val="Emphasis"/>
          <w:rFonts w:ascii="Times New Roman;Times;serif" w:hAnsi="Times New Roman;Times;serif"/>
          <w:sz w:val="20"/>
        </w:rPr>
        <w:t>2022</w:t>
      </w:r>
      <w:r>
        <w:rPr>
          <w:rFonts w:ascii="Times New Roman;Times;serif" w:hAnsi="Times New Roman;Times;serif"/>
          <w:sz w:val="20"/>
        </w:rPr>
        <w:t xml:space="preserve"> Exchange Cap limitation under applicable Nasdaq rules. In all instances, the Company </w:t>
      </w:r>
      <w:r>
        <w:rPr>
          <w:rStyle w:val="Emphasis"/>
          <w:rFonts w:ascii="Times New Roman;Times;serif" w:hAnsi="Times New Roman;Times;serif"/>
          <w:sz w:val="20"/>
        </w:rPr>
        <w:t>may not</w:t>
      </w:r>
      <w:r>
        <w:rPr>
          <w:rFonts w:ascii="Times New Roman;Times;serif" w:hAnsi="Times New Roman;Times;serif"/>
          <w:sz w:val="20"/>
        </w:rPr>
        <w:t xml:space="preserve"> sell shares of its common stock to Lincoln Park under the </w:t>
      </w:r>
      <w:r>
        <w:rPr>
          <w:rStyle w:val="Emphasis"/>
          <w:rFonts w:ascii="Times New Roman;Times;serif" w:hAnsi="Times New Roman;Times;serif"/>
          <w:sz w:val="20"/>
        </w:rPr>
        <w:t>2022</w:t>
      </w:r>
      <w:r>
        <w:rPr>
          <w:rFonts w:ascii="Times New Roman;Times;serif" w:hAnsi="Times New Roman;Times;serif"/>
          <w:sz w:val="20"/>
        </w:rPr>
        <w:t xml:space="preserve"> LPC Purchase Agreement if it would result in Lincoln Park beneficially owning more than 9.99% of the outstanding shares of common stock. Upon execution of the </w:t>
      </w:r>
      <w:r>
        <w:rPr>
          <w:rStyle w:val="Emphasis"/>
          <w:rFonts w:ascii="Times New Roman;Times;serif" w:hAnsi="Times New Roman;Times;serif"/>
          <w:sz w:val="20"/>
        </w:rPr>
        <w:t>2022</w:t>
      </w:r>
      <w:r>
        <w:rPr>
          <w:rFonts w:ascii="Times New Roman;Times;serif" w:hAnsi="Times New Roman;Times;serif"/>
          <w:sz w:val="20"/>
        </w:rPr>
        <w:t xml:space="preserve"> LPC Purchase Agreement, the Company issued 45,701 shares of common stock to Lincoln Park as a commitment fee in connection with entering into the </w:t>
      </w:r>
      <w:r>
        <w:rPr>
          <w:rStyle w:val="Emphasis"/>
          <w:rFonts w:ascii="Times New Roman;Times;serif" w:hAnsi="Times New Roman;Times;serif"/>
          <w:sz w:val="20"/>
        </w:rPr>
        <w:t>2022</w:t>
      </w:r>
      <w:r>
        <w:rPr>
          <w:rFonts w:ascii="Times New Roman;Times;serif" w:hAnsi="Times New Roman;Times;serif"/>
          <w:sz w:val="20"/>
        </w:rPr>
        <w:t xml:space="preserve"> LPC Purchase Agreement at the total amount of $330. Through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the Company issued an additional 433,336 shares of common stock to Lincoln Park at an average price of $4.54 per share for a total value of $1,970. During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the Company issued an additional 343,116 shares of common stock to Lincoln Park at an average price of $3.23 per share, for a total value of $1,109. Further information regarding the </w:t>
      </w:r>
      <w:r>
        <w:rPr>
          <w:rStyle w:val="Emphasis"/>
          <w:rFonts w:ascii="Times New Roman;Times;serif" w:hAnsi="Times New Roman;Times;serif"/>
          <w:sz w:val="20"/>
        </w:rPr>
        <w:t>2022</w:t>
      </w:r>
      <w:r>
        <w:rPr>
          <w:rFonts w:ascii="Times New Roman;Times;serif" w:hAnsi="Times New Roman;Times;serif"/>
          <w:sz w:val="20"/>
        </w:rPr>
        <w:t xml:space="preserve"> LPC Purchase Agreement is contained in the Company’s Form </w:t>
      </w:r>
      <w:r>
        <w:rPr>
          <w:rStyle w:val="Emphasis"/>
          <w:rFonts w:ascii="Times New Roman;Times;serif" w:hAnsi="Times New Roman;Times;serif"/>
          <w:sz w:val="20"/>
        </w:rPr>
        <w:t>8</w:t>
      </w:r>
      <w:r>
        <w:rPr>
          <w:rFonts w:ascii="Times New Roman;Times;serif" w:hAnsi="Times New Roman;Times;serif"/>
          <w:sz w:val="20"/>
        </w:rPr>
        <w:t xml:space="preserve">-K filed with the SEC on </w:t>
      </w:r>
      <w:r>
        <w:rPr>
          <w:rStyle w:val="Emphasis"/>
          <w:rFonts w:ascii="Times New Roman;Times;serif" w:hAnsi="Times New Roman;Times;serif"/>
          <w:sz w:val="20"/>
        </w:rPr>
        <w:t>July 12,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The </w:t>
      </w:r>
      <w:r>
        <w:rPr>
          <w:rStyle w:val="Emphasis"/>
          <w:rFonts w:ascii="Times New Roman;Times;serif" w:hAnsi="Times New Roman;Times;serif"/>
          <w:i/>
          <w:caps w:val="false"/>
          <w:smallCaps w:val="false"/>
          <w:sz w:val="20"/>
        </w:rPr>
        <w:t>2021</w:t>
      </w:r>
      <w:r>
        <w:rPr>
          <w:rFonts w:ascii="Times New Roman;Times;serif" w:hAnsi="Times New Roman;Times;serif"/>
          <w:i/>
          <w:caps w:val="false"/>
          <w:smallCaps w:val="false"/>
          <w:sz w:val="20"/>
        </w:rPr>
        <w:t>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December 15, 2021, </w:t>
      </w:r>
      <w:r>
        <w:rPr>
          <w:rFonts w:ascii="Times New Roman;Times;serif" w:hAnsi="Times New Roman;Times;serif"/>
          <w:caps w:val="false"/>
          <w:smallCaps w:val="false"/>
          <w:sz w:val="20"/>
        </w:rPr>
        <w:t xml:space="preserve">we entered into a securities purchase agreement pursuant to which we issued and sold to certain investors (collectively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Investors") an aggregate of 653,894 shares of our common stock and 252,717 shares of our non-voting convertible preferred stock (the “Non-Voting Preferred Stock”), par value $0.0001 per share, which are convertible upon receipt of a valid conversion notice by the Company from a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Investor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The gross proceeds from the securities sold in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was $17.0 million. The costs incurred with respect to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totaled $0.3 million and were recorded as a reduction of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Private Placement proceeds in the consolidated statements of stockholders’ equity. These Non-Voting Preferred Stock shares were subsequently converted to common stock upon issuance of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Preferred Stock issued in </w:t>
      </w:r>
      <w:r>
        <w:rPr>
          <w:rStyle w:val="Emphasis"/>
          <w:rFonts w:ascii="Times New Roman;Times;serif" w:hAnsi="Times New Roman;Times;serif"/>
          <w:i/>
          <w:caps w:val="false"/>
          <w:smallCaps w:val="false"/>
          <w:sz w:val="20"/>
        </w:rPr>
        <w:t>December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As noted above, in </w:t>
      </w:r>
      <w:r>
        <w:rPr>
          <w:rStyle w:val="Emphasis"/>
          <w:rFonts w:ascii="Times New Roman;Times;serif" w:hAnsi="Times New Roman;Times;serif"/>
          <w:caps w:val="false"/>
          <w:smallCaps w:val="false"/>
          <w:sz w:val="20"/>
        </w:rPr>
        <w:t xml:space="preserve">December 2021, </w:t>
      </w:r>
      <w:r>
        <w:rPr>
          <w:rFonts w:ascii="Times New Roman;Times;serif" w:hAnsi="Times New Roman;Times;serif"/>
          <w:caps w:val="false"/>
          <w:smallCaps w:val="false"/>
          <w:sz w:val="20"/>
        </w:rPr>
        <w:t xml:space="preserve">the Company issued and sold to the </w:t>
      </w:r>
      <w:r>
        <w:rPr>
          <w:rStyle w:val="Emphasis"/>
          <w:rFonts w:ascii="Times New Roman;Times;serif" w:hAnsi="Times New Roman;Times;serif"/>
          <w:caps w:val="false"/>
          <w:smallCaps w:val="false"/>
          <w:sz w:val="20"/>
        </w:rPr>
        <w:t>2021</w:t>
      </w:r>
      <w:r>
        <w:rPr>
          <w:rFonts w:ascii="Times New Roman;Times;serif" w:hAnsi="Times New Roman;Times;serif"/>
          <w:caps w:val="false"/>
          <w:smallCaps w:val="false"/>
          <w:sz w:val="20"/>
        </w:rPr>
        <w:t xml:space="preserve"> Investors an aggregate of 252,717 shares of the Non-Voting Preferred Stock. The terms of the Non-Voting Preferred Stock were governed by a Certificate of Designation filed by the Company with the Secretary of State of the State of Delaware on </w:t>
      </w:r>
      <w:r>
        <w:rPr>
          <w:rStyle w:val="Emphasis"/>
          <w:rFonts w:ascii="Times New Roman;Times;serif" w:hAnsi="Times New Roman;Times;serif"/>
          <w:caps w:val="false"/>
          <w:smallCaps w:val="false"/>
          <w:sz w:val="20"/>
        </w:rPr>
        <w:t xml:space="preserve">December 14, 2021. </w:t>
      </w: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May 15, 2023, </w:t>
      </w:r>
      <w:r>
        <w:rPr>
          <w:rFonts w:ascii="Times New Roman;Times;serif" w:hAnsi="Times New Roman;Times;serif"/>
          <w:caps w:val="false"/>
          <w:smallCaps w:val="false"/>
          <w:sz w:val="20"/>
        </w:rPr>
        <w:t xml:space="preserve">the Company filed with the Delaware Secretary of State a Certificate of Elimination with respect to the Company’s Non-Voting Preferred Stock, thereby returning the unused share balance to the status of authorized but unissued shares of “blank check” preferred stock of the Company. Refer to the Company's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 xml:space="preserve">December 31, 2022 </w:t>
      </w:r>
      <w:r>
        <w:rPr>
          <w:rFonts w:ascii="Times New Roman;Times;serif" w:hAnsi="Times New Roman;Times;serif"/>
          <w:caps w:val="false"/>
          <w:smallCaps w:val="false"/>
          <w:sz w:val="20"/>
        </w:rPr>
        <w:t>filed with the SEC for a summary of the material terms and information regarding the issuance of the Non-Voting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The </w:t>
      </w:r>
      <w:r>
        <w:rPr>
          <w:rStyle w:val="Emphasis"/>
          <w:rFonts w:ascii="Times New Roman;Times;serif" w:hAnsi="Times New Roman;Times;serif"/>
          <w:i/>
          <w:caps w:val="false"/>
          <w:smallCaps w:val="false"/>
          <w:sz w:val="20"/>
        </w:rPr>
        <w:t>2022</w:t>
      </w:r>
      <w:r>
        <w:rPr>
          <w:rFonts w:ascii="Times New Roman;Times;serif" w:hAnsi="Times New Roman;Times;serif"/>
          <w:i/>
          <w:caps w:val="false"/>
          <w:smallCaps w:val="false"/>
          <w:sz w:val="20"/>
        </w:rPr>
        <w:t xml:space="preserve"> Private Placement</w:t>
      </w:r>
    </w:p>
    <w:p>
      <w:pPr>
        <w:pStyle w:val="TextBody"/>
        <w:bidi w:val="0"/>
        <w:spacing w:before="0" w:after="0"/>
        <w:ind w:left="0" w:right="0" w:hanging="0"/>
        <w:jc w:val="both"/>
        <w:rPr/>
      </w:pPr>
      <w:r>
        <w:rPr>
          <w:rFonts w:ascii="Times New Roman;Times;serif" w:hAnsi="Times New Roman;Times;serif"/>
          <w:caps w:val="false"/>
          <w:smallCaps w:val="false"/>
          <w:sz w:val="20"/>
        </w:rPr>
        <w:br/>
        <w:t xml:space="preserve">In </w:t>
      </w:r>
      <w:r>
        <w:rPr>
          <w:rStyle w:val="Emphasis"/>
          <w:rFonts w:ascii="Times New Roman;Times;serif" w:hAnsi="Times New Roman;Times;serif"/>
          <w:caps w:val="false"/>
          <w:smallCaps w:val="false"/>
          <w:sz w:val="20"/>
        </w:rPr>
        <w:t>November 2022, </w:t>
      </w:r>
      <w:r>
        <w:rPr>
          <w:rFonts w:ascii="Times New Roman;Times;serif" w:hAnsi="Times New Roman;Times;serif"/>
          <w:caps w:val="false"/>
          <w:smallCaps w:val="false"/>
          <w:sz w:val="20"/>
        </w:rPr>
        <w:t xml:space="preserve">we entered into a securities purchase agreement with certain investors (collectively,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Investors”) pursuant to which the Company issued and sold to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Investors an aggregate of 116,668 shares of common stock, par value $0.0001 per share, and 3,185,000 shares of voting convertible preferred stock, par value $0.0001 per share (the "Voting Preferred Stock"), which are convertible into 2,123,443 shares of common stock upon receipt of a valid conversion notice from a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 or at the option of the Company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following the occurrence of certain events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was completed on </w:t>
      </w:r>
      <w:r>
        <w:rPr>
          <w:rStyle w:val="Emphasis"/>
          <w:rFonts w:ascii="Times New Roman;Times;serif" w:hAnsi="Times New Roman;Times;serif"/>
          <w:caps w:val="false"/>
          <w:smallCaps w:val="false"/>
          <w:sz w:val="20"/>
        </w:rPr>
        <w:t xml:space="preserve">November 18, 2022. </w:t>
      </w:r>
      <w:r>
        <w:rPr>
          <w:rFonts w:ascii="Times New Roman;Times;serif" w:hAnsi="Times New Roman;Times;serif"/>
          <w:caps w:val="false"/>
          <w:smallCaps w:val="false"/>
          <w:sz w:val="20"/>
        </w:rPr>
        <w:t xml:space="preserve">The gross proceeds from the securities sold in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was $6,720. The costs incurred with respect to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totaled $202 and were recorded as a reduction of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proceeds in the consolidated statements of stockholders’ equity. Further information regarding the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Private Placement is contained in the Company’s Form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-K filed with the SEC on </w:t>
      </w:r>
      <w:r>
        <w:rPr>
          <w:rStyle w:val="Emphasis"/>
          <w:rFonts w:ascii="Times New Roman;Times;serif" w:hAnsi="Times New Roman;Times;serif"/>
          <w:caps w:val="false"/>
          <w:smallCaps w:val="false"/>
          <w:sz w:val="20"/>
        </w:rPr>
        <w:t>November 18,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Voting Preferred Stock issued in </w:t>
      </w:r>
      <w:r>
        <w:rPr>
          <w:rStyle w:val="Emphasis"/>
          <w:rFonts w:ascii="Times New Roman;Times;serif" w:hAnsi="Times New Roman;Times;serif"/>
          <w:i/>
          <w:caps w:val="false"/>
          <w:smallCaps w:val="false"/>
          <w:sz w:val="20"/>
        </w:rPr>
        <w:t>November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As noted above, in </w:t>
      </w:r>
      <w:r>
        <w:rPr>
          <w:rStyle w:val="Emphasis"/>
          <w:rFonts w:ascii="Times New Roman;Times;serif" w:hAnsi="Times New Roman;Times;serif"/>
          <w:caps w:val="false"/>
          <w:smallCaps w:val="false"/>
          <w:sz w:val="20"/>
        </w:rPr>
        <w:t xml:space="preserve">November 2022, </w:t>
      </w:r>
      <w:r>
        <w:rPr>
          <w:rFonts w:ascii="Times New Roman;Times;serif" w:hAnsi="Times New Roman;Times;serif"/>
          <w:caps w:val="false"/>
          <w:smallCaps w:val="false"/>
          <w:sz w:val="20"/>
        </w:rPr>
        <w:t xml:space="preserve">the Company issued and sold to certain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Investors an aggregate of 3,185,000 shares of Voting Preferred Stock. The terms of the Voting Preferred Stock are governed by a Certificate of Designation filed by the Company with the Secretary of State of the State of Delaware on </w:t>
      </w:r>
      <w:r>
        <w:rPr>
          <w:rStyle w:val="Emphasis"/>
          <w:rFonts w:ascii="Times New Roman;Times;serif" w:hAnsi="Times New Roman;Times;serif"/>
          <w:caps w:val="false"/>
          <w:smallCaps w:val="false"/>
          <w:sz w:val="20"/>
        </w:rPr>
        <w:t xml:space="preserve">November 17, 2022. </w:t>
      </w:r>
      <w:r>
        <w:rPr>
          <w:rFonts w:ascii="Times New Roman;Times;serif" w:hAnsi="Times New Roman;Times;serif"/>
          <w:caps w:val="false"/>
          <w:smallCaps w:val="false"/>
          <w:sz w:val="20"/>
        </w:rPr>
        <w:t>The following is a summary of the material terms of the Voting Preferred Stock:</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10"/>
        <w:gridCol w:w="8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Voting Rights.</w:t>
            </w:r>
            <w:r>
              <w:rPr>
                <w:rFonts w:ascii="Times New Roman;Times;serif" w:hAnsi="Times New Roman;Times;serif"/>
                <w:caps w:val="false"/>
                <w:smallCaps w:val="false"/>
                <w:sz w:val="20"/>
              </w:rPr>
              <w:t> The Voting Preferred Stock votes with the Common Stock on an as-converted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Liquidation.</w:t>
            </w:r>
            <w:r>
              <w:rPr>
                <w:rFonts w:ascii="Times New Roman;Times;serif" w:hAnsi="Times New Roman;Times;serif"/>
                <w:caps w:val="false"/>
                <w:smallCaps w:val="false"/>
                <w:sz w:val="20"/>
              </w:rPr>
              <w:t> Each share of Voting Preferred Stock carries a liquidation preference, senior to the Common Stock in an amount equal to the greater of (a) $30.00 (being the issuance price) and (b) the amount that would be distributed in respect of such share of Voting Preferred Stock if it were converted into Common Stock and participated in such liquidating distribution with the other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Conversion</w:t>
            </w:r>
            <w:r>
              <w:rPr>
                <w:rFonts w:ascii="Times New Roman;Times;serif" w:hAnsi="Times New Roman;Times;serif"/>
                <w:caps w:val="false"/>
                <w:smallCaps w:val="false"/>
                <w:sz w:val="20"/>
              </w:rPr>
              <w:t xml:space="preserve">. The Voting Preferred Stock will convert into shares of Common Stock on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for 0.6667 basis (i) at the option of a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Investor upon delivery of a valid conversion notice to the Company or (ii) at the option of the Company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following the earlier to occur of (a) the date on which the volume-weighted average price of the Common Stock has been greater than or equal to $18.75 for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consecutive trading days and (b) the date on which the Company has reported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consecutive fiscal quarters of positive cash flow.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Dividends. </w:t>
            </w:r>
            <w:r>
              <w:rPr>
                <w:rFonts w:ascii="Times New Roman;Times;serif" w:hAnsi="Times New Roman;Times;serif"/>
                <w:caps w:val="false"/>
                <w:smallCaps w:val="false"/>
                <w:sz w:val="20"/>
              </w:rPr>
              <w:t>Each share of Voting Preferred Stock is entitled to participate in dividends and other non-liquidating distributions (if, as and when declared by the Board of the Company) on an as-converted basis, pari passu with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10"/>
        <w:gridCol w:w="9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Redemption</w:t>
            </w:r>
            <w:r>
              <w:rPr>
                <w:rFonts w:ascii="Times New Roman;Times;serif" w:hAnsi="Times New Roman;Times;serif"/>
                <w:caps w:val="false"/>
                <w:smallCaps w:val="false"/>
                <w:sz w:val="20"/>
              </w:rPr>
              <w:t xml:space="preserve">. The Voting Preferred Stock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redeemable at the election of the Company or at the election of the holder.</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10"/>
        <w:gridCol w:w="5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Maturity.</w:t>
            </w:r>
            <w:r>
              <w:rPr>
                <w:rFonts w:ascii="Times New Roman;Times;serif" w:hAnsi="Times New Roman;Times;serif"/>
                <w:caps w:val="false"/>
                <w:smallCaps w:val="false"/>
                <w:sz w:val="20"/>
              </w:rPr>
              <w:t> The Voting Preferred Stock shall be perpetual unless converted.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 xml:space="preserve">The </w:t>
      </w:r>
      <w:r>
        <w:rPr>
          <w:rStyle w:val="Emphasis"/>
          <w:rFonts w:ascii="Times New Roman;Times;serif" w:hAnsi="Times New Roman;Times;serif"/>
          <w:i/>
          <w:caps w:val="false"/>
          <w:smallCaps w:val="false"/>
          <w:sz w:val="20"/>
        </w:rPr>
        <w:t>2023</w:t>
      </w:r>
      <w:r>
        <w:rPr>
          <w:rFonts w:ascii="Times New Roman;Times;serif" w:hAnsi="Times New Roman;Times;serif"/>
          <w:i/>
          <w:caps w:val="false"/>
          <w:smallCaps w:val="false"/>
          <w:sz w:val="20"/>
        </w:rPr>
        <w:t xml:space="preserve">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May 2023, </w:t>
      </w:r>
      <w:r>
        <w:rPr>
          <w:rFonts w:ascii="Times New Roman;Times;serif" w:hAnsi="Times New Roman;Times;serif"/>
          <w:caps w:val="false"/>
          <w:smallCaps w:val="false"/>
          <w:sz w:val="20"/>
        </w:rPr>
        <w:t xml:space="preserve">we entered into a securities purchase agreement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Stock Purchase Agreement") with certain investors (collectively,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pursuant to which the Company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issue and sell to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up to $9,000,000 in shares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of newly-created senior convertible preferred stock, par value $0.0001 per share (the “Senior Preferred Stock”), in multiple tranches from time to time until </w:t>
      </w:r>
      <w:r>
        <w:rPr>
          <w:rStyle w:val="Emphasis"/>
          <w:rFonts w:ascii="Times New Roman;Times;serif" w:hAnsi="Times New Roman;Times;serif"/>
          <w:caps w:val="false"/>
          <w:smallCaps w:val="false"/>
          <w:sz w:val="20"/>
        </w:rPr>
        <w:t xml:space="preserve">December 31, 2025, </w:t>
      </w:r>
      <w:r>
        <w:rPr>
          <w:rFonts w:ascii="Times New Roman;Times;serif" w:hAnsi="Times New Roman;Times;serif"/>
          <w:caps w:val="false"/>
          <w:smallCaps w:val="false"/>
          <w:sz w:val="20"/>
        </w:rPr>
        <w:t xml:space="preserve">subject to a minimum aggregate purchase amount of $0.5 million in each tranche. The initial sale in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occurred on </w:t>
      </w:r>
      <w:r>
        <w:rPr>
          <w:rStyle w:val="Emphasis"/>
          <w:rFonts w:ascii="Times New Roman;Times;serif" w:hAnsi="Times New Roman;Times;serif"/>
          <w:caps w:val="false"/>
          <w:smallCaps w:val="false"/>
          <w:sz w:val="20"/>
        </w:rPr>
        <w:t xml:space="preserve">May 15, 2023, </w:t>
      </w:r>
      <w:r>
        <w:rPr>
          <w:rFonts w:ascii="Times New Roman;Times;serif" w:hAnsi="Times New Roman;Times;serif"/>
          <w:caps w:val="false"/>
          <w:smallCaps w:val="false"/>
          <w:sz w:val="20"/>
        </w:rPr>
        <w:t xml:space="preserve">under which the Company sold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280,899 shares of Senior Preferred Stock for an aggregate purchase price of $2.0 million (the "Initial Placement"). The Company expects to use the proceeds of the Initial Placement, after the payment of transaction expenses, for general working capital purposes. The following is a summary of the material terms of the Senior Preferred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Voting Rights.</w:t>
            </w:r>
            <w:r>
              <w:rPr>
                <w:rFonts w:ascii="Times New Roman;Times;serif" w:hAnsi="Times New Roman;Times;serif"/>
                <w:caps w:val="false"/>
                <w:smallCaps w:val="false"/>
                <w:sz w:val="20"/>
              </w:rPr>
              <w:t xml:space="preserve"> The Senior Preferred Stock has aggregate number of votes equal to the product of (a) the quotient of (i) the aggregate purchase 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share of senior preferred stock will ever have more than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votes per share, with such number of votes subject to reduction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increase) depending on the pricing of future sales of Senior Preferred Stock in the Private Placement. The Senior Preferred Stock votes with the Company’s common stock on all matters submitted to holders of common stock and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vote as a separate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Liquidation.</w:t>
            </w:r>
            <w:r>
              <w:rPr>
                <w:rFonts w:ascii="Times New Roman;Times;serif" w:hAnsi="Times New Roman;Times;serif"/>
                <w:caps w:val="false"/>
                <w:smallCaps w:val="false"/>
                <w:sz w:val="20"/>
              </w:rPr>
              <w:t> Each share of Senior Preferred Stock carries a liquidation preference, senior to the Common Stock and Voting Preferred Stock, in an amount equal to the product of the Purchase Price for such share, multiplied by 2.50.</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Conversion</w:t>
            </w:r>
            <w:r>
              <w:rPr>
                <w:rFonts w:ascii="Times New Roman;Times;serif" w:hAnsi="Times New Roman;Times;serif"/>
                <w:caps w:val="false"/>
                <w:smallCaps w:val="false"/>
                <w:sz w:val="20"/>
              </w:rPr>
              <w:t xml:space="preserve">. The Senior Preferred Stock will convert into shares of Common Stock on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for 2.6667 basis at the option of (a) the investors at any time or (b) the Company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following the date on which the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-day volume-weighted average price of the common stock exceeds the product of (i) the Purchase Price for the shares of senior preferred stock to be converted, multiplied by (ii) 2.75.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Dividends. </w:t>
            </w:r>
            <w:r>
              <w:rPr>
                <w:rFonts w:ascii="Times New Roman;Times;serif" w:hAnsi="Times New Roman;Times;serif"/>
                <w:caps w:val="false"/>
                <w:smallCaps w:val="false"/>
                <w:sz w:val="20"/>
              </w:rPr>
              <w:t>Each share of Senior Preferred Stock is entitled to participate in dividends and other non-liquidating distributions (if, as and when declared by the Board of the Company) on an as-converted basis, pari passu with the Common Stock and Voting Preferred Stock.</w:t>
            </w:r>
          </w:p>
        </w:tc>
      </w:tr>
    </w:tbl>
    <w:p>
      <w:pPr>
        <w:pStyle w:val="TextBody"/>
        <w:bidi w:val="0"/>
        <w:spacing w:before="0" w:after="0"/>
        <w:ind w:left="0" w:right="0" w:hanging="0"/>
        <w:jc w:val="left"/>
        <w:rPr/>
      </w:pPr>
      <w:r>
        <w:rPr/>
        <w:t> </w:t>
      </w:r>
    </w:p>
    <w:tbl>
      <w:tblPr>
        <w:tblW w:w="9970" w:type="dxa"/>
        <w:jc w:val="left"/>
        <w:tblInd w:w="0" w:type="dxa"/>
        <w:tblLayout w:type="fixed"/>
        <w:tblCellMar>
          <w:top w:w="0" w:type="dxa"/>
          <w:left w:w="0" w:type="dxa"/>
          <w:bottom w:w="0" w:type="dxa"/>
          <w:right w:w="0" w:type="dxa"/>
        </w:tblCellMar>
      </w:tblPr>
      <w:tblGrid>
        <w:gridCol w:w="60"/>
        <w:gridCol w:w="110"/>
        <w:gridCol w:w="98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Redemption</w:t>
            </w:r>
            <w:r>
              <w:rPr>
                <w:rFonts w:ascii="Times New Roman;Times;serif" w:hAnsi="Times New Roman;Times;serif"/>
                <w:caps w:val="false"/>
                <w:smallCaps w:val="false"/>
                <w:sz w:val="20"/>
              </w:rPr>
              <w:t xml:space="preserve">. The Senior Preferred Stock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redeemable at the election of the Company or at the election of the holder.</w:t>
            </w:r>
          </w:p>
        </w:tc>
      </w:tr>
    </w:tbl>
    <w:p>
      <w:pPr>
        <w:pStyle w:val="TextBody"/>
        <w:bidi w:val="0"/>
        <w:spacing w:before="0" w:after="0"/>
        <w:ind w:left="0" w:right="0" w:hanging="0"/>
        <w:jc w:val="left"/>
        <w:rPr/>
      </w:pPr>
      <w:r>
        <w:rPr/>
        <w:t> </w:t>
      </w:r>
    </w:p>
    <w:tbl>
      <w:tblPr>
        <w:tblW w:w="6100" w:type="dxa"/>
        <w:jc w:val="left"/>
        <w:tblInd w:w="0" w:type="dxa"/>
        <w:tblLayout w:type="fixed"/>
        <w:tblCellMar>
          <w:top w:w="0" w:type="dxa"/>
          <w:left w:w="0" w:type="dxa"/>
          <w:bottom w:w="0" w:type="dxa"/>
          <w:right w:w="0" w:type="dxa"/>
        </w:tblCellMar>
      </w:tblPr>
      <w:tblGrid>
        <w:gridCol w:w="60"/>
        <w:gridCol w:w="110"/>
        <w:gridCol w:w="5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Maturity.</w:t>
            </w:r>
            <w:r>
              <w:rPr>
                <w:rFonts w:ascii="Times New Roman;Times;serif" w:hAnsi="Times New Roman;Times;serif"/>
                <w:caps w:val="false"/>
                <w:smallCaps w:val="false"/>
                <w:sz w:val="20"/>
              </w:rPr>
              <w:t> The Senior Preferred Stock shall be perpetual unless converted.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July 6, 2023, </w:t>
      </w:r>
      <w:r>
        <w:rPr>
          <w:rFonts w:ascii="Times New Roman;Times;serif" w:hAnsi="Times New Roman;Times;serif"/>
          <w:caps w:val="false"/>
          <w:smallCaps w:val="false"/>
          <w:sz w:val="20"/>
        </w:rPr>
        <w:t xml:space="preserve">the Company and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entered into an amendment to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w:t>
      </w:r>
      <w:r>
        <w:rPr>
          <w:rStyle w:val="Emphasis"/>
          <w:rFonts w:ascii="Times New Roman;Times;serif" w:hAnsi="Times New Roman;Times;serif"/>
          <w:caps w:val="false"/>
          <w:smallCaps w:val="false"/>
          <w:sz w:val="20"/>
        </w:rPr>
        <w:t>5635</w:t>
      </w:r>
      <w:r>
        <w:rPr>
          <w:rFonts w:ascii="Times New Roman;Times;serif" w:hAnsi="Times New Roman;Times;serif"/>
          <w:caps w:val="false"/>
          <w:smallCaps w:val="false"/>
          <w:sz w:val="20"/>
        </w:rPr>
        <w:t xml:space="preserve">(d)) and (b) permits the Company to specify a desired closing date (subject to approval by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for each sale in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July 12, 2023, </w:t>
      </w:r>
      <w:r>
        <w:rPr>
          <w:rFonts w:ascii="Times New Roman;Times;serif" w:hAnsi="Times New Roman;Times;serif"/>
          <w:caps w:val="false"/>
          <w:smallCaps w:val="false"/>
          <w:sz w:val="20"/>
        </w:rPr>
        <w:t xml:space="preserve">the Company and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consummated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tranche in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under which the Company sold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500,000 shares of Senior Preferred Stock for an aggregate purchase price of $2.0 million (the “Second Placement”). The Company expects to use the proceeds of the Second Placement, after the payment of transaction expenses,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September 8, 2023, </w:t>
      </w:r>
      <w:r>
        <w:rPr>
          <w:rFonts w:ascii="Times New Roman;Times;serif" w:hAnsi="Times New Roman;Times;serif"/>
          <w:caps w:val="false"/>
          <w:smallCaps w:val="false"/>
          <w:sz w:val="20"/>
        </w:rPr>
        <w:t xml:space="preserve">the Company and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consummated the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 tranche in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Multi-Tranche Private Placement, under which the Company sold the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Investors 292,398 shares of Senior Preferred Stock for an aggregate purchase price of $1.0 million (the "Third Placement", and together with the First Placement and Second Placement, the "Placements"). The Company expects to use the proceeds of the Third Placement, after the payment of transaction expenses, for general working capital purposes.</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i/>
          <w:caps w:val="false"/>
          <w:smallCaps w:val="false"/>
          <w:sz w:val="20"/>
        </w:rPr>
        <w:t>2010</w:t>
      </w:r>
      <w:r>
        <w:rPr>
          <w:rFonts w:ascii="Times New Roman;Times;serif" w:hAnsi="Times New Roman;Times;serif"/>
          <w:i/>
          <w:caps w:val="false"/>
          <w:smallCaps w:val="false"/>
          <w:sz w:val="20"/>
        </w:rPr>
        <w:t xml:space="preserve"> Share Option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November 2010, </w:t>
      </w:r>
      <w:r>
        <w:rPr>
          <w:rFonts w:ascii="Times New Roman;Times;serif" w:hAnsi="Times New Roman;Times;serif"/>
          <w:caps w:val="false"/>
          <w:smallCaps w:val="false"/>
          <w:sz w:val="20"/>
        </w:rPr>
        <w:t>the Board adopted a share option plan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pursuant to which shares of the Company’s common stock are reserved for issuance upon the exercise of options to be granted to directors, officers, employees and consultants of the Company.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is administered by the Board, which designates the options and dates of grant. Options granted vest over a period determined by the Board, originally had a contractual life of seven years, which was extended to ten years in </w:t>
      </w:r>
      <w:r>
        <w:rPr>
          <w:rStyle w:val="Emphasis"/>
          <w:rFonts w:ascii="Times New Roman;Times;serif" w:hAnsi="Times New Roman;Times;serif"/>
          <w:caps w:val="false"/>
          <w:smallCaps w:val="false"/>
          <w:sz w:val="20"/>
        </w:rPr>
        <w:t xml:space="preserve">November 2017 </w:t>
      </w:r>
      <w:r>
        <w:rPr>
          <w:rFonts w:ascii="Times New Roman;Times;serif" w:hAnsi="Times New Roman;Times;serif"/>
          <w:caps w:val="false"/>
          <w:smallCaps w:val="false"/>
          <w:sz w:val="20"/>
        </w:rPr>
        <w:t xml:space="preserve">and are non-assignable except by the laws of descent. The Board has the authority to prescribe, amend and rescind rules and regulations relating to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provided that any such amendment or rescindment that would adversely affect the rights of an optionee that has received or been granted an option shall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 made without the optionee’s written consent. As of </w:t>
      </w:r>
      <w:r>
        <w:rPr>
          <w:rStyle w:val="Emphasis"/>
          <w:rFonts w:ascii="Times New Roman;Times;serif" w:hAnsi="Times New Roman;Times;serif"/>
          <w:caps w:val="false"/>
          <w:smallCaps w:val="false"/>
          <w:sz w:val="20"/>
        </w:rPr>
        <w:t>September 30, 2023</w:t>
      </w:r>
      <w:r>
        <w:rPr>
          <w:rFonts w:ascii="Times New Roman;Times;serif" w:hAnsi="Times New Roman;Times;serif"/>
          <w:caps w:val="false"/>
          <w:smallCaps w:val="false"/>
          <w:sz w:val="20"/>
        </w:rPr>
        <w:t xml:space="preserve">, the number of shares of the Company’s common stock reserved for issuance and available for grant under the </w:t>
      </w:r>
      <w:r>
        <w:rPr>
          <w:rStyle w:val="Emphasis"/>
          <w:rFonts w:ascii="Times New Roman;Times;serif" w:hAnsi="Times New Roman;Times;serif"/>
          <w:caps w:val="false"/>
          <w:smallCaps w:val="false"/>
          <w:sz w:val="20"/>
        </w:rPr>
        <w:t>2010</w:t>
      </w:r>
      <w:r>
        <w:rPr>
          <w:rFonts w:ascii="Times New Roman;Times;serif" w:hAnsi="Times New Roman;Times;serif"/>
          <w:caps w:val="false"/>
          <w:smallCaps w:val="false"/>
          <w:sz w:val="20"/>
        </w:rPr>
        <w:t xml:space="preserve"> Share Option Plan was 24,758 (6,284 as of </w:t>
      </w:r>
      <w:r>
        <w:rPr>
          <w:rStyle w:val="Emphasis"/>
          <w:rFonts w:ascii="Times New Roman;Times;serif" w:hAnsi="Times New Roman;Times;serif"/>
          <w:caps w:val="false"/>
          <w:smallCaps w:val="false"/>
          <w:sz w:val="20"/>
        </w:rPr>
        <w:t>December 31, 2022</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Times;serif" w:hAnsi="Times New Roman;Times;serif"/>
          <w:i/>
          <w:caps w:val="false"/>
          <w:smallCaps w:val="false"/>
          <w:sz w:val="20"/>
        </w:rPr>
        <w:t>2019</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Incentive Award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Incentive Award Plan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was originally established under the name Restoration Robotics, Inc., as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Incentive Award Plan. It was adopted by the Board on </w:t>
      </w:r>
      <w:r>
        <w:rPr>
          <w:rStyle w:val="Emphasis"/>
          <w:rFonts w:ascii="Times New Roman;Times;serif" w:hAnsi="Times New Roman;Times;serif"/>
          <w:caps w:val="false"/>
          <w:smallCaps w:val="false"/>
          <w:sz w:val="20"/>
        </w:rPr>
        <w:t>September 12,</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and approved by the Company’s stockholders on </w:t>
      </w:r>
      <w:r>
        <w:rPr>
          <w:rStyle w:val="Emphasis"/>
          <w:rFonts w:ascii="Times New Roman;Times;serif" w:hAnsi="Times New Roman;Times;serif"/>
          <w:caps w:val="false"/>
          <w:smallCaps w:val="false"/>
          <w:sz w:val="20"/>
        </w:rPr>
        <w:t>September 14,</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Incentive Award Plan was amended, restated, and renamed as set forth above, and was approved by the Company’s stockholders on </w:t>
      </w:r>
      <w:r>
        <w:rPr>
          <w:rStyle w:val="Emphasis"/>
          <w:rFonts w:ascii="Times New Roman;Times;serif" w:hAnsi="Times New Roman;Times;serif"/>
          <w:caps w:val="false"/>
          <w:smallCaps w:val="false"/>
          <w:sz w:val="20"/>
        </w:rPr>
        <w:t>October 4,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as of the date we completed our business combination with Venus Ltd. and the business of Venus Ltd. became the primary business of the Company (the “Merger”). As of </w:t>
      </w:r>
      <w:r>
        <w:rPr>
          <w:rStyle w:val="Emphasis"/>
          <w:rFonts w:ascii="Times New Roman;Times;serif" w:hAnsi="Times New Roman;Times;serif"/>
          <w:caps w:val="false"/>
          <w:smallCaps w:val="false"/>
          <w:sz w:val="20"/>
        </w:rPr>
        <w:t>September 30, 2023</w:t>
      </w:r>
      <w:r>
        <w:rPr>
          <w:rFonts w:ascii="Times New Roman;Times;serif" w:hAnsi="Times New Roman;Times;serif"/>
          <w:caps w:val="false"/>
          <w:smallCaps w:val="false"/>
          <w:sz w:val="20"/>
        </w:rPr>
        <w:t xml:space="preserve">, there were 56,618 shares of common stock available under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(18,715 as of </w:t>
      </w:r>
      <w:r>
        <w:rPr>
          <w:rStyle w:val="Emphasis"/>
          <w:rFonts w:ascii="Times New Roman;Times;serif" w:hAnsi="Times New Roman;Times;serif"/>
          <w:caps w:val="false"/>
          <w:smallCaps w:val="false"/>
          <w:sz w:val="20"/>
        </w:rPr>
        <w:t>December 31, 2022</w:t>
      </w:r>
      <w:r>
        <w:rPr>
          <w:rFonts w:ascii="Times New Roman;Times;serif" w:hAnsi="Times New Roman;Times;serif"/>
          <w:caps w:val="false"/>
          <w:smallCaps w:val="false"/>
          <w:sz w:val="20"/>
        </w:rPr>
        <w:t xml:space="preserve">). The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Plan contains an “evergreen” provision, pursuant to which the number of shares of common stock reserved for issuance pursuant to awards under such plan shall be increased on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day of each year from </w:t>
      </w:r>
      <w:r>
        <w:rPr>
          <w:rStyle w:val="Emphasis"/>
          <w:rFonts w:ascii="Times New Roman;Times;serif" w:hAnsi="Times New Roman;Times;serif"/>
          <w:caps w:val="false"/>
          <w:smallCaps w:val="false"/>
          <w:sz w:val="20"/>
        </w:rPr>
        <w:t>2020</w:t>
      </w:r>
      <w:r>
        <w:rPr>
          <w:rFonts w:ascii="Times New Roman;Times;serif" w:hAnsi="Times New Roman;Times;serif"/>
          <w:caps w:val="false"/>
          <w:smallCaps w:val="false"/>
          <w:sz w:val="20"/>
        </w:rPr>
        <w:t xml:space="preserve"> and ending in </w:t>
      </w:r>
      <w:r>
        <w:rPr>
          <w:rStyle w:val="Emphasis"/>
          <w:rFonts w:ascii="Times New Roman;Times;serif" w:hAnsi="Times New Roman;Times;serif"/>
          <w:caps w:val="false"/>
          <w:smallCaps w:val="false"/>
          <w:sz w:val="20"/>
        </w:rPr>
        <w:t>2029</w:t>
      </w:r>
      <w:r>
        <w:rPr>
          <w:rFonts w:ascii="Times New Roman;Times;serif" w:hAnsi="Times New Roman;Times;serif"/>
          <w:caps w:val="false"/>
          <w:smallCaps w:val="false"/>
          <w:sz w:val="20"/>
        </w:rPr>
        <w:t xml:space="preserve"> equal to the lesser of (A) </w:t>
      </w:r>
      <w:r>
        <w:rPr>
          <w:rStyle w:val="Emphasis"/>
          <w:rFonts w:ascii="Times New Roman;Times;serif" w:hAnsi="Times New Roman;Times;serif"/>
          <w:caps w:val="false"/>
          <w:smallCaps w:val="false"/>
          <w:sz w:val="20"/>
        </w:rPr>
        <w:t>four</w:t>
      </w:r>
      <w:r>
        <w:rPr>
          <w:rFonts w:ascii="Times New Roman;Times;serif" w:hAnsi="Times New Roman;Times;serif"/>
          <w:caps w:val="false"/>
          <w:smallCaps w:val="false"/>
          <w:sz w:val="20"/>
        </w:rPr>
        <w:t xml:space="preserve"> percent (4.00%) of the shares of stock outstanding on the last day of the immediately preceding fiscal year and (B) such smaller number of shares of stock as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recognized stock-based compensation for its employees and non-employees in the accompanying unaudited condensed consolidated statements of operations as follows:</w:t>
      </w:r>
    </w:p>
    <w:p>
      <w:pPr>
        <w:pStyle w:val="TextBody"/>
        <w:bidi w:val="0"/>
        <w:spacing w:before="0" w:after="0"/>
        <w:ind w:left="0" w:right="0" w:hanging="0"/>
        <w:jc w:val="left"/>
        <w:rPr>
          <w:caps w:val="false"/>
          <w:smallCaps w:val="false"/>
        </w:rPr>
      </w:pPr>
      <w:r>
        <w:rPr>
          <w:caps w:val="false"/>
          <w:smallCaps w:val="false"/>
        </w:rPr>
        <w:t> </w:t>
      </w:r>
    </w:p>
    <w:tbl>
      <w:tblPr>
        <w:tblW w:w="8741" w:type="dxa"/>
        <w:jc w:val="left"/>
        <w:tblInd w:w="0" w:type="dxa"/>
        <w:tblLayout w:type="fixed"/>
        <w:tblCellMar>
          <w:top w:w="0" w:type="dxa"/>
          <w:left w:w="0" w:type="dxa"/>
          <w:bottom w:w="0" w:type="dxa"/>
          <w:right w:w="0" w:type="dxa"/>
        </w:tblCellMar>
      </w:tblPr>
      <w:tblGrid>
        <w:gridCol w:w="2645"/>
        <w:gridCol w:w="60"/>
        <w:gridCol w:w="357"/>
        <w:gridCol w:w="958"/>
        <w:gridCol w:w="171"/>
        <w:gridCol w:w="171"/>
        <w:gridCol w:w="357"/>
        <w:gridCol w:w="958"/>
        <w:gridCol w:w="60"/>
        <w:gridCol w:w="60"/>
        <w:gridCol w:w="269"/>
        <w:gridCol w:w="1044"/>
        <w:gridCol w:w="129"/>
        <w:gridCol w:w="129"/>
        <w:gridCol w:w="269"/>
        <w:gridCol w:w="1044"/>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fair value of each option is estimated at the date of grant using the Black-Scholes option pricing formula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1985"/>
        <w:gridCol w:w="60"/>
        <w:gridCol w:w="136"/>
        <w:gridCol w:w="1102"/>
        <w:gridCol w:w="420"/>
        <w:gridCol w:w="136"/>
        <w:gridCol w:w="136"/>
        <w:gridCol w:w="1102"/>
        <w:gridCol w:w="185"/>
        <w:gridCol w:w="60"/>
        <w:gridCol w:w="89"/>
        <w:gridCol w:w="1186"/>
        <w:gridCol w:w="274"/>
        <w:gridCol w:w="89"/>
        <w:gridCol w:w="89"/>
        <w:gridCol w:w="1186"/>
        <w:gridCol w:w="18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4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74"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4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27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8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4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3.37-4.33</w:t>
            </w:r>
          </w:p>
        </w:tc>
        <w:tc>
          <w:tcPr>
            <w:tcW w:w="27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2.56-2.96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42.29</w:t>
            </w:r>
          </w:p>
        </w:tc>
        <w:tc>
          <w:tcPr>
            <w:tcW w:w="4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42.94</w:t>
            </w:r>
          </w:p>
        </w:tc>
        <w:tc>
          <w:tcPr>
            <w:tcW w:w="27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dividend rate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4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7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Expected Term</w:t>
      </w:r>
      <w:r>
        <w:rPr>
          <w:rFonts w:ascii="Times New Roman;Times;serif" w:hAnsi="Times New Roman;Times;serif"/>
          <w:caps w:val="false"/>
          <w:smallCaps w:val="false"/>
          <w:sz w:val="20"/>
        </w:rPr>
        <w:t>—The expected term represents management’s best estimate for the options to be exercised by option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Volatility</w:t>
      </w:r>
      <w:r>
        <w:rPr>
          <w:rFonts w:ascii="Times New Roman;Times;serif" w:hAnsi="Times New Roman;Times;serif"/>
          <w:caps w:val="false"/>
          <w:smallCaps w:val="false"/>
          <w:sz w:val="20"/>
        </w:rPr>
        <w:t xml:space="preserve">—Since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a trading history for its common stock, the expected volatility was derived from the historical stock volatilities of comparable peer public companies within its industry that are considered to be comparable to the Company’s business over a period equivalent to the expected term of the stock-based awards.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i/>
          <w:caps w:val="false"/>
          <w:smallCaps w:val="false"/>
          <w:sz w:val="20"/>
        </w:rPr>
        <w:t>Risk-Free Interest Rate</w:t>
      </w:r>
      <w:r>
        <w:rPr>
          <w:rFonts w:ascii="Times New Roman;Times;serif" w:hAnsi="Times New Roman;Times;serif"/>
          <w:caps w:val="false"/>
          <w:smallCaps w:val="false"/>
          <w:sz w:val="20"/>
        </w:rPr>
        <w:t xml:space="preserve">—The risk-free interest rate is based on the U.S. Treasury yield curve in effect at the date of grant for </w:t>
      </w:r>
      <w:r>
        <w:rPr>
          <w:rStyle w:val="Emphasis"/>
          <w:rFonts w:ascii="Times New Roman;Times;serif" w:hAnsi="Times New Roman;Times;serif"/>
          <w:caps w:val="false"/>
          <w:smallCaps w:val="false"/>
          <w:sz w:val="20"/>
        </w:rPr>
        <w:t>zero</w:t>
      </w:r>
      <w:r>
        <w:rPr>
          <w:rFonts w:ascii="Times New Roman;Times;serif" w:hAnsi="Times New Roman;Times;serif"/>
          <w:caps w:val="false"/>
          <w:smallCaps w:val="false"/>
          <w:sz w:val="20"/>
        </w:rPr>
        <w:t>-coupon U.S. Treasury notes with maturities approximately equal to the stock-based awards’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i/>
          <w:caps w:val="false"/>
          <w:smallCaps w:val="false"/>
          <w:sz w:val="20"/>
        </w:rPr>
        <w:t>Dividend Rate</w:t>
      </w:r>
      <w:r>
        <w:rPr>
          <w:rFonts w:ascii="Times New Roman;Times;serif" w:hAnsi="Times New Roman;Times;serif"/>
          <w:caps w:val="false"/>
          <w:smallCaps w:val="false"/>
          <w:sz w:val="20"/>
        </w:rPr>
        <w:t xml:space="preserve">—The expected dividend is zero as the Company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paid nor does it anticipate paying any dividends on its common stock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Fair Value of Common Stock</w:t>
      </w:r>
      <w:r>
        <w:rPr>
          <w:rFonts w:ascii="Times New Roman;Times;serif" w:hAnsi="Times New Roman;Times;serif"/>
          <w:caps w:val="false"/>
          <w:smallCaps w:val="false"/>
          <w:sz w:val="20"/>
        </w:rPr>
        <w:t>— Prior to the Merger, Venus Ltd. used the price per share in its latest sale of securities as an estimate of the fair value of its ordinary shares. After the closing of the Merger, the fair value of the Company’s common stock is used to estimate the fair value of the stock-based awards at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stock option activity under the Company’s stock option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9"/>
        <w:gridCol w:w="60"/>
        <w:gridCol w:w="77"/>
        <w:gridCol w:w="1103"/>
        <w:gridCol w:w="80"/>
        <w:gridCol w:w="60"/>
        <w:gridCol w:w="470"/>
        <w:gridCol w:w="1831"/>
        <w:gridCol w:w="60"/>
        <w:gridCol w:w="60"/>
        <w:gridCol w:w="336"/>
        <w:gridCol w:w="2144"/>
        <w:gridCol w:w="60"/>
        <w:gridCol w:w="60"/>
        <w:gridCol w:w="406"/>
        <w:gridCol w:w="1094"/>
        <w:gridCol w:w="65"/>
      </w:tblGrid>
      <w:tr>
        <w:trPr/>
        <w:tc>
          <w:tcPr>
            <w:tcW w:w="2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Exercise Price per Share,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 Intrinsic Value</w:t>
            </w:r>
          </w:p>
        </w:tc>
        <w:tc>
          <w:tcPr>
            <w:tcW w:w="65" w:type="dxa"/>
            <w:tcBorders/>
            <w:shd w:fill="FFFFFF" w:val="clear"/>
            <w:vAlign w:val="center"/>
          </w:tcPr>
          <w:p>
            <w:pPr>
              <w:pStyle w:val="TableContents"/>
              <w:bidi w:val="0"/>
              <w:spacing w:before="0" w:after="283"/>
              <w:jc w:val="left"/>
              <w:rPr/>
            </w:pPr>
            <w:r>
              <w:rPr/>
              <w:t> </w:t>
            </w:r>
          </w:p>
        </w:tc>
      </w:tr>
      <w:tr>
        <w:trPr/>
        <w:tc>
          <w:tcPr>
            <w:tcW w:w="223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 January 1, 2023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2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65" w:type="dxa"/>
            <w:tcBorders/>
            <w:shd w:fill="CCEE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226,031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214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5" w:type="dxa"/>
            <w:tcBorders/>
            <w:shd w:fill="FFFFFF" w:val="clear"/>
            <w:vAlign w:val="center"/>
          </w:tcPr>
          <w:p>
            <w:pPr>
              <w:pStyle w:val="TableContents"/>
              <w:bidi w:val="0"/>
              <w:spacing w:before="0" w:after="283"/>
              <w:jc w:val="left"/>
              <w:rPr/>
            </w:pPr>
            <w:r>
              <w:rPr/>
              <w:t> </w:t>
            </w:r>
          </w:p>
        </w:tc>
      </w:tr>
      <w:tr>
        <w:trPr/>
        <w:tc>
          <w:tcPr>
            <w:tcW w:w="223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Options 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2144"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ind w:left="0" w:right="0" w:hanging="0"/>
              <w:jc w:val="left"/>
              <w:rPr/>
            </w:pPr>
            <w:r>
              <w:rPr/>
              <w:t> </w:t>
            </w:r>
          </w:p>
        </w:tc>
      </w:tr>
      <w:tr>
        <w:trPr/>
        <w:tc>
          <w:tcPr>
            <w:tcW w:w="223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forfeited/cancelled</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(75,565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1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shd w:fill="FFFFFF" w:val="clear"/>
            <w:vAlign w:val="center"/>
          </w:tcPr>
          <w:p>
            <w:pPr>
              <w:pStyle w:val="TableContents"/>
              <w:bidi w:val="0"/>
              <w:spacing w:before="0" w:after="0"/>
              <w:jc w:val="left"/>
              <w:rPr/>
            </w:pPr>
            <w:r>
              <w:rPr/>
              <w:t> </w:t>
            </w:r>
          </w:p>
        </w:tc>
      </w:tr>
      <w:tr>
        <w:trPr/>
        <w:tc>
          <w:tcPr>
            <w:tcW w:w="2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31"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4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5" w:type="dxa"/>
            <w:tcBorders/>
            <w:shd w:fill="CCEE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 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3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14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2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 after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708,771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31"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4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caps w:val="false"/>
          <w:smallCaps w:val="false"/>
          <w:sz w:val="20"/>
        </w:rPr>
        <w:t xml:space="preserve">The following tables summarize information about stock options outstanding and exercisable at </w:t>
      </w:r>
      <w:r>
        <w:rPr>
          <w:rStyle w:val="Emphasis"/>
          <w:rFonts w:ascii="Times New Roman;Times;serif" w:hAnsi="Times New Roman;Times;serif"/>
          <w:caps w:val="false"/>
          <w:smallCaps w:val="false"/>
          <w:sz w:val="20"/>
        </w:rPr>
        <w:t>September 30, 2023</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1"/>
        <w:gridCol w:w="60"/>
        <w:gridCol w:w="60"/>
        <w:gridCol w:w="845"/>
        <w:gridCol w:w="60"/>
        <w:gridCol w:w="60"/>
        <w:gridCol w:w="253"/>
        <w:gridCol w:w="1616"/>
        <w:gridCol w:w="60"/>
        <w:gridCol w:w="60"/>
        <w:gridCol w:w="230"/>
        <w:gridCol w:w="1088"/>
        <w:gridCol w:w="60"/>
        <w:gridCol w:w="60"/>
        <w:gridCol w:w="90"/>
        <w:gridCol w:w="1060"/>
        <w:gridCol w:w="60"/>
        <w:gridCol w:w="60"/>
        <w:gridCol w:w="253"/>
        <w:gridCol w:w="1616"/>
        <w:gridCol w:w="60"/>
        <w:gridCol w:w="60"/>
        <w:gridCol w:w="230"/>
        <w:gridCol w:w="1088"/>
        <w:gridCol w:w="65"/>
      </w:tblGrid>
      <w:tr>
        <w:trPr/>
        <w:tc>
          <w:tcPr>
            <w:tcW w:w="1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7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5" w:type="dxa"/>
            <w:tcBorders/>
            <w:shd w:fill="FFFFFF" w:val="clear"/>
            <w:vAlign w:val="center"/>
          </w:tcPr>
          <w:p>
            <w:pPr>
              <w:pStyle w:val="TableContents"/>
              <w:bidi w:val="0"/>
              <w:spacing w:before="0" w:after="283"/>
              <w:jc w:val="left"/>
              <w:rPr/>
            </w:pPr>
            <w:r>
              <w:rPr/>
              <w:t> </w:t>
            </w:r>
          </w:p>
        </w:tc>
      </w:tr>
      <w:tr>
        <w:trPr/>
        <w:tc>
          <w:tcPr>
            <w:tcW w:w="10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Range</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5" w:type="dxa"/>
            <w:tcBorders/>
            <w:shd w:fill="FFFFFF" w:val="clear"/>
            <w:vAlign w:val="center"/>
          </w:tcPr>
          <w:p>
            <w:pPr>
              <w:pStyle w:val="TableContents"/>
              <w:bidi w:val="0"/>
              <w:spacing w:before="0" w:after="283"/>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$1.90 - $54.60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1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p>
        </w:tc>
        <w:tc>
          <w:tcPr>
            <w:tcW w:w="65" w:type="dxa"/>
            <w:tcBorders/>
            <w:shd w:fill="CCEEFF" w:val="clear"/>
            <w:vAlign w:val="center"/>
          </w:tcPr>
          <w:p>
            <w:pPr>
              <w:pStyle w:val="TableContents"/>
              <w:bidi w:val="0"/>
              <w:spacing w:before="0" w:after="283"/>
              <w:ind w:left="0" w:right="0" w:hanging="0"/>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$63.90 - $119.25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99.55</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$186.75 - $382.50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 </w:t>
            </w:r>
          </w:p>
        </w:tc>
        <w:tc>
          <w:tcPr>
            <w:tcW w:w="1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 </w:t>
            </w:r>
          </w:p>
        </w:tc>
        <w:tc>
          <w:tcPr>
            <w:tcW w:w="1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271.56</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$405.00 - $438.75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1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405.21</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$540.00 - $958.50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687.04</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10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291,308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w:t>
            </w:r>
          </w:p>
        </w:tc>
        <w:tc>
          <w:tcPr>
            <w:tcW w:w="6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w:t>
      </w:r>
      <w:r>
        <w:rPr>
          <w:rFonts w:ascii="Times New Roman;Times;serif" w:hAnsi="Times New Roman;Times;serif"/>
          <w:caps w:val="false"/>
          <w:smallCaps w:val="false"/>
          <w:sz w:val="20"/>
          <w:shd w:fill="FFFFFF" w:val="clear"/>
        </w:rPr>
        <w:t> $nil </w:t>
      </w:r>
      <w:r>
        <w:rPr>
          <w:rFonts w:ascii="Times New Roman;Times;serif" w:hAnsi="Times New Roman;Times;serif"/>
          <w:caps w:val="false"/>
          <w:smallCaps w:val="false"/>
          <w:sz w:val="20"/>
        </w:rPr>
        <w:t xml:space="preserve">and $nil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 The total intrinsic value of options exercised were $nil and $nil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weighted-average grant date fair value of options granted was $1.90</w:t>
      </w:r>
      <w:r>
        <w:rPr>
          <w:rFonts w:ascii="Times New Roman;Times;serif" w:hAnsi="Times New Roman;Times;serif"/>
          <w:caps w:val="false"/>
          <w:smallCaps w:val="false"/>
          <w:sz w:val="20"/>
          <w:shd w:fill="FFFFFF" w:val="clear"/>
        </w:rPr>
        <w:t> </w:t>
      </w:r>
      <w:r>
        <w:rPr>
          <w:rFonts w:ascii="Times New Roman;Times;serif" w:hAnsi="Times New Roman;Times;serif"/>
          <w:caps w:val="false"/>
          <w:smallCaps w:val="false"/>
          <w:sz w:val="20"/>
        </w:rPr>
        <w:t xml:space="preserve">and $0.58 per share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 The weighted-average grant date fair value of options granted was $2.82 and $1.27 per share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respectively. The fair value of options vested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was $307 and $317, respectively. The fair value of options vested during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2023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was $1,013 and $1,197,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following table summarizes information about RSUs outstanding at </w:t>
      </w:r>
      <w:r>
        <w:rPr>
          <w:rStyle w:val="Emphasis"/>
          <w:rFonts w:ascii="Times New Roman;Times;serif" w:hAnsi="Times New Roman;Times;serif"/>
          <w:caps w:val="false"/>
          <w:smallCaps w:val="false"/>
          <w:sz w:val="20"/>
        </w:rPr>
        <w:t>September 30, 2023</w:t>
      </w:r>
      <w:r>
        <w:rPr>
          <w:rFonts w:ascii="Times New Roman;Times;serif" w:hAnsi="Times New Roman;Time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2795"/>
        <w:gridCol w:w="60"/>
        <w:gridCol w:w="125"/>
        <w:gridCol w:w="1364"/>
        <w:gridCol w:w="80"/>
        <w:gridCol w:w="60"/>
        <w:gridCol w:w="933"/>
        <w:gridCol w:w="3631"/>
        <w:gridCol w:w="6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Grant Date Fair Value per Share, $</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 January 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RSUs forfeited/cancelled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3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ind w:left="0" w:right="0" w:hanging="0"/>
              <w:jc w:val="left"/>
              <w:rPr/>
            </w:pPr>
            <w:r>
              <w:rPr/>
              <w:t> </w:t>
            </w:r>
          </w:p>
        </w:tc>
        <w:tc>
          <w:tcPr>
            <w:tcW w:w="3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RSUs exercised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 September 30, 2023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generated a loss and recognize</w:t>
      </w:r>
      <w:r>
        <w:rPr>
          <w:rFonts w:ascii="Times New Roman" w:hAnsi="Times New Roman"/>
          <w:caps w:val="false"/>
          <w:smallCaps w:val="false"/>
          <w:sz w:val="20"/>
          <w:shd w:fill="FFFFFF" w:val="clear"/>
        </w:rPr>
        <w:t xml:space="preserve">d $321 of tax benefit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shd w:fill="FFFFFF" w:val="clear"/>
        </w:rPr>
        <w:t xml:space="preserve">, and $162 of tax benefit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shd w:fill="FFFFFF" w:val="clear"/>
        </w:rPr>
        <w:t xml:space="preserve">, respectively. The Company generated a loss and recognized $103 of tax expense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September 30, 2023, </w:t>
      </w:r>
      <w:r>
        <w:rPr>
          <w:rFonts w:ascii="Times New Roman" w:hAnsi="Times New Roman"/>
          <w:caps w:val="false"/>
          <w:smallCaps w:val="false"/>
          <w:sz w:val="20"/>
          <w:shd w:fill="FFFFFF" w:val="clear"/>
        </w:rPr>
        <w:t xml:space="preserve">and $92 of tax expense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September 30, 2022, </w:t>
      </w:r>
      <w:r>
        <w:rPr>
          <w:rFonts w:ascii="Times New Roman" w:hAnsi="Times New Roman"/>
          <w:caps w:val="false"/>
          <w:smallCaps w:val="false"/>
          <w:sz w:val="20"/>
          <w:shd w:fill="FFFFFF" w:val="clear"/>
        </w:rPr>
        <w:t>respectively.  A reconciliation of income tax (benefit) expense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9"/>
        <w:gridCol w:w="60"/>
        <w:gridCol w:w="209"/>
        <w:gridCol w:w="916"/>
        <w:gridCol w:w="134"/>
        <w:gridCol w:w="100"/>
        <w:gridCol w:w="209"/>
        <w:gridCol w:w="1094"/>
        <w:gridCol w:w="80"/>
        <w:gridCol w:w="60"/>
        <w:gridCol w:w="193"/>
        <w:gridCol w:w="1007"/>
        <w:gridCol w:w="123"/>
        <w:gridCol w:w="92"/>
        <w:gridCol w:w="193"/>
        <w:gridCol w:w="1007"/>
        <w:gridCol w:w="89"/>
      </w:tblGrid>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9" w:type="dxa"/>
            <w:tcBorders/>
            <w:shd w:fill="FFFFFF" w:val="clear"/>
            <w:vAlign w:val="center"/>
          </w:tcPr>
          <w:p>
            <w:pPr>
              <w:pStyle w:val="TableContents"/>
              <w:bidi w:val="0"/>
              <w:spacing w:before="0" w:after="283"/>
              <w:jc w:val="left"/>
              <w:rPr/>
            </w:pPr>
            <w:r>
              <w:rPr/>
              <w:t> </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46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(9,277</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(14,658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(25,797</w:t>
            </w:r>
          </w:p>
        </w:tc>
        <w:tc>
          <w:tcPr>
            <w:tcW w:w="1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(33,552</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3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Theoretical tax expense at the statutory rate (21% in 2023 and 2022)</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(1,961</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(5,417</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(7,046</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Differences in jurisdictional tax rates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(417</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(965</w:t>
            </w:r>
          </w:p>
        </w:tc>
        <w:tc>
          <w:tcPr>
            <w:tcW w:w="1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(1,247</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3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2,343</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6,675</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7,327</w:t>
            </w:r>
          </w:p>
        </w:tc>
        <w:tc>
          <w:tcPr>
            <w:tcW w:w="89" w:type="dxa"/>
            <w:tcBorders/>
            <w:shd w:fill="FFFFFF" w:val="clear"/>
            <w:vAlign w:val="center"/>
          </w:tcPr>
          <w:p>
            <w:pPr>
              <w:pStyle w:val="TableContents"/>
              <w:bidi w:val="0"/>
              <w:spacing w:before="0" w:after="283"/>
              <w:jc w:val="left"/>
              <w:rPr/>
            </w:pPr>
            <w:r>
              <w:rPr/>
              <w:t> </w:t>
            </w:r>
          </w:p>
        </w:tc>
      </w:tr>
      <w:tr>
        <w:trPr/>
        <w:tc>
          <w:tcPr>
            <w:tcW w:w="46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Non-deductible expenses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1,058</w:t>
            </w:r>
          </w:p>
        </w:tc>
        <w:tc>
          <w:tcPr>
            <w:tcW w:w="89" w:type="dxa"/>
            <w:tcBorders/>
            <w:shd w:fill="CCEEFF" w:val="clear"/>
            <w:vAlign w:val="center"/>
          </w:tcPr>
          <w:p>
            <w:pPr>
              <w:pStyle w:val="TableContents"/>
              <w:bidi w:val="0"/>
              <w:spacing w:before="0" w:after="283"/>
              <w:jc w:val="left"/>
              <w:rPr/>
            </w:pPr>
            <w:r>
              <w:rPr/>
              <w:t> </w:t>
            </w:r>
          </w:p>
        </w:tc>
      </w:tr>
      <w:tr>
        <w:trPr/>
        <w:tc>
          <w:tcPr>
            <w:tcW w:w="463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46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income tax provision (recovery)</w:t>
            </w:r>
          </w:p>
        </w:tc>
        <w:tc>
          <w:tcPr>
            <w:tcW w:w="60" w:type="dxa"/>
            <w:tcBorders/>
            <w:shd w:fill="CCEE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w:t>
            </w:r>
          </w:p>
        </w:tc>
        <w:tc>
          <w:tcPr>
            <w:tcW w:w="123"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463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(8,956</w:t>
            </w:r>
          </w:p>
        </w:tc>
        <w:tc>
          <w:tcPr>
            <w:tcW w:w="1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bidi w:val="0"/>
              <w:spacing w:before="0" w:after="0"/>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9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(14,496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(25,900</w:t>
            </w:r>
          </w:p>
        </w:tc>
        <w:tc>
          <w:tcPr>
            <w:tcW w:w="12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0"/>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(33,644</w:t>
            </w:r>
          </w:p>
        </w:tc>
        <w:tc>
          <w:tcPr>
            <w:tcW w:w="8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tax expense or benefit is recognized based on the actual loss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SEGMENT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assess the performance of individual product lines on measures of profit or loss, or asset-based metrics. Therefore, the information below is presented only for revenues by geography and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by geographic location, which is based on the product shipped to location, is summarized as follows:</w:t>
      </w:r>
    </w:p>
    <w:p>
      <w:pPr>
        <w:pStyle w:val="TextBody"/>
        <w:bidi w:val="0"/>
        <w:spacing w:before="0" w:after="0"/>
        <w:ind w:left="0" w:right="0" w:hanging="0"/>
        <w:jc w:val="left"/>
        <w:rPr>
          <w:caps w:val="false"/>
          <w:smallCaps w:val="false"/>
        </w:rPr>
      </w:pPr>
      <w:r>
        <w:rPr>
          <w:caps w:val="false"/>
          <w:smallCaps w:val="false"/>
        </w:rPr>
        <w:t> </w:t>
      </w:r>
    </w:p>
    <w:tbl>
      <w:tblPr>
        <w:tblW w:w="7239" w:type="dxa"/>
        <w:jc w:val="left"/>
        <w:tblInd w:w="0" w:type="dxa"/>
        <w:tblLayout w:type="fixed"/>
        <w:tblCellMar>
          <w:top w:w="0" w:type="dxa"/>
          <w:left w:w="0" w:type="dxa"/>
          <w:bottom w:w="0" w:type="dxa"/>
          <w:right w:w="0" w:type="dxa"/>
        </w:tblCellMar>
      </w:tblPr>
      <w:tblGrid>
        <w:gridCol w:w="1145"/>
        <w:gridCol w:w="60"/>
        <w:gridCol w:w="239"/>
        <w:gridCol w:w="1132"/>
        <w:gridCol w:w="115"/>
        <w:gridCol w:w="115"/>
        <w:gridCol w:w="239"/>
        <w:gridCol w:w="1132"/>
        <w:gridCol w:w="60"/>
        <w:gridCol w:w="60"/>
        <w:gridCol w:w="232"/>
        <w:gridCol w:w="1098"/>
        <w:gridCol w:w="111"/>
        <w:gridCol w:w="111"/>
        <w:gridCol w:w="232"/>
        <w:gridCol w:w="1098"/>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11,167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31,665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38,319</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26,557</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36,892</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long-lived assets in the amount of $9,620</w:t>
      </w:r>
      <w:r>
        <w:rPr>
          <w:rFonts w:ascii="Times New Roman" w:hAnsi="Times New Roman"/>
          <w:caps w:val="false"/>
          <w:smallCaps w:val="false"/>
          <w:sz w:val="20"/>
          <w:shd w:fill="FFFFFF" w:val="clear"/>
        </w:rPr>
        <w:t> were located in the United States and $1,205 </w:t>
      </w:r>
      <w:r>
        <w:rPr>
          <w:rFonts w:ascii="Times New Roman" w:hAnsi="Times New Roman"/>
          <w:caps w:val="false"/>
          <w:smallCaps w:val="false"/>
          <w:sz w:val="20"/>
        </w:rPr>
        <w:t xml:space="preserve">were located in foreign locations.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long-lived assets in the amount of $12,346 were located in the United States and $1,431 were located in foreign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Revenue by type is a key indicator for providing management with an understanding of the Company’s financial performance, which is organized into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different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1.</w:t>
      </w:r>
      <w:r>
        <w:rPr>
          <w:rFonts w:ascii="Times New Roman" w:hAnsi="Times New Roman"/>
          <w:caps w:val="false"/>
          <w:smallCaps w:val="false"/>
          <w:sz w:val="20"/>
        </w:rPr>
        <w:t>    Lease revenue – includes all system sales with typical lease terms of 36 months.h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2.</w:t>
      </w:r>
      <w:r>
        <w:rPr>
          <w:rFonts w:ascii="Times New Roman" w:hAnsi="Times New Roman"/>
          <w:caps w:val="false"/>
          <w:smallCaps w:val="false"/>
          <w:sz w:val="20"/>
        </w:rPr>
        <w:t>    System revenue – includes all systems sales with payment terms within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3.</w:t>
      </w:r>
      <w:r>
        <w:rPr>
          <w:rFonts w:ascii="Times New Roman" w:hAnsi="Times New Roman"/>
          <w:caps w:val="false"/>
          <w:smallCaps w:val="false"/>
          <w:sz w:val="20"/>
        </w:rPr>
        <w:t>    Product revenue – includes skincare, hair and other consumables payable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4.</w:t>
      </w:r>
      <w:r>
        <w:rPr>
          <w:rFonts w:ascii="Times New Roman" w:hAnsi="Times New Roman"/>
          <w:caps w:val="false"/>
          <w:smallCaps w:val="false"/>
          <w:sz w:val="20"/>
        </w:rPr>
        <w:t>    Service revenue – includes NeoGraft technician services, ad agency services and extended warranty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revenue by type:</w:t>
      </w:r>
    </w:p>
    <w:p>
      <w:pPr>
        <w:pStyle w:val="TextBody"/>
        <w:bidi w:val="0"/>
        <w:spacing w:before="0" w:after="0"/>
        <w:ind w:left="0" w:right="0" w:hanging="0"/>
        <w:jc w:val="left"/>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1340"/>
        <w:gridCol w:w="60"/>
        <w:gridCol w:w="239"/>
        <w:gridCol w:w="1132"/>
        <w:gridCol w:w="115"/>
        <w:gridCol w:w="115"/>
        <w:gridCol w:w="239"/>
        <w:gridCol w:w="1132"/>
        <w:gridCol w:w="60"/>
        <w:gridCol w:w="60"/>
        <w:gridCol w:w="232"/>
        <w:gridCol w:w="1098"/>
        <w:gridCol w:w="111"/>
        <w:gridCol w:w="111"/>
        <w:gridCol w:w="232"/>
        <w:gridCol w:w="1098"/>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14,440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29,490</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 revenue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33,212</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33,838</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9,702</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revenue</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amounts were recorded at the exchange amount, which is the amount established and agreed to by the related parties. The following are transactions between the Company and parties related through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Distribution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entered into a Distribution Agreement with Technicalbiomed Co., Ltd. (“TBC”), pursuant to which TBC will continue to distribute the Company’s products in Thailand. A former senior officer of the Company is a 30.0% shareholder of TBC.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TBC purchased products in the amoun</w:t>
      </w:r>
      <w:r>
        <w:rPr>
          <w:rFonts w:ascii="Times New Roman" w:hAnsi="Times New Roman"/>
          <w:caps w:val="false"/>
          <w:smallCaps w:val="false"/>
          <w:sz w:val="20"/>
          <w:shd w:fill="FFFFFF" w:val="clear"/>
        </w:rPr>
        <w:t xml:space="preserve">t of $nil and $192, respectively, under this distribution agreement. These sales are included in products and services revenue.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September 30,</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TBC purchased products in the amount of $322 and $928 respectively, under this distribution agreement. </w:t>
      </w:r>
      <w:r>
        <w:rPr>
          <w:rFonts w:ascii="Times New Roman" w:hAnsi="Times New Roman"/>
          <w:caps w:val="false"/>
          <w:smallCaps w:val="false"/>
          <w:sz w:val="20"/>
        </w:rPr>
        <w:t>These sales are included in products and services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made several strategic decisions to divest itself of underperforming direct sales offices and sold its share in several subsidiaries, including its 55.0% shareholding in Venus Concept Singapore Pte. Ltd. ("Venus Singapore"). On </w:t>
      </w:r>
      <w:r>
        <w:rPr>
          <w:rStyle w:val="Emphasis"/>
          <w:rFonts w:ascii="Times New Roman" w:hAnsi="Times New Roman"/>
          <w:caps w:val="false"/>
          <w:smallCaps w:val="false"/>
          <w:sz w:val="20"/>
        </w:rPr>
        <w:t xml:space="preserve">January 1, 2021, </w:t>
      </w:r>
      <w:r>
        <w:rPr>
          <w:rFonts w:ascii="Times New Roman" w:hAnsi="Times New Roman"/>
          <w:caps w:val="false"/>
          <w:smallCaps w:val="false"/>
          <w:sz w:val="20"/>
        </w:rPr>
        <w:t>the Company entered into a distribution agreement with Aexel Biomed Pte Ltd. (“Aexel Biomed”), formerly Venus Singapore, pursuant to which Aexel Biomed</w:t>
      </w:r>
      <w:r>
        <w:rPr>
          <w:rFonts w:ascii="Times New Roman" w:hAnsi="Times New Roman"/>
          <w:caps w:val="false"/>
          <w:smallCaps w:val="false"/>
          <w:sz w:val="20"/>
          <w:shd w:fill="FFFFFF" w:val="clear"/>
        </w:rPr>
        <w:t xml:space="preserve"> will continue to distribute the Company’s products in Singapore. A former senior officer of the Company is a 45.0% shareholder of Aexel Biomed.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shd w:fill="FFFFFF" w:val="clear"/>
        </w:rPr>
        <w:t xml:space="preserve">, Aexel Biomed purchased products in the amount of $nil and $57, respectively, under the distribution agreement. During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September 30,</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Aexel Biomed purchased products in the amount of $122 and $376, respectively, under the distributions agreement. These sales are included in products and services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18.</w:t>
      </w:r>
      <w:r>
        <w:rPr>
          <w:rFonts w:ascii="Times New Roman;Times;serif" w:hAnsi="Times New Roman;Times;serif"/>
          <w:b/>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Debt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4, 2023, </w:t>
      </w:r>
      <w:r>
        <w:rPr>
          <w:rFonts w:ascii="Times New Roman" w:hAnsi="Times New Roman"/>
          <w:caps w:val="false"/>
          <w:smallCaps w:val="false"/>
          <w:sz w:val="20"/>
        </w:rPr>
        <w:t xml:space="preserve">the Company entered into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Exchange Agreement with the Madryn Noteholders. Pursuant to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Exchange Agreement, the Madryn Noteholders agreed to exchange (the “Exchange”) $26.695 million in aggregate principal amount of outstanding secured convertible notes of the Company for (i) $22.792 million in aggregate principal amount of new secured convertible notes of the Company (the “New Notes”) and (ii) 248,755 shares of newly-created convertible preferred stock of the Company, par value $0.0001 per share, designated as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Convertible Preferred Stock” (the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The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were priced at $20.10 per share (the “Issuance Price”), being equal to the “Minimum Price” as set forth in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 xml:space="preserve">(d), multiplied by ten. The New Notes accrue interest at a rate of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-month adjusted term Secured Overnight Financing Rate (SOFR) plus 8.50% per annum. In the case of an event of default under the New Notes, the then-applicable interest rate will increase by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percent (4.00%) per annum. Interest is payable in kind in arrears on the last business day of each calendar quarter of each year after the original issuance date, beginning on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New Notes mature on </w:t>
      </w:r>
      <w:r>
        <w:rPr>
          <w:rStyle w:val="Emphasis"/>
          <w:rFonts w:ascii="Times New Roman" w:hAnsi="Times New Roman"/>
          <w:caps w:val="false"/>
          <w:smallCaps w:val="false"/>
          <w:sz w:val="20"/>
        </w:rPr>
        <w:t xml:space="preserve">December 9, 2025, </w:t>
      </w:r>
      <w:r>
        <w:rPr>
          <w:rFonts w:ascii="Times New Roman" w:hAnsi="Times New Roman"/>
          <w:caps w:val="false"/>
          <w:smallCaps w:val="false"/>
          <w:sz w:val="20"/>
        </w:rPr>
        <w:t xml:space="preserve">unless earlier redeemed or converted. Refer to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filed with the SEC on </w:t>
      </w:r>
      <w:r>
        <w:rPr>
          <w:rStyle w:val="Emphasis"/>
          <w:rFonts w:ascii="Times New Roman" w:hAnsi="Times New Roman"/>
          <w:caps w:val="false"/>
          <w:smallCaps w:val="false"/>
          <w:sz w:val="20"/>
        </w:rPr>
        <w:t xml:space="preserve">October 5, 2023 </w:t>
      </w:r>
      <w:r>
        <w:rPr>
          <w:rFonts w:ascii="Times New Roman" w:hAnsi="Times New Roman"/>
          <w:caps w:val="false"/>
          <w:smallCaps w:val="false"/>
          <w:sz w:val="20"/>
        </w:rPr>
        <w:t>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4, 2023, </w:t>
      </w:r>
      <w:r>
        <w:rPr>
          <w:rFonts w:ascii="Times New Roman" w:hAnsi="Times New Roman"/>
          <w:caps w:val="false"/>
          <w:smallCaps w:val="false"/>
          <w:sz w:val="20"/>
        </w:rPr>
        <w:t xml:space="preserve">the Company filed a Certificate of Designations with respect to the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with the Secretary of State of the State of Delaware, thereby creating the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The Certificate of Designations authorizes the issuance of up to 400,000 shares of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The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is convertible into shares of Common Stock on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-for-ten basis, in whole or in part, at the option of the holder at any time upon delivery of a valid conversion notice of the Company; provided, however, that the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is subject to limitations on convertibility to the extent necessary to comply with the rules and regulations of the Nasdaq. Each share of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carries a liquidation preference, senior to the Common Stock, the Senior Preferred Stock and Voting Preferred Stock, in an amount equal to the Issuance Price, subject to appropriate adjustment in the event of any stock dividend, stock split, combination or similar recapitalization with respect to the Common Stock. From the date of issuance until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 xml:space="preserve">each share of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accrues a dividend at a rate of 12.5% per annum. Such dividend is payable on a quarterly basis in cash or additional shares of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at the Company’s election. In addition, each share of Series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Preferred Stock is entitled to participate in dividends and other non-liquidating distributions, if, as and when declared by the Board of Directors of the Company, on a pari passu basis with the Common Stock, Senior Preferred Stock and Junior Preferred Stock. Refer to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filed with the SEC on </w:t>
      </w:r>
      <w:r>
        <w:rPr>
          <w:rStyle w:val="Emphasis"/>
          <w:rFonts w:ascii="Times New Roman" w:hAnsi="Times New Roman"/>
          <w:caps w:val="false"/>
          <w:smallCaps w:val="false"/>
          <w:sz w:val="20"/>
        </w:rPr>
        <w:t xml:space="preserve">October 5, 2023 </w:t>
      </w:r>
      <w:r>
        <w:rPr>
          <w:rFonts w:ascii="Times New Roman" w:hAnsi="Times New Roman"/>
          <w:caps w:val="false"/>
          <w:smallCaps w:val="false"/>
          <w:sz w:val="20"/>
        </w:rPr>
        <w:t>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4, 2023, </w:t>
      </w:r>
      <w:r>
        <w:rPr>
          <w:rFonts w:ascii="Times New Roman" w:hAnsi="Times New Roman"/>
          <w:caps w:val="false"/>
          <w:smallCaps w:val="false"/>
          <w:sz w:val="20"/>
        </w:rPr>
        <w:t xml:space="preserve">the Company, Venus USA, Venus Canada and Venus Ltd.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is deferred until maturity, (ii) the principal payment in the amount of 15% of the outstanding principal balance of the loan originally due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is reduced to 7.5% with the remainder deferred until maturity, (iii) the interest rate of the loan is reset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-month LIBOR plus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-month term Secured Overnight Financing Rate (SOFR) plus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-quarter percent (3.25%), and (iv) Venus USA has assigned certain of its subscription sales contracts to CNB. Refer to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filed with the SEC on </w:t>
      </w:r>
      <w:r>
        <w:rPr>
          <w:rStyle w:val="Emphasis"/>
          <w:rFonts w:ascii="Times New Roman" w:hAnsi="Times New Roman"/>
          <w:caps w:val="false"/>
          <w:smallCaps w:val="false"/>
          <w:sz w:val="20"/>
        </w:rPr>
        <w:t xml:space="preserve">October 5, 2023 </w:t>
      </w:r>
      <w:r>
        <w:rPr>
          <w:rFonts w:ascii="Times New Roman" w:hAnsi="Times New Roman"/>
          <w:caps w:val="false"/>
          <w:smallCaps w:val="false"/>
          <w:sz w:val="20"/>
        </w:rPr>
        <w:t>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Appointment of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rFonts w:ascii="Times New Roman" w:hAnsi="Times New Roman"/>
          <w:sz w:val="20"/>
        </w:rPr>
        <w:t xml:space="preserve">On </w:t>
      </w:r>
      <w:r>
        <w:rPr>
          <w:rStyle w:val="Emphasis"/>
          <w:rFonts w:ascii="Times New Roman" w:hAnsi="Times New Roman"/>
          <w:sz w:val="20"/>
        </w:rPr>
        <w:t xml:space="preserve">October 12, 2023, </w:t>
      </w:r>
      <w:r>
        <w:rPr>
          <w:rFonts w:ascii="Times New Roman" w:hAnsi="Times New Roman"/>
          <w:sz w:val="20"/>
        </w:rPr>
        <w:t xml:space="preserve">the Company announced the appointment of Hemanth Varghese, Ph.D., CFA, as the Company’s President and Chief Operating Officer, effective </w:t>
      </w:r>
      <w:r>
        <w:rPr>
          <w:rStyle w:val="Emphasis"/>
          <w:rFonts w:ascii="Times New Roman" w:hAnsi="Times New Roman"/>
          <w:sz w:val="20"/>
        </w:rPr>
        <w:t>October 16, 2023.</w:t>
      </w:r>
      <w:r>
        <w:rPr>
          <w:rFonts w:ascii="Times New Roman" w:hAnsi="Times New Roman"/>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Dr. Varghese, age </w:t>
      </w:r>
      <w:r>
        <w:rPr>
          <w:rStyle w:val="Emphasis"/>
          <w:rFonts w:ascii="Times New Roman" w:hAnsi="Times New Roman"/>
          <w:caps w:val="false"/>
          <w:smallCaps w:val="false"/>
          <w:sz w:val="20"/>
        </w:rPr>
        <w:t>48,</w:t>
      </w:r>
      <w:r>
        <w:rPr>
          <w:rFonts w:ascii="Times New Roman" w:hAnsi="Times New Roman"/>
          <w:caps w:val="false"/>
          <w:smallCaps w:val="false"/>
          <w:sz w:val="20"/>
        </w:rPr>
        <w:t xml:space="preserve"> served as the Company’s President and Chief Business &amp; Innovation Officer from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until his appointment as President and Chief Operating Officer. Dr. Varghese joined the Company as its President and Chief Business Officer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 xml:space="preserve">Before joining the Company, Dr. Varghese served as Senior Vice President of Strategy &amp; Operations at HLS Therapeutics from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until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He previously worked for Endo International Plc, a multinational healthcare company, from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until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as President of International Pharmaceuticals and Executive Vice President of Corporate Development &amp; Strategy. From </w:t>
      </w:r>
      <w:r>
        <w:rPr>
          <w:rStyle w:val="Emphasis"/>
          <w:rFonts w:ascii="Times New Roman" w:hAnsi="Times New Roman"/>
          <w:caps w:val="false"/>
          <w:smallCaps w:val="false"/>
          <w:sz w:val="20"/>
        </w:rPr>
        <w:t>2009</w:t>
      </w:r>
      <w:r>
        <w:rPr>
          <w:rFonts w:ascii="Times New Roman" w:hAnsi="Times New Roman"/>
          <w:caps w:val="false"/>
          <w:smallCaps w:val="false"/>
          <w:sz w:val="20"/>
        </w:rPr>
        <w:t xml:space="preserve"> until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Dr. Varghese served as General Manager of Vision Care at Bausch &amp; Lomb and Senior Vice President of Corporate Development at Valeant Pharmaceuticals (now Bausch Health). He has also held leadership roles in venture capital and corporate development enterprises with a specialization in healthcare technology, medical devices, and imaging modalities. Dr. Varghese has an Honors BSc and a PhD in Medical Biophysics from Western University and is a CFA charter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his appointment as President and Chief Operating Officer, Dr. Varghese received a $0.06 million raise to his base salary, from $370 to $425 and the percentage of his base salary that will be paid upon achievement by Dr. Varghese and the Company of performance goals at the target level was increased to 65% from 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 xml:space="preserve">Fourth Placement under the </w:t>
      </w:r>
      <w:r>
        <w:rPr>
          <w:rStyle w:val="Emphasis"/>
          <w:rFonts w:ascii="Times New Roman" w:hAnsi="Times New Roman"/>
          <w:b/>
          <w:i/>
          <w:caps w:val="false"/>
          <w:smallCaps w:val="false"/>
          <w:sz w:val="20"/>
        </w:rPr>
        <w:t>2023</w:t>
      </w:r>
      <w:r>
        <w:rPr>
          <w:rFonts w:ascii="Times New Roman" w:hAnsi="Times New Roman"/>
          <w:b/>
          <w:i/>
          <w:caps w:val="false"/>
          <w:smallCaps w:val="false"/>
          <w:sz w:val="20"/>
        </w:rPr>
        <w:t xml:space="preserve"> Multi-Tranche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20, 2023, </w:t>
      </w:r>
      <w:r>
        <w:rPr>
          <w:rFonts w:ascii="Times New Roman" w:hAnsi="Times New Roman"/>
          <w:caps w:val="false"/>
          <w:smallCaps w:val="false"/>
          <w:sz w:val="20"/>
        </w:rPr>
        <w:t xml:space="preserve">the Company and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Investors consummated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tranche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Multi-Tranche Private Placement, under which the Company sold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Investors 502,513 shares of Senior Preferred Stock for an aggregate purchase price of $2.0 million (the “Fourth Placement”). The Company expects to use the proceeds of the Fourth Placement, after the payment of transaction expenses, for general working capital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factors which we currently believe could have a material adverse effect on our business operations and financial performance and condition include, but are not limited to, the following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dependency on the subscription-based model, which exposes us to the credit risk of our customers over the life of each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customers’ failure to make payments under their subscription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customers’ ability to secure third party financing due to tightened credit markets and higher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need to obtain, maintain and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extensive governmental regulation and oversight in the countries in which we operate and our ability to comply with the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possibility that our systems may cause or contribute to adverse medical events that could harm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a significant portion of our operations are located in Israel and therefore our business, financial condition and results of operations may be adversely affected by political, economic and military conditions there;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ability to come into, and remain in, compliance with the listing requirements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volatility of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caps w:val="false"/>
          <w:smallCaps w:val="false"/>
          <w:sz w:val="20"/>
        </w:rPr>
        <w:t>our dependency on one major contract manufacturer in Israel exposes us to supply disruptions should that facility be subject to a strike, shutdown, fire flood or other natural disaster;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reliance on the expertise and retention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our ability to access the capital markets and/or obtain credit on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inflation, currency fluctuations and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global supply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global economic and political conditions and uncertainties, including but not limited to the Russia-Ukraine and Israel-Hamas conflicts; 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expected timing, proceeds and other details with respect to future sales of senior preferred stock, if any, in the 2023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caps w:val="false"/>
          <w:smallCaps w:val="false"/>
          <w:sz w:val="20"/>
        </w:rPr>
      </w:pPr>
      <w:bookmarkStart w:id="11" w:name="p1i2"/>
      <w:bookmarkEnd w:id="11"/>
      <w:r>
        <w:rPr>
          <w:rFonts w:ascii="Times New Roman;Times;serif" w:hAnsi="Times New Roman;Times;serif"/>
          <w:b/>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The following discussion contains management</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s discussion and analysis of our financial condition and results of operations and should be read together with the unaudited condensed consolidated financial statements and the notes thereto included elsewhere in this Quarterly Report on Form 10-Q for the quarter ended</w:t>
      </w:r>
      <w:r>
        <w:rPr>
          <w:rFonts w:ascii="Times New Roman;Times;serif" w:hAnsi="Times New Roman;Times;serif"/>
          <w:caps w:val="false"/>
          <w:smallCaps w:val="false"/>
          <w:sz w:val="20"/>
        </w:rPr>
        <w:t xml:space="preserve"> September 30, 2023 </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Form 10-Q</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 with our audited consolidated financial statements and notes thereto in our Annual Report on Form 10-K for the year ended</w:t>
      </w:r>
      <w:r>
        <w:rPr>
          <w:rFonts w:ascii="Times New Roman;Times;serif" w:hAnsi="Times New Roman;Times;serif"/>
          <w:caps w:val="false"/>
          <w:smallCaps w:val="false"/>
          <w:sz w:val="20"/>
        </w:rPr>
        <w:t xml:space="preserve"> December 31, 2022 </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Form 10-K</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 and other filings we have made with the SEC.</w:t>
      </w:r>
      <w:r>
        <w:rPr>
          <w:rFonts w:ascii="Times New Roman;Times;serif" w:hAnsi="Times New Roman;Times;serif"/>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nine months ended September 30, 2023 and 2022,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had recurring net operating losses and negative cash flows from operations. As of September 30, 2023 and December 31, 2022, we had an accumulated deficit o</w:t>
      </w:r>
      <w:r>
        <w:rPr>
          <w:rFonts w:ascii="Times New Roman" w:hAnsi="Times New Roman"/>
          <w:caps w:val="false"/>
          <w:smallCaps w:val="false"/>
          <w:sz w:val="20"/>
          <w:shd w:fill="FFFFFF" w:val="clear"/>
        </w:rPr>
        <w:t xml:space="preserve">f $250.8 million and $224.1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December 31, 2022</w:t>
      </w:r>
      <w:r>
        <w:rPr>
          <w:rFonts w:ascii="Times New Roman" w:hAnsi="Times New Roman"/>
          <w:caps w:val="false"/>
          <w:smallCaps w:val="false"/>
          <w:sz w:val="20"/>
          <w:shd w:fill="FFFFFF" w:val="clear"/>
        </w:rPr>
        <w:t>, we had cash and cash equivalents of $4.9 million and $11.6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global economy, including the financial and credit markets, has recently experienced extreme volatility and disruptions,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Purchase Agreement with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16, 2020, we entered into a purchase agreement (the "Equity Purchase Agreement") with Lincoln Park Capital Fund LLC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The Equity Purchase Agreement expired on July 1, 2022 and was replaced by the 2022 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2022 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12, 2022, we entered into a subsequent purchase agreement (the "2022 LPC Purchase Agreement") with Lincoln Park, which will enhance our balance sheet and financial condition to support our future growth initiatives. As part of the 2022 LPC Purchase Agreement, we issued and sold to Lincoln Par</w:t>
      </w:r>
      <w:r>
        <w:rPr>
          <w:rFonts w:ascii="Times New Roman" w:hAnsi="Times New Roman"/>
          <w:caps w:val="false"/>
          <w:smallCaps w:val="false"/>
          <w:sz w:val="20"/>
          <w:shd w:fill="FFFFFF" w:val="clear"/>
        </w:rPr>
        <w:t>k 0.05</w:t>
      </w:r>
      <w:r>
        <w:rPr>
          <w:rFonts w:ascii="Times New Roman" w:hAnsi="Times New Roman"/>
          <w:caps w:val="false"/>
          <w:smallCaps w:val="false"/>
          <w:sz w:val="20"/>
        </w:rPr>
        <w:t>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nine months ended September 30, 2023, the Company issued an additional 0.34 million shares of common stock to Lincoln Park at an average price of $3.23 per share, for a total value of $1.1 million. For additional information regarding the 2022 LPC Purchase Agreement, see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unaudited condensed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sz w:val="20"/>
        </w:rPr>
        <w:t>The 2021 Private Placement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15, 2021, the Company consummated the 2021 Private Placement whereby we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are discussed in Note 14 </w:t>
      </w:r>
      <w:r>
        <w:rPr>
          <w:rFonts w:ascii="Times New Roman;Times;serif" w:hAnsi="Times New Roman;Times;serif"/>
          <w:i/>
          <w:sz w:val="20"/>
        </w:rPr>
        <w:t>"Stockholders Equity"</w:t>
      </w:r>
      <w:r>
        <w:rPr>
          <w:rFonts w:ascii="Times New Roman;Times;serif" w:hAnsi="Times New Roman;Times;serif"/>
          <w:sz w:val="20"/>
        </w:rPr>
        <w:t> in the notes to our consolidated financial statements included elsewhere in this report. These Non-Voting Preferred Stock shares were subsequently converted to common stock upon issuance of the 2022 Private Placement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sz w:val="20"/>
        </w:rPr>
        <w:t>The 2022 Private Placement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18, 2022,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2023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expects to use the proceeds of the Placements, after the payment of transaction expenses, for general working capital purposes. The accounting effects of the 2023 Multi-Tranche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derive revenue from the sale of products and services. Product revenue includes revenue from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sale, including traditional sales and subscription-based sales, of systems, inclusive of the main console and applicators/handpieces (referred to as system revenue);</w:t>
            </w:r>
          </w:p>
        </w:tc>
      </w:tr>
    </w:tbl>
    <w:p>
      <w:pPr>
        <w:pStyle w:val="TextBody"/>
        <w:bidi w:val="0"/>
        <w:spacing w:before="0" w:after="0"/>
        <w:ind w:left="0" w:right="0" w:hanging="0"/>
        <w:jc w:val="both"/>
        <w:rPr/>
      </w:pPr>
      <w:r>
        <w:rPr/>
        <w:t> </w:t>
      </w:r>
    </w:p>
    <w:tbl>
      <w:tblPr>
        <w:tblW w:w="2485" w:type="dxa"/>
        <w:jc w:val="left"/>
        <w:tblInd w:w="0" w:type="dxa"/>
        <w:tblLayout w:type="fixed"/>
        <w:tblCellMar>
          <w:top w:w="0" w:type="dxa"/>
          <w:left w:w="0" w:type="dxa"/>
          <w:bottom w:w="0" w:type="dxa"/>
          <w:right w:w="0" w:type="dxa"/>
        </w:tblCellMar>
      </w:tblPr>
      <w:tblGrid>
        <w:gridCol w:w="60"/>
        <w:gridCol w:w="110"/>
        <w:gridCol w:w="23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marketing supplies and kits;</w:t>
            </w:r>
          </w:p>
        </w:tc>
      </w:tr>
    </w:tbl>
    <w:p>
      <w:pPr>
        <w:pStyle w:val="TextBody"/>
        <w:bidi w:val="0"/>
        <w:spacing w:before="0" w:after="0"/>
        <w:ind w:left="0" w:right="0" w:hanging="0"/>
        <w:jc w:val="both"/>
        <w:rPr/>
      </w:pPr>
      <w:r>
        <w:rPr/>
        <w:t> </w:t>
      </w:r>
    </w:p>
    <w:tbl>
      <w:tblPr>
        <w:tblW w:w="2635" w:type="dxa"/>
        <w:jc w:val="left"/>
        <w:tblInd w:w="0" w:type="dxa"/>
        <w:tblLayout w:type="fixed"/>
        <w:tblCellMar>
          <w:top w:w="0" w:type="dxa"/>
          <w:left w:w="0" w:type="dxa"/>
          <w:bottom w:w="0" w:type="dxa"/>
          <w:right w:w="0" w:type="dxa"/>
        </w:tblCellMar>
      </w:tblPr>
      <w:tblGrid>
        <w:gridCol w:w="60"/>
        <w:gridCol w:w="110"/>
        <w:gridCol w:w="246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consumables and disposables;</w:t>
            </w:r>
          </w:p>
        </w:tc>
      </w:tr>
    </w:tbl>
    <w:p>
      <w:pPr>
        <w:pStyle w:val="TextBody"/>
        <w:bidi w:val="0"/>
        <w:spacing w:before="0" w:after="0"/>
        <w:ind w:left="0" w:right="0" w:hanging="0"/>
        <w:jc w:val="both"/>
        <w:rPr/>
      </w:pPr>
      <w:r>
        <w:rPr/>
        <w:t> </w:t>
      </w:r>
    </w:p>
    <w:tbl>
      <w:tblPr>
        <w:tblW w:w="1855" w:type="dxa"/>
        <w:jc w:val="left"/>
        <w:tblInd w:w="0" w:type="dxa"/>
        <w:tblLayout w:type="fixed"/>
        <w:tblCellMar>
          <w:top w:w="0" w:type="dxa"/>
          <w:left w:w="0" w:type="dxa"/>
          <w:bottom w:w="0" w:type="dxa"/>
          <w:right w:w="0" w:type="dxa"/>
        </w:tblCellMar>
      </w:tblPr>
      <w:tblGrid>
        <w:gridCol w:w="60"/>
        <w:gridCol w:w="110"/>
        <w:gridCol w:w="16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revenue; and</w:t>
            </w:r>
          </w:p>
        </w:tc>
      </w:tr>
    </w:tbl>
    <w:p>
      <w:pPr>
        <w:pStyle w:val="TextBody"/>
        <w:bidi w:val="0"/>
        <w:spacing w:before="0" w:after="0"/>
        <w:ind w:left="0" w:right="0" w:hanging="0"/>
        <w:jc w:val="both"/>
        <w:rPr/>
      </w:pPr>
      <w:r>
        <w:rPr/>
        <w:t> </w:t>
      </w:r>
    </w:p>
    <w:tbl>
      <w:tblPr>
        <w:tblW w:w="3145" w:type="dxa"/>
        <w:jc w:val="left"/>
        <w:tblInd w:w="0" w:type="dxa"/>
        <w:tblLayout w:type="fixed"/>
        <w:tblCellMar>
          <w:top w:w="0" w:type="dxa"/>
          <w:left w:w="0" w:type="dxa"/>
          <w:bottom w:w="0" w:type="dxa"/>
          <w:right w:w="0" w:type="dxa"/>
        </w:tblCellMar>
      </w:tblPr>
      <w:tblGrid>
        <w:gridCol w:w="60"/>
        <w:gridCol w:w="110"/>
        <w:gridCol w:w="297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replacement applicators/handpieces.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revenue includes revenue derived from our extended warranty service contracts provided to our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Systems are sold through traditional sales contracts directly, through our subscription model,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generate revenue from traditional system sales and from sales under our subscription-based business model, which is available to customers in North America and select international markets. Approximately 30% and 47% of our total system revenues were derived from our subscription model in the nine months ended September 30, 2023 and 2022, respectively. We currently do not offer the ARTAS iX system under the subscription model. For additional details related to our subscription model, see </w:t>
      </w:r>
      <w:r>
        <w:rPr>
          <w:rFonts w:ascii="Times New Roman;Times;serif" w:hAnsi="Times New Roman;Times;serif"/>
          <w:i/>
          <w:sz w:val="20"/>
        </w:rPr>
        <w:t xml:space="preserve">Item 1. Business </w:t>
      </w:r>
      <w:r>
        <w:rPr>
          <w:rFonts w:ascii="Times New Roman;Times;serif" w:hAnsi="Times New Roman;Times;serif"/>
          <w:sz w:val="20"/>
        </w:rPr>
        <w:t xml:space="preserve">– </w:t>
      </w:r>
      <w:r>
        <w:rPr>
          <w:rFonts w:ascii="Times New Roman;Times;serif" w:hAnsi="Times New Roman;Times;serif"/>
          <w:i/>
          <w:sz w:val="20"/>
        </w:rPr>
        <w:t>Subscription-Based Business Model</w:t>
      </w:r>
      <w:r>
        <w:rPr>
          <w:rFonts w:ascii="Times New Roman;Times;serif" w:hAnsi="Times New Roman;Times;serif"/>
          <w:sz w:val="20"/>
        </w:rPr>
        <w:t xml:space="preserve"> as filed in our Form 10-K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developed and received regulatory clearance for 12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focused on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2023, we operated directly in 14 international markets through our 11 </w:t>
      </w:r>
      <w:r>
        <w:rPr>
          <w:rFonts w:ascii="Times New Roman" w:hAnsi="Times New Roman"/>
          <w:caps w:val="false"/>
          <w:smallCaps w:val="false"/>
          <w:sz w:val="20"/>
          <w:shd w:fill="FFFFFF" w:val="clear"/>
        </w:rPr>
        <w:t>di</w:t>
      </w:r>
      <w:r>
        <w:rPr>
          <w:rFonts w:ascii="Times New Roman" w:hAnsi="Times New Roman"/>
          <w:caps w:val="false"/>
          <w:smallCaps w:val="false"/>
          <w:sz w:val="20"/>
        </w:rPr>
        <w:t>rect offices in the United States, Canada, United Kingdom, Japan, Mexico, Spain, Germany, Australia, China, Hong Kong, and Israel.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for the three months ended September 30, 2023, and 2022 were $17.6 million and $21.5 million, respectively. Our revenues for the nine months ended September 30, 2023, and 2022 were $58.2 million and $75.2 million, respectively. We had a net loss attributable to Venus Concept of $9.1 million and $14.6 million in the three months ended September 30, 2023, and 2022, respectively. We had a net loss attributable to Venus Concept of $26.4 million and $33.8 million in the nine months ended September 30, 2023, and 2022, respectively. We had an Adjusted EBITDA loss of $4.6 million and $7.7 million for the three months ended September 30, 2023, and 2022, respectively. We had an Adjusted EBITDA loss of $14.3 million and $19.0 million for the nine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Use</w:t>
      </w:r>
      <w:r>
        <w:rPr>
          <w:rFonts w:ascii="Times New Roman" w:hAnsi="Times New Roman"/>
          <w:caps w:val="false"/>
          <w:smallCaps w:val="false"/>
          <w:sz w:val="20"/>
        </w:rPr>
        <w:t> </w:t>
      </w:r>
      <w:r>
        <w:rPr>
          <w:rFonts w:ascii="Times New Roman" w:hAnsi="Times New Roman"/>
          <w:b/>
          <w:i/>
          <w:caps w:val="false"/>
          <w:smallCaps w:val="false"/>
          <w:sz w:val="20"/>
        </w:rPr>
        <w:t>of</w:t>
      </w:r>
      <w:r>
        <w:rPr>
          <w:rFonts w:ascii="Times New Roman" w:hAnsi="Times New Roman"/>
          <w:caps w:val="false"/>
          <w:smallCaps w:val="false"/>
          <w:sz w:val="20"/>
        </w:rPr>
        <w:t> </w:t>
      </w:r>
      <w:r>
        <w:rPr>
          <w:rFonts w:ascii="Times New Roman" w:hAnsi="Times New Roman"/>
          <w:b/>
          <w:i/>
          <w:caps w:val="false"/>
          <w:smallCaps w:val="false"/>
          <w:sz w:val="20"/>
        </w:rPr>
        <w:t>Non-GAAP</w:t>
      </w:r>
      <w:r>
        <w:rPr>
          <w:rFonts w:ascii="Times New Roman" w:hAnsi="Times New Roman"/>
          <w:caps w:val="false"/>
          <w:smallCaps w:val="false"/>
          <w:sz w:val="20"/>
        </w:rPr>
        <w:t> </w:t>
      </w:r>
      <w:r>
        <w:rPr>
          <w:rFonts w:ascii="Times New Roman" w:hAnsi="Times New Roman"/>
          <w:b/>
          <w:i/>
          <w:caps w:val="false"/>
          <w:smallCaps w:val="false"/>
          <w:sz w:val="20"/>
        </w:rPr>
        <w:t>Financial</w:t>
      </w:r>
      <w:r>
        <w:rPr>
          <w:rFonts w:ascii="Times New Roman" w:hAnsi="Times New Roman"/>
          <w:caps w:val="false"/>
          <w:smallCaps w:val="false"/>
          <w:sz w:val="20"/>
        </w:rPr>
        <w:t> </w:t>
      </w:r>
      <w:r>
        <w:rPr>
          <w:rFonts w:ascii="Times New Roman" w:hAnsi="Times New Roman"/>
          <w:b/>
          <w:i/>
          <w:caps w:val="false"/>
          <w:smallCaps w:val="false"/>
          <w:sz w:val="20"/>
        </w:rPr>
        <w:t xml:space="preserve">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measure defined as net income (loss) before foreign exchange loss,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net loss to Adjusted EBITDA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0099" w:type="dxa"/>
        <w:jc w:val="left"/>
        <w:tblInd w:w="0" w:type="dxa"/>
        <w:tblLayout w:type="fixed"/>
        <w:tblCellMar>
          <w:top w:w="0" w:type="dxa"/>
          <w:left w:w="0" w:type="dxa"/>
          <w:bottom w:w="0" w:type="dxa"/>
          <w:right w:w="0" w:type="dxa"/>
        </w:tblCellMar>
      </w:tblPr>
      <w:tblGrid>
        <w:gridCol w:w="3875"/>
        <w:gridCol w:w="60"/>
        <w:gridCol w:w="239"/>
        <w:gridCol w:w="1043"/>
        <w:gridCol w:w="153"/>
        <w:gridCol w:w="114"/>
        <w:gridCol w:w="239"/>
        <w:gridCol w:w="1244"/>
        <w:gridCol w:w="80"/>
        <w:gridCol w:w="60"/>
        <w:gridCol w:w="215"/>
        <w:gridCol w:w="1121"/>
        <w:gridCol w:w="137"/>
        <w:gridCol w:w="103"/>
        <w:gridCol w:w="215"/>
        <w:gridCol w:w="1121"/>
        <w:gridCol w:w="8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4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net loss to 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(8,956</w:t>
            </w:r>
          </w:p>
        </w:tc>
        <w:tc>
          <w:tcPr>
            <w:tcW w:w="15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(25,900</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4,389</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subsidiaries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expenses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1,605</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4,666</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15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1,010</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3,042</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3,293</w:t>
            </w:r>
          </w:p>
        </w:tc>
        <w:tc>
          <w:tcPr>
            <w:tcW w:w="8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1,552</w:t>
            </w:r>
          </w:p>
        </w:tc>
        <w:tc>
          <w:tcPr>
            <w:tcW w:w="8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Provision (1)</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pPr>
            <w:r>
              <w:rPr/>
              <w:t>—</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pPr>
            <w:r>
              <w:rPr/>
              <w:t>—</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adjustments (2)</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752</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2,082</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(4,636</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(14,337</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(1) For the three and nine months ended September 30, 2022, the inventory provision represents a strategic review of our product offerings which culminated in a decision to discontinue production and sale of certain models and component parts, resulting in an inventory adjustment of $1.4 million.</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(2) For the three and nine months ended September 30, 2023, the other adjustments primarily represent restructuring activities designed to improve the Company's operations and cost structure. For the three and nine months ended September 30, 2022, the other adjustments are represented by severance payments associated with a workforce reduction in Venus Concept S.L. (Spain) and Venus Canada of $0.7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Key Factors Impacting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results of operations are impacted by several factors, but we consider the following to be particularly significant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Number of systems delivered.</w:t>
      </w:r>
      <w:r>
        <w:rPr>
          <w:rFonts w:ascii="Times New Roman" w:hAnsi="Times New Roman"/>
          <w:caps w:val="false"/>
          <w:smallCaps w:val="false"/>
          <w:sz w:val="20"/>
        </w:rPr>
        <w:t xml:space="preserve"> The majority of our revenue is generated from the delivery of systems, both under traditional sales contracts and subscription agreements. The following table sets forth the number of systems we have delivered in the geographic regions indicated:</w:t>
      </w:r>
    </w:p>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1940"/>
        <w:gridCol w:w="60"/>
        <w:gridCol w:w="197"/>
        <w:gridCol w:w="1115"/>
        <w:gridCol w:w="197"/>
        <w:gridCol w:w="197"/>
        <w:gridCol w:w="197"/>
        <w:gridCol w:w="1128"/>
        <w:gridCol w:w="60"/>
        <w:gridCol w:w="60"/>
        <w:gridCol w:w="165"/>
        <w:gridCol w:w="921"/>
        <w:gridCol w:w="165"/>
        <w:gridCol w:w="165"/>
        <w:gridCol w:w="165"/>
        <w:gridCol w:w="1333"/>
        <w:gridCol w:w="60"/>
      </w:tblGrid>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4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w:t>
            </w:r>
          </w:p>
        </w:tc>
        <w:tc>
          <w:tcPr>
            <w:tcW w:w="19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325</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325</w:t>
            </w:r>
          </w:p>
        </w:tc>
        <w:tc>
          <w:tcPr>
            <w:tcW w:w="6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International</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584</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908</w:t>
            </w:r>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systems delivered</w:t>
            </w:r>
          </w:p>
        </w:tc>
        <w:tc>
          <w:tcPr>
            <w:tcW w:w="60" w:type="dxa"/>
            <w:tcBorders/>
            <w:shd w:fill="CCEEFF" w:val="clear"/>
            <w:vAlign w:val="center"/>
          </w:tcPr>
          <w:p>
            <w:pPr>
              <w:pStyle w:val="TableContents"/>
              <w:bidi w:val="0"/>
              <w:spacing w:before="0" w:after="283"/>
              <w:jc w:val="left"/>
              <w:rPr/>
            </w:pPr>
            <w:r>
              <w:rPr/>
              <w:t> </w:t>
            </w:r>
          </w:p>
        </w:tc>
        <w:tc>
          <w:tcPr>
            <w:tcW w:w="1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11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19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12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9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3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color w:val="000000"/>
          <w:sz w:val="20"/>
        </w:rPr>
        <w:t>Mix between traditional sales, subscription model sales and distributor sales.</w:t>
      </w:r>
      <w:r>
        <w:rPr>
          <w:rFonts w:ascii="Times New Roman" w:hAnsi="Times New Roman"/>
          <w:b/>
          <w:caps w:val="false"/>
          <w:smallCaps w:val="false"/>
          <w:color w:val="000000"/>
          <w:sz w:val="20"/>
        </w:rPr>
        <w:t> </w:t>
      </w:r>
      <w:r>
        <w:rPr>
          <w:rFonts w:ascii="Times New Roman" w:hAnsi="Times New Roman"/>
          <w:caps w:val="false"/>
          <w:smallCaps w:val="false"/>
          <w:color w:val="000000"/>
          <w:sz w:val="20"/>
        </w:rPr>
        <w:t xml:space="preserve">We deliver systems through (1) traditional direct system sales contracts 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selling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 </w:t>
      </w:r>
      <w:r>
        <w:rPr>
          <w:rFonts w:ascii="Times New Roman" w:hAnsi="Times New Roman"/>
          <w:caps w:val="false"/>
          <w:smallCaps w:val="false"/>
          <w:sz w:val="20"/>
        </w:rPr>
        <w:t>In the third quarter of 2022 we commenced an initiative to reduce our reliance on system sales sold under subscription. This strategic shift is designed to improve cash generation and reduce our exposure to defaults and increased bad debt expense given the increasingly challenging economic environment caused by the coexistence of high inflation and high interest rates.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color w:val="000000"/>
          <w:sz w:val="20"/>
        </w:rPr>
        <w:t>Investment in Sales, Marketing and Operations.</w:t>
      </w:r>
      <w:r>
        <w:rPr>
          <w:rFonts w:ascii="Times New Roman" w:hAnsi="Times New Roman"/>
          <w:b/>
          <w:caps w:val="false"/>
          <w:smallCaps w:val="false"/>
          <w:color w:val="000000"/>
          <w:sz w:val="20"/>
        </w:rPr>
        <w:t> </w:t>
      </w:r>
      <w:r>
        <w:rPr>
          <w:rFonts w:ascii="Times New Roman" w:hAnsi="Times New Roman"/>
          <w:caps w:val="false"/>
          <w:smallCaps w:val="false"/>
          <w:sz w:val="20"/>
        </w:rPr>
        <w:t>In recent years, we made a strategic decision to penetrate the global market by investing in sales and 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13 countries across Europe, Asia Pacific, Latin America and Africa and have increased our investment and focus in the United States market.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color w:val="000000"/>
          <w:sz w:val="20"/>
        </w:rPr>
        <w:t>In the </w:t>
      </w:r>
      <w:r>
        <w:rPr>
          <w:rFonts w:ascii="Times New Roman" w:hAnsi="Times New Roman"/>
          <w:sz w:val="20"/>
        </w:rPr>
        <w:t>three and nine months ended September 30, 2023</w:t>
      </w:r>
      <w:r>
        <w:rPr>
          <w:rFonts w:ascii="Times New Roman" w:hAnsi="Times New Roman"/>
          <w:color w:val="000000"/>
          <w:sz w:val="20"/>
        </w:rPr>
        <w:t>, and </w:t>
      </w:r>
      <w:r>
        <w:rPr>
          <w:rFonts w:ascii="Times New Roman" w:hAnsi="Times New Roman"/>
          <w:sz w:val="20"/>
        </w:rPr>
        <w:t>2022</w:t>
      </w:r>
      <w:r>
        <w:rPr>
          <w:rFonts w:ascii="Times New Roman" w:hAnsi="Times New Roman"/>
          <w:color w:val="000000"/>
          <w:sz w:val="20"/>
        </w:rPr>
        <w:t>, respectively, we di</w:t>
      </w:r>
      <w:r>
        <w:rPr>
          <w:rFonts w:ascii="Times New Roman" w:hAnsi="Times New Roman"/>
          <w:color w:val="333333"/>
          <w:sz w:val="20"/>
        </w:rPr>
        <w:t>d not open an</w:t>
      </w:r>
      <w:r>
        <w:rPr>
          <w:rFonts w:ascii="Times New Roman" w:hAnsi="Times New Roman"/>
          <w:color w:val="000000"/>
          <w:sz w:val="20"/>
        </w:rPr>
        <w:t>y direct sales offices.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b/>
          <w:i/>
          <w:sz w:val="20"/>
        </w:rPr>
        <w:t>Bad Debt Expense.</w:t>
      </w:r>
      <w:r>
        <w:rPr>
          <w:rFonts w:ascii="Times New Roman" w:hAnsi="Times New Roman"/>
          <w:sz w:val="20"/>
        </w:rPr>
        <w:t> We maintain an allowance for expected credit losses for estimated losses that may primarily arise from subscription customers that are unable to make the remaining payments required under their subscription agreements. We continue to focus our selling efforts on cash sales and subscription customers with a stronger credit profile, thereby reducing our exposure to credit losses. We incurred a bad debt expense of $0.3 million and $1.2 million during the three and nine months ended September 30, 2023. This compares favorably to $2.4 million and $5.9 million for the three and nine months ended September 30, 2022. As of September 30, 2023, our allowance for expected credit losses was $12.8</w:t>
      </w:r>
      <w:r>
        <w:rPr>
          <w:rFonts w:ascii="Times New Roman" w:hAnsi="Times New Roman"/>
          <w:sz w:val="20"/>
          <w:shd w:fill="FFFFFF" w:val="clear"/>
        </w:rPr>
        <w:t> </w:t>
      </w:r>
      <w:r>
        <w:rPr>
          <w:rFonts w:ascii="Times New Roman" w:hAnsi="Times New Roman"/>
          <w:sz w:val="20"/>
        </w:rPr>
        <w:t>million which represents 27.3% of the gross outstanding accounts receivable as of this date. As of September 30, 2022, our allowance for expected credit losses was $13.1 million which represented 17.0% of the gross outstanding accounts receivable as of this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The bulk of the third quarter revenue decline was due to an acceleration of our international strategy to wind down underperforming countries as we transition to third party distributors and our shift to prioritize cash deals over subscription deals in order to improve cash generation. We continue to focus on quality of revenue and despite the revenue decline, our cash used in operations was $11.5 million lower than the same period in 2022. We remain focused on adapting to the challenges presented by the current macro-economic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Israel </w:t>
      </w:r>
      <w:r>
        <w:rPr>
          <w:rFonts w:ascii="Times New Roman" w:hAnsi="Times New Roman"/>
          <w:caps w:val="false"/>
          <w:smallCaps w:val="false"/>
          <w:sz w:val="20"/>
        </w:rPr>
        <w:t xml:space="preserve">– </w:t>
      </w:r>
      <w:r>
        <w:rPr>
          <w:rFonts w:ascii="Times New Roman" w:hAnsi="Times New Roman"/>
          <w:b/>
          <w:i/>
          <w:caps w:val="false"/>
          <w:smallCaps w:val="false"/>
          <w:sz w:val="20"/>
        </w:rPr>
        <w:t>Hamas conflict</w:t>
      </w:r>
      <w:r>
        <w:rPr>
          <w:rFonts w:ascii="Times New Roman" w:hAnsi="Times New Roman"/>
          <w:caps w:val="false"/>
          <w:smallCaps w:val="false"/>
          <w:sz w:val="20"/>
        </w:rPr>
        <w:t>. Following the October 7, 2023 attack by Hamas on Israeli citizens and the declaration of war that followed, we have taken steps to mitigate exposure to risks related to our Israeli operations, the risks of which are further described in Item 1a) Risk Factors in this Quarterly Report on Form 10-Q. These efforts include but are not limited to, working 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maintain daily contact with our employees in Israel and have instituted a wellness program designed to provide access to healthcare practitioners/consultants for short term counselling for colleagues and family members in order to provide assistance during the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Supply chain.</w:t>
      </w:r>
      <w:r>
        <w:rPr>
          <w:rFonts w:ascii="Times New Roman" w:hAnsi="Times New Roman"/>
          <w:b/>
          <w:caps w:val="false"/>
          <w:smallCaps w:val="false"/>
          <w:sz w:val="20"/>
        </w:rPr>
        <w:t xml:space="preserve"> </w:t>
      </w:r>
      <w:r>
        <w:rPr>
          <w:rFonts w:ascii="Times New Roman" w:hAnsi="Times New Roman"/>
          <w:caps w:val="false"/>
          <w:smallCaps w:val="false"/>
          <w:sz w:val="20"/>
        </w:rPr>
        <w:t>We did not experience significant supply issues during the three and nine months ended September 30, 2023 as we continue to actively work with our suppliers and third-party manufacturers to mitigate supply issues and manage inventory of key component parts. While we have seen recent improvements in global supply chain reliability we anticipate some supply challenges throughout the remainder of 2023, including those possible supply challenges related to the Israel-Hamas conflict noted above, long production lead times and shortages of certain materials or components that may impact our ability to manufacture the number of systems required to meet customer demand. Our finished product requirements to meet our expected demand in the fourth quarter of 2023 have already been secured, and we have made substantial progress in securing much of our first quarter of 2024 demand. In addition, since the second quarter of 2021 we have experienced significant inflationary pressures throughout our supply chain. While such inflationary pressures have moderated in the first nine months of 2023, we expect to mitigate any future inflation impacts where possible through price increases and margin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Global economic conditions.</w:t>
      </w:r>
      <w:r>
        <w:rPr>
          <w:rFonts w:ascii="Times New Roman" w:hAnsi="Times New Roman"/>
          <w:b/>
          <w:caps w:val="false"/>
          <w:smallCaps w:val="false"/>
          <w:sz w:val="20"/>
        </w:rPr>
        <w:t> </w:t>
      </w:r>
      <w:r>
        <w:rPr>
          <w:rFonts w:ascii="Times New Roman" w:hAnsi="Times New Roman"/>
          <w:caps w:val="false"/>
          <w:smallCaps w:val="false"/>
          <w:sz w:val="20"/>
        </w:rPr>
        <w:t>General global economic downturns and macroeconomic trends, including heightened inflation, capital markets volatility, interest rate and currency rate fluctuations, and economic slowdown or recession,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2022 and inflation rates in the U.S., as well as in other countries in which we operate, are currently expected to continue at elevated levels for the near-term, impacting our cost of sales as well as selling, general and administrative expenses. In addition, the Federal Reserve in the U.S. and other central banks in various countries have raised, and may again raise, interest rates in response to concerns about inflation. Interest rate increases or other government actions taken to reduce inflation have resulted in recessionary pressures in many parts of the world and has had, and may continue to have, the effect of further increasing economic uncertainty and heightening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Sales markets.</w:t>
      </w:r>
      <w:r>
        <w:rPr>
          <w:rFonts w:ascii="Times New Roman" w:hAnsi="Times New Roman"/>
          <w:b/>
          <w:caps w:val="false"/>
          <w:smallCaps w:val="false"/>
          <w:sz w:val="20"/>
        </w:rPr>
        <w:t xml:space="preserve"> </w:t>
      </w:r>
      <w:r>
        <w:rPr>
          <w:rFonts w:ascii="Times New Roman" w:hAnsi="Times New Roman"/>
          <w:caps w:val="false"/>
          <w:smallCaps w:val="false"/>
          <w:sz w:val="20"/>
        </w:rPr>
        <w:t>We are a global business, having established a commercial presence in more than 60 countries during our history. While the continued economic recovery in individual countries during the first nine months of 2023 progressed well in most countries in which we operate, we continue to evaluate our direct operations, particularly any loss-making markets outside of North America. As a result, our international revenues declined in the first nine months of 2023 as we operated in three fewer direct markets when compared to the same prior year period. We are in the process of appointing distributors in these markets and look to recover revenues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color w:val="000000"/>
          <w:sz w:val="20"/>
        </w:rPr>
        <w:t>Accounts receivable collections.</w:t>
      </w:r>
      <w:r>
        <w:rPr>
          <w:rFonts w:ascii="Times New Roman" w:hAnsi="Times New Roman"/>
          <w:b/>
          <w:caps w:val="false"/>
          <w:smallCaps w:val="false"/>
          <w:color w:val="000000"/>
          <w:sz w:val="20"/>
        </w:rPr>
        <w:t xml:space="preserve"> </w:t>
      </w:r>
      <w:r>
        <w:rPr>
          <w:rFonts w:ascii="Times New Roman" w:hAnsi="Times New Roman"/>
          <w:caps w:val="false"/>
          <w:smallCaps w:val="false"/>
          <w:color w:val="000000"/>
          <w:sz w:val="20"/>
        </w:rPr>
        <w:t xml:space="preserve">As of </w:t>
      </w:r>
      <w:r>
        <w:rPr>
          <w:rFonts w:ascii="Times New Roman" w:hAnsi="Times New Roman"/>
          <w:caps w:val="false"/>
          <w:smallCaps w:val="false"/>
          <w:sz w:val="20"/>
        </w:rPr>
        <w:t>September 30, 2023</w:t>
      </w:r>
      <w:r>
        <w:rPr>
          <w:rFonts w:ascii="Times New Roman" w:hAnsi="Times New Roman"/>
          <w:caps w:val="false"/>
          <w:smallCaps w:val="false"/>
          <w:color w:val="000000"/>
          <w:sz w:val="20"/>
        </w:rPr>
        <w:t>, our allowance for expected credit losses stands at $12.8 million, which represents 27.3% of the gross outstanding accounts receivable as of that date. This represents a decrease of $0.8 million from our December 31, 2022 allowance for expected credit losses balance of $13.6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(1) sales of systems through our subscription model, traditional system s</w:t>
      </w:r>
      <w:r>
        <w:rPr>
          <w:rFonts w:ascii="Times New Roman" w:hAnsi="Times New Roman"/>
          <w:caps w:val="false"/>
          <w:smallCaps w:val="false"/>
          <w:sz w:val="20"/>
          <w:shd w:fill="FFFFFF" w:val="clear"/>
        </w:rPr>
        <w:t>ales to customers and distributors, (2) other product revenues from the sale of ARTAS kits, Viva tips, other consumables, marketing supplies, and (3) service revenue from our extended warranty service contracts provided to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System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nine months ended September 30, 2023, approximately 31% and 30%, respectively, of our total system revenues were derived from our subscription model. For the three and nine months ended September 30, 2022, approximately 41% and 47%, respectively, of our system revenues were derived from our subscription model. The relative decrease in subscription revenues in the first nine months of 2023 is in line with our strategy to prioritize cash deals over subscription deals in order to improve cash generation and preserve liquidity. For accounting purposes, our subscription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nine months ended September 30, 2023, approximately 61% and 61%, respectively, of our total system revenues were derived from traditional sales. For the three and nine months ended September 30, 2022, approximately 48% and 43%, respectively, of our system revenues were derived from traditional sales. The increased focus on traditional sales is in line with our strategy to prioritize cash deals over subscription deals in order to improve cash generation and preserve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grant rights of return or early termination rights to our customers under either our traditional sales or subscription models. These traditional sales are generally made through our sales team in the countries in which the team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nine months ended September 30, 2023, approximately 8% and 9%, respectively, of our total system revenues were derived from distributor sales. For the three and nine months ended September 30, 2022, approximately 11%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Procedure Based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Other Product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Service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ancillary revenue from our existing customers by selling additional services including extended warranty service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Cost of Goods Sold and Gross Profit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i/>
          <w:caps w:val="false"/>
          <w:smallCaps w:val="false"/>
          <w:sz w:val="20"/>
          <w:u w:val="single"/>
        </w:rPr>
        <w:t>Selling and Marketing</w:t>
      </w:r>
      <w:r>
        <w:rPr>
          <w:rFonts w:ascii="Times New Roman" w:hAnsi="Times New Roman"/>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Finance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8.43% for the MSLP Loan and 8.0% for the Notes as of </w:t>
      </w:r>
      <w:r>
        <w:rPr>
          <w:rFonts w:ascii="Times New Roman" w:hAnsi="Times New Roman"/>
          <w:caps w:val="false"/>
          <w:smallCaps w:val="false"/>
          <w:sz w:val="20"/>
        </w:rPr>
        <w:t xml:space="preserve">September 30, 2023 </w:t>
      </w:r>
      <w:r>
        <w:rPr>
          <w:rFonts w:ascii="Times New Roman" w:hAnsi="Times New Roman"/>
          <w:caps w:val="false"/>
          <w:smallCaps w:val="false"/>
          <w:sz w:val="20"/>
          <w:shd w:fill="FFFFFF" w:val="clear"/>
        </w:rPr>
        <w:t xml:space="preserve">and 7.39% for the MSLP Loan and 8.0% for the Notes as of </w:t>
      </w:r>
      <w:r>
        <w:rPr>
          <w:rFonts w:ascii="Times New Roman" w:hAnsi="Times New Roman"/>
          <w:caps w:val="false"/>
          <w:smallCaps w:val="false"/>
          <w:sz w:val="20"/>
        </w:rPr>
        <w:t xml:space="preserve">December 31, 2022 </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 w:hAnsi="Times New Roman"/>
          <w:i/>
          <w:caps w:val="false"/>
          <w:smallCaps w:val="false"/>
          <w:sz w:val="20"/>
          <w:u w:val="single"/>
          <w:shd w:fill="FFFFFF" w:val="clear"/>
        </w:rPr>
      </w:pPr>
      <w:r>
        <w:rPr>
          <w:rFonts w:ascii="Times New Roman" w:hAnsi="Times New Roman"/>
          <w:i/>
          <w:caps w:val="false"/>
          <w:smallCaps w:val="false"/>
          <w:sz w:val="20"/>
          <w:u w:val="single"/>
          <w:shd w:fill="FFFFFF" w:val="clear"/>
        </w:rPr>
        <w:t>Foreign Exchange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Foreign currency exchange loss changes reflect foreign exchange gains or losses related to the change in value of assets and liabilities denominated in currencies other than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shd w:fill="FFFFFF" w:val="clear"/>
        </w:rPr>
      </w:pPr>
      <w:r>
        <w:rPr>
          <w:rFonts w:ascii="Times New Roman" w:hAnsi="Times New Roman"/>
          <w:i/>
          <w:caps w:val="false"/>
          <w:smallCaps w:val="false"/>
          <w:sz w:val="20"/>
          <w:u w:val="single"/>
          <w:shd w:fill="FFFFFF" w:val="clear"/>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income or loss incurred during the three and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Non-Controlling Interests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our consolidated results of operations in U.S. dollars and as a percentage of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5"/>
        <w:gridCol w:w="60"/>
        <w:gridCol w:w="208"/>
        <w:gridCol w:w="989"/>
        <w:gridCol w:w="309"/>
        <w:gridCol w:w="99"/>
        <w:gridCol w:w="208"/>
        <w:gridCol w:w="1089"/>
        <w:gridCol w:w="185"/>
        <w:gridCol w:w="60"/>
        <w:gridCol w:w="194"/>
        <w:gridCol w:w="1015"/>
        <w:gridCol w:w="288"/>
        <w:gridCol w:w="93"/>
        <w:gridCol w:w="194"/>
        <w:gridCol w:w="1015"/>
        <w:gridCol w:w="194"/>
      </w:tblGrid>
      <w:tr>
        <w:trPr/>
        <w:tc>
          <w:tcPr>
            <w:tcW w:w="4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2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Loss:</w:t>
            </w:r>
          </w:p>
        </w:tc>
        <w:tc>
          <w:tcPr>
            <w:tcW w:w="60" w:type="dxa"/>
            <w:tcBorders/>
            <w:shd w:fill="FFFFFF" w:val="clear"/>
            <w:vAlign w:val="center"/>
          </w:tcPr>
          <w:p>
            <w:pPr>
              <w:pStyle w:val="TableContents"/>
              <w:bidi w:val="0"/>
              <w:spacing w:before="0" w:after="283"/>
              <w:ind w:left="0" w:right="0" w:hanging="0"/>
              <w:jc w:val="left"/>
              <w:rPr/>
            </w:pPr>
            <w:r>
              <w:rPr/>
              <w:t> </w:t>
            </w:r>
          </w:p>
        </w:tc>
        <w:tc>
          <w:tcPr>
            <w:tcW w:w="2902"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9"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r>
      <w:tr>
        <w:trPr/>
        <w:tc>
          <w:tcPr>
            <w:tcW w:w="4005"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Leases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4,368</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14,440</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29,490</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 and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13,248</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43,782</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45,721</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1,183</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3,633</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8,069</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 and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4,248</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10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14,485</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16,960</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5,431</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18,118</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25,029</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12,185</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40,104</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50,182</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and marketing</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6,907</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23,319</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30,976</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10,115</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30,933</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36,814</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1,925</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6,527</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8,379</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18,947</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60,779</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76,169</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(6,762</w:t>
            </w:r>
          </w:p>
        </w:tc>
        <w:tc>
          <w:tcPr>
            <w:tcW w:w="3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(20,675</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(25,987</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379</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4,389</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1,605</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4,666</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3,176</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on disposal of subsidiaries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989"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(9,277</w:t>
            </w:r>
          </w:p>
        </w:tc>
        <w:tc>
          <w:tcPr>
            <w:tcW w:w="3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8"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89"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(14,658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15"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(25,797</w:t>
            </w:r>
          </w:p>
        </w:tc>
        <w:tc>
          <w:tcPr>
            <w:tcW w:w="2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15"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(33,552</w:t>
            </w:r>
          </w:p>
        </w:tc>
        <w:tc>
          <w:tcPr>
            <w:tcW w:w="1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w:t>
            </w:r>
          </w:p>
        </w:tc>
        <w:tc>
          <w:tcPr>
            <w:tcW w:w="3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(8,956</w:t>
            </w:r>
          </w:p>
        </w:tc>
        <w:tc>
          <w:tcPr>
            <w:tcW w:w="309"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9"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(14,496</w:t>
            </w:r>
          </w:p>
        </w:tc>
        <w:tc>
          <w:tcPr>
            <w:tcW w:w="18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(25,900</w:t>
            </w:r>
          </w:p>
        </w:tc>
        <w:tc>
          <w:tcPr>
            <w:tcW w:w="288"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(33,644</w:t>
            </w:r>
          </w:p>
        </w:tc>
        <w:tc>
          <w:tcPr>
            <w:tcW w:w="194"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stockholders of the Company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(9,068</w:t>
            </w:r>
          </w:p>
        </w:tc>
        <w:tc>
          <w:tcPr>
            <w:tcW w:w="3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(26,134</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(33,783</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 a % of 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3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1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33.3</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69.2</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68.9</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66.7</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39.2</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40.1</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41.2</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57.4</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53.1</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48.9</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107.6</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104.4</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101.3</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(38.4</w:t>
            </w:r>
          </w:p>
        </w:tc>
        <w:tc>
          <w:tcPr>
            <w:tcW w:w="3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(35.5</w:t>
            </w:r>
          </w:p>
        </w:tc>
        <w:tc>
          <w:tcPr>
            <w:tcW w:w="2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(34.6</w:t>
            </w:r>
          </w:p>
        </w:tc>
        <w:tc>
          <w:tcPr>
            <w:tcW w:w="1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3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0.7</w:t>
            </w:r>
          </w:p>
        </w:tc>
        <w:tc>
          <w:tcPr>
            <w:tcW w:w="28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194" w:type="dxa"/>
            <w:tcBorders/>
            <w:shd w:fill="CCEEFF" w:val="clear"/>
            <w:vAlign w:val="center"/>
          </w:tcPr>
          <w:p>
            <w:pPr>
              <w:pStyle w:val="TableContents"/>
              <w:bidi w:val="0"/>
              <w:spacing w:before="0" w:after="283"/>
              <w:jc w:val="left"/>
              <w:rPr/>
            </w:pPr>
            <w:r>
              <w:rPr/>
              <w:t> </w:t>
            </w:r>
          </w:p>
        </w:tc>
      </w:tr>
      <w:tr>
        <w:trPr/>
        <w:tc>
          <w:tcPr>
            <w:tcW w:w="4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w:t>
            </w:r>
          </w:p>
        </w:tc>
        <w:tc>
          <w:tcPr>
            <w:tcW w:w="3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c>
          <w:tcPr>
            <w:tcW w:w="28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194" w:type="dxa"/>
            <w:tcBorders/>
            <w:shd w:fill="FFFFFF" w:val="clear"/>
            <w:vAlign w:val="center"/>
          </w:tcPr>
          <w:p>
            <w:pPr>
              <w:pStyle w:val="TableContents"/>
              <w:bidi w:val="0"/>
              <w:spacing w:before="0" w:after="283"/>
              <w:jc w:val="left"/>
              <w:rPr/>
            </w:pPr>
            <w:r>
              <w:rPr/>
              <w:t> </w:t>
            </w:r>
          </w:p>
        </w:tc>
      </w:tr>
      <w:tr>
        <w:trPr/>
        <w:tc>
          <w:tcPr>
            <w:tcW w:w="4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(52.7</w:t>
            </w:r>
          </w:p>
        </w:tc>
        <w:tc>
          <w:tcPr>
            <w:tcW w:w="3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(44.3</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(44.6</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our revenue by region and by product type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914" w:type="dxa"/>
        <w:jc w:val="left"/>
        <w:tblInd w:w="0" w:type="dxa"/>
        <w:tblLayout w:type="fixed"/>
        <w:tblCellMar>
          <w:top w:w="0" w:type="dxa"/>
          <w:left w:w="0" w:type="dxa"/>
          <w:bottom w:w="0" w:type="dxa"/>
          <w:right w:w="0" w:type="dxa"/>
        </w:tblCellMar>
      </w:tblPr>
      <w:tblGrid>
        <w:gridCol w:w="1730"/>
        <w:gridCol w:w="60"/>
        <w:gridCol w:w="244"/>
        <w:gridCol w:w="1155"/>
        <w:gridCol w:w="117"/>
        <w:gridCol w:w="117"/>
        <w:gridCol w:w="244"/>
        <w:gridCol w:w="1155"/>
        <w:gridCol w:w="60"/>
        <w:gridCol w:w="60"/>
        <w:gridCol w:w="235"/>
        <w:gridCol w:w="1109"/>
        <w:gridCol w:w="112"/>
        <w:gridCol w:w="112"/>
        <w:gridCol w:w="235"/>
        <w:gridCol w:w="1109"/>
        <w:gridCol w:w="60"/>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 by region:</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11,167</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31,665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38,319</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26,557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36,892</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94" w:type="dxa"/>
        <w:jc w:val="left"/>
        <w:tblInd w:w="0" w:type="dxa"/>
        <w:tblLayout w:type="fixed"/>
        <w:tblCellMar>
          <w:top w:w="0" w:type="dxa"/>
          <w:left w:w="0" w:type="dxa"/>
          <w:bottom w:w="0" w:type="dxa"/>
          <w:right w:w="0" w:type="dxa"/>
        </w:tblCellMar>
      </w:tblPr>
      <w:tblGrid>
        <w:gridCol w:w="1910"/>
        <w:gridCol w:w="60"/>
        <w:gridCol w:w="244"/>
        <w:gridCol w:w="1155"/>
        <w:gridCol w:w="117"/>
        <w:gridCol w:w="117"/>
        <w:gridCol w:w="244"/>
        <w:gridCol w:w="1155"/>
        <w:gridCol w:w="60"/>
        <w:gridCol w:w="60"/>
        <w:gridCol w:w="235"/>
        <w:gridCol w:w="1109"/>
        <w:gridCol w:w="112"/>
        <w:gridCol w:w="112"/>
        <w:gridCol w:w="235"/>
        <w:gridCol w:w="1109"/>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 by product: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Subscription—Systems</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4,368</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14,440</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29,490</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Products—Systems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33,212</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33,838</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Products—Other (1)</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2,487</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9,702</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245"/>
        <w:gridCol w:w="708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Products-Other include ARTAS procedure kits, Viva tips, Glide and other consumables.</w:t>
            </w:r>
          </w:p>
        </w:tc>
      </w:tr>
    </w:tbl>
    <w:p>
      <w:pPr>
        <w:pStyle w:val="TextBody"/>
        <w:bidi w:val="0"/>
        <w:spacing w:before="0" w:after="0"/>
        <w:ind w:left="0" w:right="0" w:hanging="0"/>
        <w:jc w:val="left"/>
        <w:rPr/>
      </w:pPr>
      <w:r>
        <w:rPr/>
        <w:t> </w:t>
      </w:r>
    </w:p>
    <w:tbl>
      <w:tblPr>
        <w:tblW w:w="5705" w:type="dxa"/>
        <w:jc w:val="left"/>
        <w:tblInd w:w="0" w:type="dxa"/>
        <w:tblLayout w:type="fixed"/>
        <w:tblCellMar>
          <w:top w:w="0" w:type="dxa"/>
          <w:left w:w="0" w:type="dxa"/>
          <w:bottom w:w="0" w:type="dxa"/>
          <w:right w:w="0" w:type="dxa"/>
        </w:tblCellMar>
      </w:tblPr>
      <w:tblGrid>
        <w:gridCol w:w="5705"/>
      </w:tblGrid>
      <w:tr>
        <w:trPr/>
        <w:tc>
          <w:tcPr>
            <w:tcW w:w="570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September 30, 2023 and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8518" w:type="dxa"/>
        <w:jc w:val="left"/>
        <w:tblInd w:w="0" w:type="dxa"/>
        <w:tblLayout w:type="fixed"/>
        <w:tblCellMar>
          <w:top w:w="0" w:type="dxa"/>
          <w:left w:w="0" w:type="dxa"/>
          <w:bottom w:w="0" w:type="dxa"/>
          <w:right w:w="0" w:type="dxa"/>
        </w:tblCellMar>
      </w:tblPr>
      <w:tblGrid>
        <w:gridCol w:w="2870"/>
        <w:gridCol w:w="60"/>
        <w:gridCol w:w="154"/>
        <w:gridCol w:w="729"/>
        <w:gridCol w:w="74"/>
        <w:gridCol w:w="74"/>
        <w:gridCol w:w="466"/>
        <w:gridCol w:w="468"/>
        <w:gridCol w:w="74"/>
        <w:gridCol w:w="74"/>
        <w:gridCol w:w="154"/>
        <w:gridCol w:w="729"/>
        <w:gridCol w:w="74"/>
        <w:gridCol w:w="74"/>
        <w:gridCol w:w="102"/>
        <w:gridCol w:w="832"/>
        <w:gridCol w:w="60"/>
        <w:gridCol w:w="60"/>
        <w:gridCol w:w="125"/>
        <w:gridCol w:w="545"/>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9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Subscription—Systems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4,368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7,193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Products—Systems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9,834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10,416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Products—Other</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3,125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927</w:t>
            </w:r>
          </w:p>
        </w:tc>
        <w:tc>
          <w:tcPr>
            <w:tcW w:w="74" w:type="dxa"/>
            <w:tcBorders/>
            <w:shd w:fill="CCEEFF" w:val="clear"/>
            <w:vAlign w:val="center"/>
          </w:tcPr>
          <w:p>
            <w:pPr>
              <w:pStyle w:val="TableContents"/>
              <w:bidi w:val="0"/>
              <w:spacing w:before="0" w:after="283"/>
              <w:ind w:left="0" w:right="0" w:hanging="0"/>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45" w:type="dxa"/>
            </w:tcMar>
            <w:vAlign w:val="center"/>
          </w:tcPr>
          <w:p>
            <w:pPr>
              <w:pStyle w:val="TableContents"/>
              <w:bidi w:val="0"/>
              <w:spacing w:before="0" w:after="283"/>
              <w:ind w:left="0" w:right="0" w:hanging="0"/>
              <w:jc w:val="left"/>
              <w:rPr/>
            </w:pPr>
            <w:r>
              <w:rPr/>
              <w:t> </w:t>
            </w:r>
          </w:p>
        </w:tc>
        <w:tc>
          <w:tcPr>
            <w:tcW w:w="934" w:type="dxa"/>
            <w:gridSpan w:val="2"/>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21,539</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decreased by $3.9 million, or 18%, to $17.6 million for the three months ended September 30, 2023 from $21.5 million for the three months ended September 30, 2022. The decrease in revenue is primarily attributed to an acceleration in exiting unprofitable direct markets, and an initiative to reduce our reliance on system sales sold under subscription agreements. Our international business was impacted by the Company's decision to exit three unprofitable direct markets in the past year, as well as general macroeconomic headwinds that impacted customer access to capital. We are in the process of appointing distributors in those loss-making markets that we have exited. The strategic shift to minimize subscription sales is designed to improve cash generation and reduce our exposure to defaults and increased expected credit losses given the increasingly challenging economic environment caused by the coexistence of high inflation and high interest rates. Despite the revenue reduction, these initiatives have improved the company’s cash generation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sold an aggregate of 254 systems in the three months ended September 30, 2023 compared to 350 systems in the three months ended September 30, 2022. The percentage of systems revenue derived from our subscription model was approximately 31% and 41% during the three months ended September 30, 2023 and 2022, respectively. The relative decrease in subscription revenues is in line with our strategy to prioritize cash deals over subscription deals in the U.S. market in order to improve cash generation and preserve liquidity. Specific to the U.S. market, systems revenue derived from our subscription model was approximately 30% and 39% during the three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Other product revenue decreased by $0.6 million, or 20%, to $2.5 million in the three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xml:space="preserve"> compared to $3.1 million in the three months ended </w:t>
      </w:r>
      <w:r>
        <w:rPr>
          <w:rFonts w:ascii="Times New Roman" w:hAnsi="Times New Roman"/>
          <w:caps w:val="false"/>
          <w:smallCaps w:val="false"/>
          <w:sz w:val="20"/>
        </w:rPr>
        <w:t>September 30, 2022</w:t>
      </w:r>
      <w:r>
        <w:rPr>
          <w:rFonts w:ascii="Times New Roman" w:hAnsi="Times New Roman"/>
          <w:caps w:val="false"/>
          <w:smallCaps w:val="false"/>
          <w:sz w:val="20"/>
          <w:shd w:fill="FFFFFF" w:val="clear"/>
        </w:rPr>
        <w:t>. This reduction is in line with the overall revenue decline in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Services revenue increased by $0.1 million, or 15%, to $0.9 million in the three months ended September 30, 2023, compared to $0.8 million in the three months ended September 30, 2022. The increase was driven by higher warranty sales through various chain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Cost of Goods Sold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Cost of goods sold decreased by $2.7 million, or 33%, to $5.4 million in the three months ended September 30, 2023, compared to $8.2 million in the three months ended September 30, 2022. Gross profit decreased by $1.2 million, or 9%, to $12.2 million in the three months ended September 30, 2023, compared to $13.4 million in the three months ended September 30, 2022. The decrease in gross profit is primarily due to a decrease in revenue in our international markets driven by the accelerated exit from unprofitable direct markets as discussed above. Gross margin was 69.2% of revenue in the three months ended September 30, 2023, compared to 62.1% of revenue in the three months ended September 30, 2022. </w:t>
      </w:r>
      <w:r>
        <w:rPr>
          <w:rFonts w:ascii="Times New Roman" w:hAnsi="Times New Roman"/>
          <w:caps w:val="false"/>
          <w:smallCaps w:val="false"/>
          <w:color w:val="333333"/>
          <w:sz w:val="20"/>
          <w:shd w:fill="FFFFFF" w:val="clear"/>
        </w:rPr>
        <w:t>The increase was primarily due to excessive inventory write-offs in the third quarter of 2022 which did not repeat this quarter.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2870"/>
        <w:gridCol w:w="60"/>
        <w:gridCol w:w="136"/>
        <w:gridCol w:w="645"/>
        <w:gridCol w:w="65"/>
        <w:gridCol w:w="65"/>
        <w:gridCol w:w="172"/>
        <w:gridCol w:w="1092"/>
        <w:gridCol w:w="65"/>
        <w:gridCol w:w="65"/>
        <w:gridCol w:w="136"/>
        <w:gridCol w:w="645"/>
        <w:gridCol w:w="65"/>
        <w:gridCol w:w="65"/>
        <w:gridCol w:w="138"/>
        <w:gridCol w:w="1126"/>
        <w:gridCol w:w="60"/>
        <w:gridCol w:w="60"/>
        <w:gridCol w:w="125"/>
        <w:gridCol w:w="545"/>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8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21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9,369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10,115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12,405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1,925</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3,024</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264"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and marketing expenses decreased by $2.5 million or 26.3% in the three months ended September 30, 2023 compared to the three months ended September 30, 2022. This decrease is largely due to lower revenues and reduced marketing expenditures as we consolidate some of these activities. As a percentage of total revenues, our selling and marketing expenses decreased by 4.3%, from 43.5% in the three months ended September 30, 2022 to 39.2% in the three months ended September 30, 2023. As the business environment improves, we expect selling and marketing expenses to increase in absolute terms, but at a rate slightly below our rate of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$2.3 million or 18.5% in the three months ended September 30, 2023 compared to the three months ended September 30, 2022, primarily due to exiting certain unprofitable direct markets, partially offset by inflationary pressures associated with salaries and other cost elements. As a percentage of total revenues, our general and administrative expenses decreased by 0.2%, from 57.6% in the three months ended September 30, 2022, to 57.4% in the three months ended September 30, 2023, primarily due to the decrease in year over year total 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by $1.1 million or 36.3% in the three months ended September 30, 2023 compared to the three months ended September 30, 2022. We experienced significant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decreased by 3.1%, from 14.0% in the three months ended September 30, 2022, to 10.9% in the three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Foreign Exchange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$0.9 million of foreign exchange loss in the three months ended September 30, 2023 and foreign exchange loss of $2.0 million in the three months ended September 30, 2022. It decreased by $1.1 million in the three months ended September 30, 2023 compared to the three months ended September 30, 2022. Changes in foreign exchange are driven mainly by the effect of foreign exchange on accounts receivable balances denominated in currencies other than the US dollar. We do not currently hedge against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Finance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expenses increased by $0.4 million or 31.2%, to $1.6 million in the three months ended September 30, 2022, compared to $1.2 million in the three months ended September 30, 2023, mostly due to an increase in the LIBOR rate under our CNB Loan Agreement.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Income Tax Expense/Benefit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an income tax benefit of $321 thousand in the three months ended September 30, 2023 compared to a $162 thousand income tax benefit in the three months ended September 30, 2022. The tax provision is driven by profitable sales and the actual effective tax rates where the sale took place or losses were incurred. In 2023, we had changes in timing of deductible expenses, tax accrual reversals and recognized tax losses in specific judications, which resulted in $321 thousand of income tax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5645" w:type="dxa"/>
        <w:jc w:val="left"/>
        <w:tblInd w:w="0" w:type="dxa"/>
        <w:tblLayout w:type="fixed"/>
        <w:tblCellMar>
          <w:top w:w="0" w:type="dxa"/>
          <w:left w:w="0" w:type="dxa"/>
          <w:bottom w:w="0" w:type="dxa"/>
          <w:right w:w="0" w:type="dxa"/>
        </w:tblCellMar>
      </w:tblPr>
      <w:tblGrid>
        <w:gridCol w:w="5645"/>
      </w:tblGrid>
      <w:tr>
        <w:trPr/>
        <w:tc>
          <w:tcPr>
            <w:tcW w:w="56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nine months ended September 30, 2023 and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8221" w:type="dxa"/>
        <w:jc w:val="left"/>
        <w:tblInd w:w="0" w:type="dxa"/>
        <w:tblLayout w:type="fixed"/>
        <w:tblCellMar>
          <w:top w:w="0" w:type="dxa"/>
          <w:left w:w="0" w:type="dxa"/>
          <w:bottom w:w="0" w:type="dxa"/>
          <w:right w:w="0" w:type="dxa"/>
        </w:tblCellMar>
      </w:tblPr>
      <w:tblGrid>
        <w:gridCol w:w="2870"/>
        <w:gridCol w:w="60"/>
        <w:gridCol w:w="126"/>
        <w:gridCol w:w="597"/>
        <w:gridCol w:w="60"/>
        <w:gridCol w:w="60"/>
        <w:gridCol w:w="102"/>
        <w:gridCol w:w="833"/>
        <w:gridCol w:w="60"/>
        <w:gridCol w:w="60"/>
        <w:gridCol w:w="126"/>
        <w:gridCol w:w="597"/>
        <w:gridCol w:w="60"/>
        <w:gridCol w:w="60"/>
        <w:gridCol w:w="102"/>
        <w:gridCol w:w="833"/>
        <w:gridCol w:w="60"/>
        <w:gridCol w:w="60"/>
        <w:gridCol w:w="125"/>
        <w:gridCol w:w="650"/>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Subscription—Systems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Products—Systems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Products—Other</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17.0</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decreased by $17.0 million, or 22.6%, to $58.2 million for the nine months ended September 30, 2023 from $75.2 million for the nine months ended September 30, 2022. The decrease in revenue is primarily attributed to an initiative to reduce our reliance on system sales sold under subscription agreements, and an acceleration in exiting unprofitable direct markets in our international business. This strategic shift to minimize subscription sales is designed to improve cash generation and reduce our exposure to defaults and expected credit losses given the increasingly challenging economic environment caused by the coexistence of high inflation and high interest rates. Our international business was impacted by the Company's decision to exit three unprofitable direct markets in the past year, as well as general macroeconomic headwinds that impacted customer access to capital. We are in the process of appointing distributors in those loss making markets that we have exited. Despite this reduction in revenue, our cash used in operations decreased by $11.5 million versus the nine months ended September 30,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sold an aggregate of 909 systems in the nine months ended September 30, 2023 compared to 1,233 systems in the nine months ended September 30, 2022. The percentage of systems revenue derived from our subscription model was approximately 25% and 39% during the nine months ended September 30, 2023 and 2022, respectively. The relative decrease in subscription revenues is in line with our strategy to prioritize cash deals over subscription deals in the U.S. market in order to improve cash generation and preserve liquidity. Specific to the U.S. market, systems revenue derived from our subscription model was approximately 24% and 56% during the nine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Other product revenue decreased by $1.7 million, or 17.3%, to $8.0 million in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2023</w:t>
      </w:r>
      <w:r>
        <w:rPr>
          <w:rFonts w:ascii="Times New Roman" w:hAnsi="Times New Roman"/>
          <w:caps w:val="false"/>
          <w:smallCaps w:val="false"/>
          <w:sz w:val="20"/>
          <w:shd w:fill="FFFFFF" w:val="clear"/>
        </w:rPr>
        <w:t xml:space="preserve"> compared to $9.7 million in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2022</w:t>
      </w:r>
      <w:r>
        <w:rPr>
          <w:rFonts w:ascii="Times New Roman" w:hAnsi="Times New Roman"/>
          <w:caps w:val="false"/>
          <w:smallCaps w:val="false"/>
          <w:sz w:val="20"/>
          <w:shd w:fill="FFFFFF" w:val="clear"/>
        </w:rPr>
        <w:t>. The decrease was primarily driven by lower sales in international markets as we exit unprofitable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Services revenue increased by </w:t>
      </w:r>
      <w:r>
        <w:rPr>
          <w:rFonts w:ascii="Times New Roman" w:hAnsi="Times New Roman"/>
          <w:caps w:val="false"/>
          <w:smallCaps w:val="false"/>
          <w:sz w:val="20"/>
          <w:shd w:fill="FFFFFF" w:val="clear"/>
        </w:rPr>
        <w:t>$0.4</w:t>
      </w:r>
      <w:r>
        <w:rPr>
          <w:rFonts w:ascii="Times New Roman" w:hAnsi="Times New Roman"/>
          <w:caps w:val="false"/>
          <w:smallCaps w:val="false"/>
          <w:sz w:val="20"/>
        </w:rPr>
        <w:t xml:space="preserve"> million, or 17.0%, to </w:t>
      </w:r>
      <w:r>
        <w:rPr>
          <w:rFonts w:ascii="Times New Roman" w:hAnsi="Times New Roman"/>
          <w:caps w:val="false"/>
          <w:smallCaps w:val="false"/>
          <w:sz w:val="20"/>
          <w:shd w:fill="FFFFFF" w:val="clear"/>
        </w:rPr>
        <w:t>$2.6</w:t>
      </w:r>
      <w:r>
        <w:rPr>
          <w:rFonts w:ascii="Times New Roman" w:hAnsi="Times New Roman"/>
          <w:caps w:val="false"/>
          <w:smallCaps w:val="false"/>
          <w:sz w:val="20"/>
        </w:rPr>
        <w:t> million in the nine months ended September 30, 2023, compared to $2.2 million in the nine months ended September 30, 2022. The increase was driven by higher warranty sales through various chain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Cost of Goods Sold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Cost of goods sold decreased by $6.9 million, or 27.6%, to $18.1 million in the nine months ended September 30, 2023, compared to $25.0 million in the nine months ended September 30, 2022. Gross profit decreased by $10.1 million, or 20.1%, to $40.1 million in the nine months ended September 30, 2023, compared to $50.2 million in the nine months ended September 30, 2022. The decrease in gross profit is primarily due to a decrease in revenue in the United States and international markets driven by the strategic decision to deemphasize subscription sales and the accelerated exit from unprofitable direct markets as discussed above. Gross margin was 68.9% of revenue in the nine months ended September 30, 2023, compared to 66.7% of revenue in the nine months ended September 30, 2022. </w:t>
      </w:r>
      <w:r>
        <w:rPr>
          <w:rFonts w:ascii="Times New Roman" w:hAnsi="Times New Roman"/>
          <w:caps w:val="false"/>
          <w:smallCaps w:val="false"/>
          <w:color w:val="333333"/>
          <w:sz w:val="20"/>
          <w:shd w:fill="FFFFFF" w:val="clear"/>
        </w:rPr>
        <w:t>The increase in gross margin was primarily due to geographic mix as we continue to invest in the U.S. market and exit unprofitable international markets, and to a lesser extent impacted by lower inventory write-offs compared to the nine months ended September 30, 2022.</w:t>
      </w:r>
      <w:r>
        <w:rPr>
          <w:rFonts w:ascii="Times New Roman" w:hAnsi="Times New Roman"/>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tbl>
      <w:tblPr>
        <w:tblW w:w="8879" w:type="dxa"/>
        <w:jc w:val="left"/>
        <w:tblInd w:w="0" w:type="dxa"/>
        <w:tblLayout w:type="fixed"/>
        <w:tblCellMar>
          <w:top w:w="0" w:type="dxa"/>
          <w:left w:w="0" w:type="dxa"/>
          <w:bottom w:w="0" w:type="dxa"/>
          <w:right w:w="0" w:type="dxa"/>
        </w:tblCellMar>
      </w:tblPr>
      <w:tblGrid>
        <w:gridCol w:w="2870"/>
        <w:gridCol w:w="60"/>
        <w:gridCol w:w="126"/>
        <w:gridCol w:w="597"/>
        <w:gridCol w:w="60"/>
        <w:gridCol w:w="60"/>
        <w:gridCol w:w="138"/>
        <w:gridCol w:w="1126"/>
        <w:gridCol w:w="60"/>
        <w:gridCol w:w="60"/>
        <w:gridCol w:w="126"/>
        <w:gridCol w:w="597"/>
        <w:gridCol w:w="60"/>
        <w:gridCol w:w="60"/>
        <w:gridCol w:w="138"/>
        <w:gridCol w:w="1126"/>
        <w:gridCol w:w="60"/>
        <w:gridCol w:w="60"/>
        <w:gridCol w:w="125"/>
        <w:gridCol w:w="650"/>
        <w:gridCol w:w="80"/>
        <w:gridCol w:w="60"/>
        <w:gridCol w:w="60"/>
        <w:gridCol w:w="440"/>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and marketing expenses decreased by $7.7 million or 24.7% in the nine months ended September 30, 2023 compared to the nine months ended September 30, 2022. This decrease is largely due to lower revenues and reduced marketing expenditures as we consolidate some of these activities. As a percentage of total revenues, our selling and marketing expenses decreased by 1.1%, from 41.2% in the nine months ended September 30, 2022 to 40.1% in the nine months ended September 30, 2023. As the business environment improves, we expect selling and marketing expenses to increase in absolute terms, but at a rate slightly below our rate of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$5.9 million or 16.0% in the nine months ended September 30, 2023 compared to the nine months ended September 30, 2022, primarily due to exiting certain unprofitable direct markets, partially offset by inflationary pressures associated with salaries and other cost elements. As a percentage of total revenues, our general and administrative expenses increased by 4.2%, from 48.9% in the nine months ended September 30, 2022, to 53.1% in the nine months ended September 30, 2023, primarily due to the increases in costs noted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by $1.9 million or 22.1% in the nine months ended September 30, 2023 compared to the nine months ended September 30, 2022. We experienced some cost savings through the consolidation of activities between our Israel and San Jose sites, partially offset by a reinvestment in research and development efforts directed at scaling our robotic technology across other aesthetic platforms. As a percentage of total revenues, our research and development expenses increased by 0.1%, from 11.1% in the nine months ended September 30, 2022, to 11.2% in the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Foreign Exchange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$0.4 million of foreign exchange loss in the nine months ended September 30, 2023 and foreign exchange loss of $4.4 million in the nine months ended September 30, 2022. Changes in foreign exchange are driven mainly by the effect of foreign exchange on accounts receivable balances denominated in currencies other than the US dollar. In the nine months ended September 30, 2023, fluctuations in foreign currencies compared to the U.S. dollar were collectively immaterial. We do not currently hedge against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Finance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expenses increased by $1.5 million or 46.9%, to $4.7 million in the nine months ended September 30, 2022, compared to $3.2 million in the nine months ended September 30, 2023, due to an increase in the LIBOR rate under our CNB Loan Agreement.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an income tax expense of $103 thousand in the nine months ended September 30, 2023 compared to a $92 thousand income tax expense in the nine months ended September 30, 2022. The tax provision is driven by profitable sales and the actual effective tax rates where the sale took place or losses were incurred. In 2023, we had changes in timing of deductible expenses, tax accrual reversals and taxable income in specific judications, which resulted in $103 thousand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$4.9</w:t>
      </w:r>
      <w:r>
        <w:rPr>
          <w:rFonts w:ascii="Times New Roman" w:hAnsi="Times New Roman"/>
          <w:caps w:val="false"/>
          <w:smallCaps w:val="false"/>
          <w:sz w:val="20"/>
          <w:shd w:fill="FFFFFF" w:val="clear"/>
        </w:rPr>
        <w:t> mill</w:t>
      </w:r>
      <w:r>
        <w:rPr>
          <w:rFonts w:ascii="Times New Roman" w:hAnsi="Times New Roman"/>
          <w:caps w:val="false"/>
          <w:smallCaps w:val="false"/>
          <w:sz w:val="20"/>
        </w:rPr>
        <w:t>ion and $11.6 million of cash and cash equivalents as of September 30, 2023, and December 31, 2022, respectively. We have funded our operations with cash generated from operating activities, through the sale of equity securities and through debt financing. We had total debt obligations of approximately $79.0 million as of September 30, 2023, including the MSLP Loan of $51.2 million, and convertible notes of $27.8 million, compared to total debt obligations of approximately $77.7 million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Working capital is primarily impacted by growth in our subscription sales which also impacts accounts receivable. Our recent shift to prioritize traditional cash sales over subscription sales is designed to improve liquidity and reduce working capital requirements over time. Our expanding product portfolio also requires higher inventory levels to meet demand and to accommodate the increased number of technology platforms offered. We had a split of subscription sales revenue to traditional sales revenue at a ratio of approximately 33:67 in the nine months ended September 30, 2023, compared to 52:48 in the nine months ended September 30, 2022. We expect a slight increase in the ratio of traditional sales to subscription sales in 2023 and beyond. We expect inventory to remain relatively flat in the short term but increase at a lower rate than the rate of revenue growth over the longer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require modest funding for capital expenditures. Our capital expenditures relate primarily to our research and development facilities in Yokneam, Israel and San Jose, California. In addition, our past capital investments have included improvements and expansion of our subsidiaries’ operations to support our growth, but do not expect to incur such costs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Issuance of Secured Subordinated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$48.75 per share, subject to adjustment. For additional information regarding the Notes, Exchange Agreement, Madryn Security Agreement and CNB Subordination Agreement, see Note 11 “</w:t>
      </w:r>
      <w:r>
        <w:rPr>
          <w:rFonts w:ascii="Times New Roman" w:hAnsi="Times New Roman"/>
          <w:i/>
          <w:caps w:val="false"/>
          <w:smallCaps w:val="false"/>
          <w:sz w:val="20"/>
        </w:rPr>
        <w:t>Madryn Long-Term Debt and Convertible Notes</w:t>
      </w:r>
      <w:r>
        <w:rPr>
          <w:rFonts w:ascii="Times New Roman" w:hAnsi="Times New Roman"/>
          <w:caps w:val="false"/>
          <w:smallCaps w:val="false"/>
          <w:sz w:val="20"/>
        </w:rPr>
        <w:t>” to our unaudited condensed consolidated financial statements included elsewhere in this report. On October 4, 2023, the Company entered into the 2023 Exchange Agreement with the Madryn Noteholders, pursuant to which the Madryn Noteholders agreed to exchange $26,695,110.58 in aggregate principal amount outstanding under the Notes for (i) $22,791,748.32 in aggregate principal amount of new secured convertible notes of the Company and (ii) 248,755 shares of newly-created convertible preferred stock of the Company, par value $0.0001 per share designated as "Series X Convertible Preferred Stock". Refer to Note 18 </w:t>
      </w:r>
      <w:r>
        <w:rPr>
          <w:rFonts w:ascii="Times New Roman" w:hAnsi="Times New Roman"/>
          <w:i/>
          <w:caps w:val="false"/>
          <w:smallCaps w:val="false"/>
          <w:sz w:val="20"/>
        </w:rPr>
        <w:t>"Subsequent Events"</w:t>
      </w:r>
      <w:r>
        <w:rPr>
          <w:rFonts w:ascii="Times New Roman" w:hAnsi="Times New Roman"/>
          <w:caps w:val="false"/>
          <w:smallCaps w:val="false"/>
          <w:sz w:val="20"/>
        </w:rPr>
        <w: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Main Street Priority Lending Program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10 “</w:t>
      </w:r>
      <w:r>
        <w:rPr>
          <w:rFonts w:ascii="Times New Roman" w:hAnsi="Times New Roman"/>
          <w:i/>
          <w:caps w:val="false"/>
          <w:smallCaps w:val="false"/>
          <w:sz w:val="20"/>
        </w:rPr>
        <w:t>Main Street Term Loan</w:t>
      </w:r>
      <w:r>
        <w:rPr>
          <w:rFonts w:ascii="Times New Roman" w:hAnsi="Times New Roman"/>
          <w:caps w:val="false"/>
          <w:smallCaps w:val="false"/>
          <w:sz w:val="20"/>
        </w:rPr>
        <w:t>” to our unaudited condensed consolidated financial statements included elsewhere in this report. On October 4, 2023, the Company, Venus USA, Venus Canada, and Venus Ltd. entered into the MSLP Loan Modification, which modified certain terms of the MSLP Loan Agreement. Refer to Note 18 </w:t>
      </w:r>
      <w:r>
        <w:rPr>
          <w:rFonts w:ascii="Times New Roman" w:hAnsi="Times New Roman"/>
          <w:i/>
          <w:caps w:val="false"/>
          <w:smallCaps w:val="false"/>
          <w:sz w:val="20"/>
        </w:rPr>
        <w:t>"Subsequent Events"</w:t>
      </w:r>
      <w:r>
        <w:rPr>
          <w:rFonts w:ascii="Times New Roman" w:hAnsi="Times New Roman"/>
          <w:caps w:val="false"/>
          <w:smallCaps w:val="false"/>
          <w:sz w:val="20"/>
        </w:rPr>
        <w: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CNB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revolving credit facility with CNB pursuant to which CNB agreed to provide a revolving credit facility to us and certain of our subsidiaries to be used to finance working capital requirements. There was $nil outstanding balance as of September 30, 2023 and December 31, 2022. On February 22, 2023, CNB notified the Company that it would be temporarily restricting advances under the Fourth Amended and Restated CNB Loan Agreement pursuant to its rights under Section 2 of the agreement. CNB and the Company continue to actively discuss lifting the restrictions on advances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September 30, 2023, and December 31, 2022, we were in compliance with all required covenants. For additional information on the CNB Loan Agreement and the related agreements, see Note 12 “</w:t>
      </w:r>
      <w:r>
        <w:rPr>
          <w:rFonts w:ascii="Times New Roman" w:hAnsi="Times New Roman"/>
          <w:i/>
          <w:caps w:val="false"/>
          <w:smallCaps w:val="false"/>
          <w:sz w:val="20"/>
        </w:rPr>
        <w:t>Credit Facility</w:t>
      </w:r>
      <w:r>
        <w:rPr>
          <w:rFonts w:ascii="Times New Roman" w:hAnsi="Times New Roman"/>
          <w:caps w:val="false"/>
          <w:smallCaps w:val="false"/>
          <w:sz w:val="20"/>
        </w:rPr>
        <w:t>” to our unaudited condensed consolidated financial statements included elsewhere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Equity Purchase Agreement with Lincoln Park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sz w:val="20"/>
        </w:rPr>
      </w:pPr>
      <w:r>
        <w:rPr>
          <w:sz w:val="20"/>
        </w:rPr>
        <w:t xml:space="preserve">During the year ended December 31, 2022, we issued and sold 0.03 million shares of our common stock shares to Lincoln Park under the Equity Purchase Agreement, at which point this agreement expired. The net cash proceeds from shares issuance as of December 31, 2022 were $0.3 million. The Equity Purchase Agreement expired on July 1, 2022 and was subsequently replaced by the 2022 LPC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2021 Private Placement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On December 15, 2021, the Company consummated the 2021 Private Placement whereby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 These Non-Voting Preferred Stock shares were subsequently converted to common stock upon issuance of the 2022 Private Placement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2022 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12, 2022, we entered into the 2022 LPC Purchase Agreement with Lincoln Park, and we issued and sold to Lincoln Par</w:t>
      </w:r>
      <w:r>
        <w:rPr>
          <w:rFonts w:ascii="Times New Roman" w:hAnsi="Times New Roman"/>
          <w:caps w:val="false"/>
          <w:smallCaps w:val="false"/>
          <w:sz w:val="20"/>
          <w:shd w:fill="FFFFFF" w:val="clear"/>
        </w:rPr>
        <w:t>k 0.05</w:t>
      </w:r>
      <w:r>
        <w:rPr>
          <w:rFonts w:ascii="Times New Roman" w:hAnsi="Times New Roman"/>
          <w:caps w:val="false"/>
          <w:smallCaps w:val="false"/>
          <w:sz w:val="20"/>
        </w:rPr>
        <w:t> million shares of our common stock as a commitment fee in connection with entering into the 2022 LPC Purchase Agreement, with the total value of $0.3 million. Through September 30, 2023 we issued an additional 0.78 million shares of common stock to Lincoln Park at an average price of $3.97 per share, for a total proceeds value of $3.1 million since entering into the Purchase Agreement. For additional information regarding the 2022 LPC Purchase Agreement, see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unaudited condensed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2022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18, 2022, we consummated the 2022 Private Placement whereby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hAnsi="Times New Roman"/>
          <w:i/>
          <w:caps w:val="false"/>
          <w:smallCaps w:val="false"/>
          <w:sz w:val="20"/>
        </w:rPr>
        <w:t>Stockholders Equity</w:t>
      </w:r>
      <w:r>
        <w:rPr>
          <w:rFonts w:ascii="Times New Roman" w:hAnsi="Times New Roman"/>
          <w:caps w:val="false"/>
          <w:smallCaps w:val="false"/>
          <w:sz w:val="20"/>
        </w:rPr>
        <w:t>" in the notes to our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2023 Multi-Tranche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 As of September 30, 2023 an additional 792,398 shares of Senior Preferred Stock were issued for an aggregate purchase price of $3.0 million through two subsequent tranches. The Company expects to use the proceeds of the Placements, after the payment of transaction expenses, for general working capital purposes. The accounting effects of the 2023 Multi-Tranche Private Placement transactions are discussed in Note 14 "</w:t>
      </w:r>
      <w:r>
        <w:rPr>
          <w:rFonts w:ascii="Times New Roman;Times;serif" w:hAnsi="Times New Roman;Times;serif"/>
          <w:i/>
          <w:caps w:val="false"/>
          <w:smallCaps w:val="false"/>
          <w:sz w:val="20"/>
        </w:rPr>
        <w:t>Stockholders Equity</w:t>
      </w:r>
      <w:r>
        <w:rPr>
          <w:rFonts w:ascii="Times New Roman;Times;serif" w:hAnsi="Times New Roman;Times;serif"/>
          <w:caps w:val="false"/>
          <w:smallCaps w:val="false"/>
          <w:sz w:val="20"/>
        </w:rPr>
        <w:t>" in the notes to our consolidated financial statements included elsewhere in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2023, we had capital resources consisting of cash and cash equivalents of approximately $4.9</w:t>
      </w:r>
      <w:r>
        <w:rPr>
          <w:rFonts w:ascii="Times New Roman" w:hAnsi="Times New Roman"/>
          <w:caps w:val="false"/>
          <w:smallCaps w:val="false"/>
          <w:sz w:val="20"/>
          <w:shd w:fill="FFFFFF" w:val="clear"/>
        </w:rPr>
        <w:t> m</w:t>
      </w:r>
      <w:r>
        <w:rPr>
          <w:rFonts w:ascii="Times New Roman" w:hAnsi="Times New Roman"/>
          <w:caps w:val="false"/>
          <w:smallCaps w:val="false"/>
          <w:sz w:val="20"/>
        </w:rPr>
        <w:t>illion. We have financed our operations principally through the issuance and sale of our common stock and preferred stock, debt financing, and payments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net proceeds from the 2023 Multi-Tranche Private Placement, the 2022 Private Placement, the 2021 Private Placement, the proceeds from issuance of our common stock to Lincoln Park, the proceeds from the MSLP Loan, our continued availability under the 2022 LPC Purchase Agreement, our strategic cash flow enhancement initiatives,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funds may not be available when we need them, on terms that are acceptable to us, or at all. If adequate funds are not available to us on a timely basis, we may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curtail our efforts to develop system product enhancements or new products, including any clinical trials that may be required to market such enhancements;</w:t>
            </w:r>
          </w:p>
        </w:tc>
      </w:tr>
    </w:tbl>
    <w:p>
      <w:pPr>
        <w:pStyle w:val="TextBody"/>
        <w:bidi w:val="0"/>
        <w:spacing w:before="0" w:after="0"/>
        <w:ind w:left="0" w:right="0" w:hanging="0"/>
        <w:jc w:val="both"/>
        <w:rPr/>
      </w:pPr>
      <w:r>
        <w:rPr/>
        <w:t> </w:t>
      </w:r>
    </w:p>
    <w:tbl>
      <w:tblPr>
        <w:tblW w:w="6910" w:type="dxa"/>
        <w:jc w:val="left"/>
        <w:tblInd w:w="0" w:type="dxa"/>
        <w:tblLayout w:type="fixed"/>
        <w:tblCellMar>
          <w:top w:w="0" w:type="dxa"/>
          <w:left w:w="0" w:type="dxa"/>
          <w:bottom w:w="0" w:type="dxa"/>
          <w:right w:w="0" w:type="dxa"/>
        </w:tblCellMar>
      </w:tblPr>
      <w:tblGrid>
        <w:gridCol w:w="60"/>
        <w:gridCol w:w="110"/>
        <w:gridCol w:w="67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curtail our plans to increase and expand our sales and marketing efforts; or</w:t>
            </w:r>
          </w:p>
        </w:tc>
      </w:tr>
    </w:tbl>
    <w:p>
      <w:pPr>
        <w:pStyle w:val="TextBody"/>
        <w:bidi w:val="0"/>
        <w:spacing w:before="0" w:after="0"/>
        <w:ind w:left="0" w:right="0" w:hanging="0"/>
        <w:jc w:val="both"/>
        <w:rPr/>
      </w:pPr>
      <w:r>
        <w:rPr/>
        <w:t> </w:t>
      </w:r>
    </w:p>
    <w:tbl>
      <w:tblPr>
        <w:tblW w:w="6955" w:type="dxa"/>
        <w:jc w:val="left"/>
        <w:tblInd w:w="0" w:type="dxa"/>
        <w:tblLayout w:type="fixed"/>
        <w:tblCellMar>
          <w:top w:w="0" w:type="dxa"/>
          <w:left w:w="0" w:type="dxa"/>
          <w:bottom w:w="0" w:type="dxa"/>
          <w:right w:w="0" w:type="dxa"/>
        </w:tblCellMar>
      </w:tblPr>
      <w:tblGrid>
        <w:gridCol w:w="60"/>
        <w:gridCol w:w="110"/>
        <w:gridCol w:w="67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curtail our plans to enhance our customer support and marketing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restricted by covenants in the MSLP Loan, the Amended CNB Loan Agreement, and the Madryn Security Agreement.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10"/>
        <w:gridCol w:w="70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growing our ongoing commercialization and sales and marketing activities;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manufacturing and maintaining enough inventories of our systems to meet anticipated demand and inventory write-offs related to obsolete products or components;</w:t>
            </w:r>
          </w:p>
        </w:tc>
      </w:tr>
    </w:tbl>
    <w:p>
      <w:pPr>
        <w:pStyle w:val="TextBody"/>
        <w:bidi w:val="0"/>
        <w:spacing w:before="0" w:after="0"/>
        <w:ind w:left="0" w:right="0" w:hanging="0"/>
        <w:jc w:val="both"/>
        <w:rPr/>
      </w:pPr>
      <w:r>
        <w:rPr/>
        <w:t> </w:t>
      </w:r>
    </w:p>
    <w:tbl>
      <w:tblPr>
        <w:tblW w:w="8710" w:type="dxa"/>
        <w:jc w:val="left"/>
        <w:tblInd w:w="0" w:type="dxa"/>
        <w:tblLayout w:type="fixed"/>
        <w:tblCellMar>
          <w:top w:w="0" w:type="dxa"/>
          <w:left w:w="0" w:type="dxa"/>
          <w:bottom w:w="0" w:type="dxa"/>
          <w:right w:w="0" w:type="dxa"/>
        </w:tblCellMar>
      </w:tblPr>
      <w:tblGrid>
        <w:gridCol w:w="60"/>
        <w:gridCol w:w="110"/>
        <w:gridCol w:w="85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enhancing the existing functionality and development of new functionalities for our systems;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preparing, filing, prosecuting, defending, and enforcing patent claims and other patent related costs, including litigation costs and the results of such litigation;</w:t>
            </w:r>
          </w:p>
        </w:tc>
      </w:tr>
    </w:tbl>
    <w:p>
      <w:pPr>
        <w:pStyle w:val="TextBody"/>
        <w:bidi w:val="0"/>
        <w:spacing w:before="0" w:after="0"/>
        <w:ind w:left="0" w:right="0" w:hanging="0"/>
        <w:jc w:val="both"/>
        <w:rPr/>
      </w:pPr>
      <w:r>
        <w:rPr/>
        <w:t> </w:t>
      </w:r>
    </w:p>
    <w:tbl>
      <w:tblPr>
        <w:tblW w:w="9430" w:type="dxa"/>
        <w:jc w:val="left"/>
        <w:tblInd w:w="0" w:type="dxa"/>
        <w:tblLayout w:type="fixed"/>
        <w:tblCellMar>
          <w:top w:w="0" w:type="dxa"/>
          <w:left w:w="0" w:type="dxa"/>
          <w:bottom w:w="0" w:type="dxa"/>
          <w:right w:w="0" w:type="dxa"/>
        </w:tblCellMar>
      </w:tblPr>
      <w:tblGrid>
        <w:gridCol w:w="60"/>
        <w:gridCol w:w="110"/>
        <w:gridCol w:w="926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product liability or other lawsuits and the costs associated with defending them or the results of such lawsuits;</w:t>
            </w:r>
          </w:p>
        </w:tc>
      </w:tr>
    </w:tbl>
    <w:p>
      <w:pPr>
        <w:pStyle w:val="TextBody"/>
        <w:bidi w:val="0"/>
        <w:spacing w:before="0" w:after="0"/>
        <w:ind w:left="0" w:right="0" w:hanging="0"/>
        <w:jc w:val="both"/>
        <w:rPr/>
      </w:pPr>
      <w:r>
        <w:rPr/>
        <w:t> </w:t>
      </w:r>
    </w:p>
    <w:tbl>
      <w:tblPr>
        <w:tblW w:w="9700" w:type="dxa"/>
        <w:jc w:val="left"/>
        <w:tblInd w:w="0" w:type="dxa"/>
        <w:tblLayout w:type="fixed"/>
        <w:tblCellMar>
          <w:top w:w="0" w:type="dxa"/>
          <w:left w:w="0" w:type="dxa"/>
          <w:bottom w:w="0" w:type="dxa"/>
          <w:right w:w="0" w:type="dxa"/>
        </w:tblCellMar>
      </w:tblPr>
      <w:tblGrid>
        <w:gridCol w:w="60"/>
        <w:gridCol w:w="110"/>
        <w:gridCol w:w="953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associated with conducting business and maintaining subsidiaries and other entities in foreign jurisdictions;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customers in jurisdictions where our systems are not approved delaying their purchase, and not purchasing our systems, until they are approved or cleared for use in their market;</w:t>
            </w:r>
          </w:p>
        </w:tc>
      </w:tr>
    </w:tbl>
    <w:p>
      <w:pPr>
        <w:pStyle w:val="TextBody"/>
        <w:bidi w:val="0"/>
        <w:spacing w:before="0" w:after="0"/>
        <w:ind w:left="0" w:right="0" w:hanging="0"/>
        <w:jc w:val="both"/>
        <w:rPr/>
      </w:pPr>
      <w:r>
        <w:rPr/>
        <w:t> </w:t>
      </w:r>
    </w:p>
    <w:tbl>
      <w:tblPr>
        <w:tblW w:w="7585" w:type="dxa"/>
        <w:jc w:val="left"/>
        <w:tblInd w:w="0" w:type="dxa"/>
        <w:tblLayout w:type="fixed"/>
        <w:tblCellMar>
          <w:top w:w="0" w:type="dxa"/>
          <w:left w:w="0" w:type="dxa"/>
          <w:bottom w:w="0" w:type="dxa"/>
          <w:right w:w="0" w:type="dxa"/>
        </w:tblCellMar>
      </w:tblPr>
      <w:tblGrid>
        <w:gridCol w:w="60"/>
        <w:gridCol w:w="110"/>
        <w:gridCol w:w="74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to attract and retain personnel with the skills required for effective operations; and</w:t>
            </w:r>
          </w:p>
        </w:tc>
      </w:tr>
    </w:tbl>
    <w:p>
      <w:pPr>
        <w:pStyle w:val="TextBody"/>
        <w:bidi w:val="0"/>
        <w:spacing w:before="0" w:after="0"/>
        <w:ind w:left="0" w:right="0" w:hanging="0"/>
        <w:jc w:val="both"/>
        <w:rPr/>
      </w:pPr>
      <w:r>
        <w:rPr/>
        <w:t> </w:t>
      </w:r>
    </w:p>
    <w:tbl>
      <w:tblPr>
        <w:tblW w:w="4240" w:type="dxa"/>
        <w:jc w:val="left"/>
        <w:tblInd w:w="0" w:type="dxa"/>
        <w:tblLayout w:type="fixed"/>
        <w:tblCellMar>
          <w:top w:w="0" w:type="dxa"/>
          <w:left w:w="0" w:type="dxa"/>
          <w:bottom w:w="0" w:type="dxa"/>
          <w:right w:w="0" w:type="dxa"/>
        </w:tblCellMar>
      </w:tblPr>
      <w:tblGrid>
        <w:gridCol w:w="60"/>
        <w:gridCol w:w="110"/>
        <w:gridCol w:w="407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associated with being a public company.</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882" w:type="dxa"/>
        <w:jc w:val="left"/>
        <w:tblInd w:w="0" w:type="dxa"/>
        <w:tblLayout w:type="fixed"/>
        <w:tblCellMar>
          <w:top w:w="0" w:type="dxa"/>
          <w:left w:w="0" w:type="dxa"/>
          <w:bottom w:w="0" w:type="dxa"/>
          <w:right w:w="0" w:type="dxa"/>
        </w:tblCellMar>
      </w:tblPr>
      <w:tblGrid>
        <w:gridCol w:w="3830"/>
        <w:gridCol w:w="60"/>
        <w:gridCol w:w="215"/>
        <w:gridCol w:w="1121"/>
        <w:gridCol w:w="137"/>
        <w:gridCol w:w="103"/>
        <w:gridCol w:w="215"/>
        <w:gridCol w:w="1121"/>
        <w:gridCol w:w="8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(12,085</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5,531</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(6,643</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2023, cash used in operating activities consisted of a net loss of $25.9 million, partially offset by decreases in net operating assets of $6.1 million and non-cash operating expenses of $7.7 million. The increase of cash from net operating assets was attributable to a decrease in accrued expenses and other current liabilities of $4.5 million, a decrease in unearned interest income of $1.0 million, a decrease in long-term operating lease liabilities of $1.0 million, and a decrease in trade payables of $0.9 million. These were offset by a decrease in accounts receivable of $11.1 million, a decrease in operating right-of-use assets, net of $1.2 million, and a decrease in other current assets of $1.3 million. The non-cash operating expenses consisted of provision for expected credit losses of $1.3 million, depreciation and amortization of $3.0 million, finance expenses and accretion of $1.3 million, stock-based compensation expense of $1.2 million, provision for inventory obsolescence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2022, cash used in operating activities consisted of a net loss of $33.6 million and an investment in net operating assets of $2.2 million, partially offset by non-cash operating expenses of $12.3 million. The investment in net operating assets was attributable to an increase in accounts receivable of $4.5 million, an increase in prepaid expenses of 0.8 million, an increase in other current assets of $0.4 million, an increase in other long-term assets of $0.3 million. This was partially offset by a decrease in inventories of $5.5 million, a decrease in accrued expenses and other current liabilities of $2.2 million, a decrease in unearned interest income of $0.1 million, and a decrease in other long-term liabilities of $0.3 million. The non-cash operating expenses consisted of provision for bad debts of $5.9 million, depreciation and amortization of $3.3 million, finance expenses and accretion of $0.3 million, stock-based compensation expense of $1.6 million, provision for inventory obsolescence of $1.8 million, partially offset by a deferred tax recovery of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nine months ended September 30, 2023, cash used in investing activities consisted of $0.1 million for the purchase of 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nine months ended September 30, 2022, cash used in investing activities consisted of $0.3 million for the purchase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nine months ended September 30, 2023, cash used in financing activities primarily consisted of net proceeds from the issuance of shares of common stock to Lincoln Park of $1.1 million and net proceeds from the 2023 Multi-Tranche Private Placement of $4.5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nine months ended September 30, 2022, cash used in financing activities primarily consisted of $0.6 million repayment of government assistance loans and $0.1 million of dividends from subsidiaries paid to non-controlling interest, partially offset by net proceeds from the issuance of shares of common stock to Lincoln Park of $0.4 million and proceeds from exercise of options of $23 thousand.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premises are leased under various operating lease agreements, which expire on various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2023, we had non-cancellable purchase orders placed with our contract manufacturers in the amount of $11.2 million. In addition, as of September 30, 2023, we had 1.0 million of open purchase orders that can be cancelled with 270 days’ notice, except for a portion equal to 25% of the total amount representing the purchase of “long lead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contractual obligations as of September 30, 2023, which represent material expected or contractually committed future obligations.</w:t>
      </w:r>
    </w:p>
    <w:p>
      <w:pPr>
        <w:pStyle w:val="TextBody"/>
        <w:bidi w:val="0"/>
        <w:spacing w:before="0" w:after="0"/>
        <w:ind w:left="0" w:right="0" w:hanging="0"/>
        <w:jc w:val="left"/>
        <w:rPr>
          <w:caps w:val="false"/>
          <w:smallCaps w:val="false"/>
        </w:rPr>
      </w:pPr>
      <w:r>
        <w:rPr>
          <w:caps w:val="false"/>
          <w:smallCaps w:val="false"/>
        </w:rPr>
        <w:t> </w:t>
      </w:r>
    </w:p>
    <w:tbl>
      <w:tblPr>
        <w:tblW w:w="9407" w:type="dxa"/>
        <w:jc w:val="left"/>
        <w:tblInd w:w="0" w:type="dxa"/>
        <w:tblLayout w:type="fixed"/>
        <w:tblCellMar>
          <w:top w:w="0" w:type="dxa"/>
          <w:left w:w="0" w:type="dxa"/>
          <w:bottom w:w="0" w:type="dxa"/>
          <w:right w:w="0" w:type="dxa"/>
        </w:tblCellMar>
      </w:tblPr>
      <w:tblGrid>
        <w:gridCol w:w="2915"/>
        <w:gridCol w:w="60"/>
        <w:gridCol w:w="250"/>
        <w:gridCol w:w="1180"/>
        <w:gridCol w:w="60"/>
        <w:gridCol w:w="60"/>
        <w:gridCol w:w="179"/>
        <w:gridCol w:w="845"/>
        <w:gridCol w:w="60"/>
        <w:gridCol w:w="60"/>
        <w:gridCol w:w="276"/>
        <w:gridCol w:w="748"/>
        <w:gridCol w:w="60"/>
        <w:gridCol w:w="60"/>
        <w:gridCol w:w="430"/>
        <w:gridCol w:w="1164"/>
        <w:gridCol w:w="60"/>
        <w:gridCol w:w="60"/>
        <w:gridCol w:w="125"/>
        <w:gridCol w:w="695"/>
        <w:gridCol w:w="6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7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 Due by Period</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Less than 1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 to 3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 to 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More than 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72" w:type="dxa"/>
            <w:gridSpan w:val="18"/>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Debt obligations, including interest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92,777</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4,820</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commitments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0"/>
              <w:jc w:val="left"/>
              <w:rPr/>
            </w:pPr>
            <w:r>
              <w:rPr/>
              <w:t> </w:t>
            </w:r>
          </w:p>
        </w:tc>
        <w:tc>
          <w:tcPr>
            <w:tcW w:w="11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0"/>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11,273</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contractual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108,870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 additional description of our commitments see Note 9, “Commitments and Contingencies” to the unaudited condensed consolidated financial statements included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currently engage in off-balance sheet financing arrangements. In addition, we do not have any interest in entities referred to as variable interest entities, which includes special purpose entities and other structured finance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more fully described in Note 2 to the audited consolidated financial statements included in our Annual Report filed on Form 10-K for the year ended December 31, 2022.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(1) sales of systems through our subscription model, in accordance with ASC 842, traditional system sales to customers and distributors, (2) other product revenues from the sale of ARTAS procedure kits, marketing supplies and kits, consumables and (3) and our extended warranty service contracts provided to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record our revenue net of sales tax and shipping and handling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Long-term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Long-term receivables relate to our subscription revenue or other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nine months ended September 30, 2023 and September 30, 2022, respectively. Unearned interest revenue represents the interest only portion of the respective subscription payments and will be recognized in income over the respective payment term as it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Allowance for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Warranty accrual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stock-based compensation costs in accordance with the accounting standards for stock-based compensation, which require that all stock based payments to employees be recognized in the unaudited condensed consolidated statements of operations based on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Financial statements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 the unaudited condensed consolidated statement of operations as they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2 to our unaudited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2" w:name="p1i3"/>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disclosure for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p1i4"/>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2023,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Limitations</w:t>
      </w:r>
      <w:r>
        <w:rPr>
          <w:rFonts w:ascii="Times New Roman" w:hAnsi="Times New Roman"/>
          <w:caps w:val="false"/>
          <w:smallCaps w:val="false"/>
          <w:sz w:val="20"/>
        </w:rPr>
        <w:t> </w:t>
      </w:r>
      <w:r>
        <w:rPr>
          <w:rFonts w:ascii="Times New Roman" w:hAnsi="Times New Roman"/>
          <w:b/>
          <w:caps w:val="false"/>
          <w:smallCaps w:val="false"/>
          <w:sz w:val="20"/>
        </w:rPr>
        <w:t>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material changes in our internal control over financial reporting during the three and nine months ended September 30, 2023 that have materially affected, or are reasonably likely to materially affect, our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does not include an attestation report of our registered public accounting firm due to a transition period established by rules of the SEC for “emerging growth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4" w:name="p2"/>
      <w:bookmarkEnd w:id="14"/>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p2i1"/>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our operations, we become involved in routine litigation incidental to the business. Material proceedings are described under Note 9, “Commitments and Contingencies” to the unaudited condensed consolidated financial statements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p2i1a"/>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Our operations and financial results are subject to various risk and uncertainties, including those described below and the risk factors described under Part I,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latest Form 10-K for the year ended December 31, 2022,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r>
        <w:rPr>
          <w:rFonts w:ascii="Times New Roman" w:hAnsi="Times New Roman"/>
          <w:i/>
          <w:caps w:val="false"/>
          <w:smallCaps w:val="false"/>
          <w:sz w:val="20"/>
        </w:rPr>
        <w:t xml:space="preserve">, included herein, and the risk factors previously disclosed in Part I,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Form 10-K for the year ended December 31, 2022</w:t>
      </w:r>
      <w:r>
        <w:rPr>
          <w:rFonts w:ascii="Times New Roman" w:hAnsi="Times New Roman"/>
          <w:caps w:val="false"/>
          <w:smallCaps w:val="false"/>
          <w:sz w:val="20"/>
        </w:rPr>
        <w:t> </w:t>
      </w:r>
      <w:r>
        <w:rPr>
          <w:rFonts w:ascii="Times New Roman" w:hAnsi="Times New Roman"/>
          <w:i/>
          <w:caps w:val="false"/>
          <w:smallCaps w:val="false"/>
          <w:sz w:val="20"/>
        </w:rPr>
        <w:t>filed with the SEC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Conditions in Israel, including the recent attack by Hamas and other terrorist organizations from the Gaza Strip and Israel</w:t>
      </w:r>
      <w:r>
        <w:rPr>
          <w:rFonts w:ascii="Times New Roman" w:hAnsi="Times New Roman"/>
          <w:caps w:val="false"/>
          <w:smallCaps w:val="false"/>
          <w:sz w:val="20"/>
        </w:rPr>
        <w:t>’</w:t>
      </w:r>
      <w:r>
        <w:rPr>
          <w:rFonts w:ascii="Times New Roman" w:hAnsi="Times New Roman"/>
          <w:b/>
          <w:i/>
          <w:caps w:val="false"/>
          <w:smallCaps w:val="false"/>
          <w:sz w:val="20"/>
        </w:rPr>
        <w:t>s war against them, may adversely affect our operations and limit our ability to manage and market our products, which could lead to a decrease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Israeli population and industrial centers located along the Israeli border with the Gaza Strip. Shortly following the attack, Israel’s security cabinet declared war against Hamas. The intensity, duration and impact of Israel’s current war against Hamas and the corresponding geopolitical instability in the region is difficult to predict, as are the war’s economic implications on the Company’s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possible that the conflict in the region may escalate. Our facilities are within the range of rockets that could be launched from a number of surrounding territories.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operations may be disrupted because of the obligation of Israeli citizens to perform military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Israeli security cabinet’s decision to declare war against Hamas, Israeli reservists have been drafted to perform immediate military service. Certain of our employees and consultants in Israel, in addition to employees of our service providers located in Israel, have been called for service in the current war with Hamas as of the date of this Quarterly Report on Form 10-Q, and such persons may be absent for an extended period of time. As a result, our operations may be disrupted by such absences, which may materially and adversely affect our business and results of operations. Additionally, the absence of employees of our Israeli suppliers and contract manufacturers due to their military service in the current war or future wars or other armed conflicts may disrupt their operations, in which event our ability to deliver products to customers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offer credit terms to some qualified customers and distributors. In the event that a customer or distributor defaults on the amounts payable to us, our financial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2023 and 2022, approximately 30% and 47% of our total system revenues were derived from our subscription-based model. Under our subscription model,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We cannot provide any assurance that the financial position of customers purchasing products and services under a subscription agreement will not change adversely before we receive all the monthly installment payments due under the contract.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our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be able to maintain our listing on The Nasdaq Capital Market and it may become more difficult to sell our stock in the public market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31, 2023, we received a notice (the “Notice”) from the Listing Qualifications Department of Nasdaq stating that our stockholders’ equity as reported in our Quarterly Report on Form 10-Q for the period ended March 31, 2023 was below the minimum $2,500,000 required for continued listing under Listing Rule 5550(b)(1) (“Minimum Equity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Notice had no immediate effect on the 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2023, we submitted to Nasdaq a plan to regain compliance with the Minimum Equity Requirement (the "Plan"). On July 28, 2023, Nasdaq granted us an extension until November 27, 2023 (the "Extension") to evidence compliance with the Minimum Equity Requirement, conditioned upon our achievement of certain milestones as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Nasdaq's grant of the Extension, there can be no assurance that we will be able to achieve the required milestones in the Plan or evidence compliance with the Minimum Equity Requirement within the timeframe required by Nasdaq, or that we will be able to maintain compliance with the other Nasdaq Listing Rules. If we are unable to timely regain compliance with the Minimum Equity Requirement, or if we fall out of compliance with one or more of the other Nasdaq Listing Rules, Nasdaq could seek to delist our common stock, in which case we would have the right to appeal such determination. If our common stock ultimately is delisted, our shareholders could face significant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10"/>
        <w:gridCol w:w="60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050" w:type="dxa"/>
            <w:tcBorders/>
            <w:vAlign w:val="center"/>
          </w:tcPr>
          <w:p>
            <w:pPr>
              <w:pStyle w:val="TableContents"/>
              <w:bidi w:val="0"/>
              <w:spacing w:before="0" w:after="283"/>
              <w:jc w:val="both"/>
              <w:rPr/>
            </w:pPr>
            <w:r>
              <w:rPr/>
              <w:t>Limited availability or market quotations for our common stock;</w:t>
            </w:r>
          </w:p>
        </w:tc>
      </w:tr>
    </w:tbl>
    <w:p>
      <w:pPr>
        <w:pStyle w:val="TextBody"/>
        <w:bidi w:val="0"/>
        <w:spacing w:before="0" w:after="0"/>
        <w:ind w:left="0" w:right="0" w:hanging="0"/>
        <w:jc w:val="both"/>
        <w:rPr/>
      </w:pPr>
      <w:r>
        <w:rPr/>
        <w:t> </w:t>
      </w:r>
    </w:p>
    <w:tbl>
      <w:tblPr>
        <w:tblW w:w="4000" w:type="dxa"/>
        <w:jc w:val="left"/>
        <w:tblInd w:w="0" w:type="dxa"/>
        <w:tblLayout w:type="fixed"/>
        <w:tblCellMar>
          <w:top w:w="0" w:type="dxa"/>
          <w:left w:w="0" w:type="dxa"/>
          <w:bottom w:w="0" w:type="dxa"/>
          <w:right w:w="0" w:type="dxa"/>
        </w:tblCellMar>
      </w:tblPr>
      <w:tblGrid>
        <w:gridCol w:w="60"/>
        <w:gridCol w:w="110"/>
        <w:gridCol w:w="383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pPr>
            <w:r>
              <w:rPr/>
              <w:t>Reduced liquidity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pPr>
            <w:r>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tc>
      </w:tr>
    </w:tbl>
    <w:p>
      <w:pPr>
        <w:pStyle w:val="TextBody"/>
        <w:bidi w:val="0"/>
        <w:spacing w:before="0" w:after="0"/>
        <w:ind w:left="0" w:right="0" w:hanging="0"/>
        <w:jc w:val="both"/>
        <w:rPr/>
      </w:pPr>
      <w:r>
        <w:rPr/>
        <w:t> </w:t>
      </w:r>
    </w:p>
    <w:tbl>
      <w:tblPr>
        <w:tblW w:w="5575" w:type="dxa"/>
        <w:jc w:val="left"/>
        <w:tblInd w:w="0" w:type="dxa"/>
        <w:tblLayout w:type="fixed"/>
        <w:tblCellMar>
          <w:top w:w="0" w:type="dxa"/>
          <w:left w:w="0" w:type="dxa"/>
          <w:bottom w:w="0" w:type="dxa"/>
          <w:right w:w="0" w:type="dxa"/>
        </w:tblCellMar>
      </w:tblPr>
      <w:tblGrid>
        <w:gridCol w:w="60"/>
        <w:gridCol w:w="110"/>
        <w:gridCol w:w="54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pPr>
            <w:r>
              <w:rPr/>
              <w:t>Limited amount of news an analysts’ coverage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pPr>
            <w:r>
              <w:rPr/>
              <w:t>Decreased ability for us to issue additional equity securities or obtain additional equity or debt financing in the future.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p2i2"/>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disclosed in the Company’s Current Reports on Form 8-K filed with the SEC on May 15, 2023, July 12, 2023, and September 8, 2023 there were no unregistered securities issued and sold during the three and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Issuer Purchases of Equity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p2i3"/>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9" w:name="p2i4"/>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0" w:name="p2i5"/>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1" w:name="p2i6"/>
      <w:bookmarkEnd w:id="21"/>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6659"/>
        <w:gridCol w:w="500"/>
        <w:gridCol w:w="600"/>
        <w:gridCol w:w="710"/>
        <w:gridCol w:w="60"/>
        <w:gridCol w:w="60"/>
        <w:gridCol w:w="801"/>
      </w:tblGrid>
      <w:tr>
        <w:trPr/>
        <w:tc>
          <w:tcPr>
            <w:tcW w:w="8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65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Herewith</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659"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caps w:val="false"/>
                  <w:smallCaps w:val="false"/>
                  <w:sz w:val="20"/>
                </w:rPr>
                <w:t>Amended and Restated Certificate of Incorporation of Restoration Robotics, Inc.</w:t>
              </w:r>
            </w:hyperlink>
          </w:p>
        </w:tc>
        <w:tc>
          <w:tcPr>
            <w:tcW w:w="5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10-17-17</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659"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rPr>
                <w:t>Certificate of Amendment of Certificate of Incorporation of Restoration Robotics, Inc.</w:t>
              </w:r>
            </w:hyperlink>
          </w:p>
        </w:tc>
        <w:tc>
          <w:tcPr>
            <w:tcW w:w="5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11-7-19</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6659"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Certificate of Amendment of Certificate of Incorporation of Venus Concept Inc.</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5-11-23</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6659"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Certificate of Amendment of Certificate of Incorporation of Venus Concept Inc.</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6-26-23</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6659"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sz w:val="20"/>
                </w:rPr>
                <w:t>Certificate of Designations of Series X Convertible Preferred Stock.</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ind w:left="0" w:right="0" w:firstLine="180"/>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6659"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rPr>
                <w:t>Second Amended and Restated Bylaws of Venus Concept Inc.</w:t>
              </w:r>
            </w:hyperlink>
          </w:p>
        </w:tc>
        <w:tc>
          <w:tcPr>
            <w:tcW w:w="5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11-7-19</w:t>
            </w:r>
          </w:p>
        </w:tc>
        <w:tc>
          <w:tcPr>
            <w:tcW w:w="710" w:type="dxa"/>
            <w:tcBorders/>
            <w:tcMar>
              <w:bottom w:w="0" w:type="dxa"/>
            </w:tcMar>
            <w:vAlign w:val="center"/>
          </w:tcPr>
          <w:p>
            <w:pPr>
              <w:pStyle w:val="TableContents"/>
              <w:bidi w:val="0"/>
              <w:spacing w:before="0" w:after="0"/>
              <w:ind w:left="0" w:right="0" w:firstLine="14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659"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Exchange Agreement, dated October 4, 2023, by and among Venus Concept Inc., Madryn Health Partners, LP and Madryn Health Partners (Cayman Master), LP</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659"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Registration Rights Agreement, dated October 4, 2023, by and among Venus Concept Inc., Madryn Health Partner, LP and Madryn Health Partners (Cayman Master), LP</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6659"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Secured Subordinated Convertible Note, dated October 4, 2023, by Venus Concept Inc. in favor of Madryn Health Partners, LP</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659"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Secured Subordinated Convertible Note, dated October 4, 2023, by Venus Concept Inc. in favor of and Madryn Health Partners (Cayman Master), LP</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6659"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Subordination of Debt Agreement, dated October 4, 2023, by and between Venus Concept Ltd., Madryn Health Partners, LP, Madryn Health Partners (Cayman Master), LP and City National Bank of Florida</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6659"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Loan Modification Agreement, dated October 4, 2023, by and between Venus Concept Inc. and City National Bank of Florida</w:t>
              </w:r>
            </w:hyperlink>
          </w:p>
        </w:tc>
        <w:tc>
          <w:tcPr>
            <w:tcW w:w="5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10-5-23</w:t>
            </w:r>
          </w:p>
        </w:tc>
        <w:tc>
          <w:tcPr>
            <w:tcW w:w="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659" w:type="dxa"/>
            <w:tcBorders/>
            <w:tcMar>
              <w:bottom w:w="0" w:type="dxa"/>
            </w:tcMar>
            <w:vAlign w:val="center"/>
          </w:tcPr>
          <w:p>
            <w:pPr>
              <w:pStyle w:val="TableContents"/>
              <w:bidi w:val="0"/>
              <w:spacing w:before="0" w:after="0"/>
              <w:ind w:left="0" w:right="0" w:hanging="0"/>
              <w:jc w:val="both"/>
              <w:rPr/>
            </w:pPr>
            <w:hyperlink w:anchor="ex_564378.htm">
              <w:r>
                <w:rPr>
                  <w:rStyle w:val="InternetLink"/>
                  <w:rFonts w:ascii="Times New Roman;Times;serif" w:hAnsi="Times New Roman;Times;serif"/>
                  <w:caps w:val="false"/>
                  <w:smallCaps w:val="false"/>
                  <w:sz w:val="20"/>
                </w:rPr>
                <w:t>Certification of Chief Executive Officer Pursuant to Section 302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659" w:type="dxa"/>
            <w:tcBorders/>
            <w:tcMar>
              <w:bottom w:w="0" w:type="dxa"/>
            </w:tcMar>
            <w:vAlign w:val="center"/>
          </w:tcPr>
          <w:p>
            <w:pPr>
              <w:pStyle w:val="TableContents"/>
              <w:bidi w:val="0"/>
              <w:spacing w:before="0" w:after="0"/>
              <w:ind w:left="0" w:right="0" w:hanging="0"/>
              <w:jc w:val="both"/>
              <w:rPr/>
            </w:pPr>
            <w:hyperlink w:anchor="ex_564379.htm">
              <w:r>
                <w:rPr>
                  <w:rStyle w:val="InternetLink"/>
                  <w:rFonts w:ascii="Times New Roman;Times;serif" w:hAnsi="Times New Roman;Times;serif"/>
                  <w:caps w:val="false"/>
                  <w:smallCaps w:val="false"/>
                  <w:sz w:val="20"/>
                </w:rPr>
                <w:t>Certification of Chief Financial Officer Pursuant to Section 302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659" w:type="dxa"/>
            <w:tcBorders/>
            <w:tcMar>
              <w:bottom w:w="0" w:type="dxa"/>
            </w:tcMar>
            <w:vAlign w:val="center"/>
          </w:tcPr>
          <w:p>
            <w:pPr>
              <w:pStyle w:val="TableContents"/>
              <w:bidi w:val="0"/>
              <w:spacing w:before="0" w:after="0"/>
              <w:ind w:left="0" w:right="0" w:hanging="0"/>
              <w:jc w:val="both"/>
              <w:rPr/>
            </w:pPr>
            <w:hyperlink w:anchor="ex_564380.htm">
              <w:r>
                <w:rPr>
                  <w:rStyle w:val="InternetLink"/>
                  <w:rFonts w:ascii="Times New Roman;Times;serif" w:hAnsi="Times New Roman;Times;serif"/>
                  <w:caps w:val="false"/>
                  <w:smallCaps w:val="false"/>
                  <w:sz w:val="20"/>
                </w:rPr>
                <w:t>Certification of Principal Executive Officer Pursuant to 18 U.S.C. Section 1350 as Adopted Pursuant to Section 906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6659" w:type="dxa"/>
            <w:tcBorders/>
            <w:tcMar>
              <w:bottom w:w="0" w:type="dxa"/>
            </w:tcMar>
            <w:vAlign w:val="center"/>
          </w:tcPr>
          <w:p>
            <w:pPr>
              <w:pStyle w:val="TableContents"/>
              <w:bidi w:val="0"/>
              <w:spacing w:before="0" w:after="0"/>
              <w:ind w:left="0" w:right="0" w:hanging="0"/>
              <w:jc w:val="both"/>
              <w:rPr/>
            </w:pPr>
            <w:hyperlink w:anchor="ex_564381.htm">
              <w:r>
                <w:rPr>
                  <w:rStyle w:val="InternetLink"/>
                  <w:rFonts w:ascii="Times New Roman;Times;serif" w:hAnsi="Times New Roman;Times;serif"/>
                  <w:caps w:val="false"/>
                  <w:smallCaps w:val="false"/>
                  <w:sz w:val="20"/>
                </w:rPr>
                <w:t>Certification of Principal Financial Officer Pursuant to 18 U.S.C. Section 1350 as Adopted Pursuant to Section 906 of the Sarbanes-Oxley Act of 2002.</w:t>
              </w:r>
            </w:hyperlink>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65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65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65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65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65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65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15" w:type="dxa"/>
            <w:tcBorders/>
            <w:tcMar>
              <w:bottom w:w="0" w:type="dxa"/>
            </w:tcMar>
            <w:vAlign w:val="center"/>
          </w:tcPr>
          <w:p>
            <w:pPr>
              <w:pStyle w:val="TableContents"/>
              <w:bidi w:val="0"/>
              <w:spacing w:before="0" w:after="283"/>
              <w:jc w:val="left"/>
              <w:rPr/>
            </w:pPr>
            <w:r>
              <w:rPr/>
              <w:t> </w:t>
            </w:r>
          </w:p>
        </w:tc>
        <w:tc>
          <w:tcPr>
            <w:tcW w:w="6659"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104</w:t>
            </w:r>
          </w:p>
        </w:tc>
        <w:tc>
          <w:tcPr>
            <w:tcW w:w="66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and contained in Exhibit 101)</w:t>
            </w:r>
          </w:p>
        </w:tc>
        <w:tc>
          <w:tcPr>
            <w:tcW w:w="500" w:type="dxa"/>
            <w:tcBorders/>
            <w:tcMar>
              <w:bottom w:w="0" w:type="dxa"/>
            </w:tcMar>
            <w:vAlign w:val="center"/>
          </w:tcPr>
          <w:p>
            <w:pPr>
              <w:pStyle w:val="TableContents"/>
              <w:bidi w:val="0"/>
              <w:spacing w:before="0" w:after="283"/>
              <w:jc w:val="left"/>
              <w:rPr/>
            </w:pPr>
            <w:r>
              <w:rPr/>
              <w:t> </w:t>
            </w:r>
          </w:p>
        </w:tc>
        <w:tc>
          <w:tcPr>
            <w:tcW w:w="6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495"/>
        <w:gridCol w:w="60"/>
        <w:gridCol w:w="320"/>
        <w:gridCol w:w="2015"/>
      </w:tblGrid>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Venus Concept Inc.</w:t>
            </w:r>
          </w:p>
        </w:tc>
      </w:tr>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Rajiv De Silva</w:t>
            </w:r>
          </w:p>
        </w:tc>
      </w:tr>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Rajiv De Silva</w:t>
            </w:r>
          </w:p>
        </w:tc>
      </w:tr>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Date: November 14, 2023</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Domenic Della Penna</w:t>
            </w:r>
          </w:p>
        </w:tc>
      </w:tr>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Domenic Della Penna</w:t>
            </w:r>
          </w:p>
        </w:tc>
      </w:tr>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47 </w:t>
      </w:r>
    </w:p>
    <w:p>
      <w:pPr>
        <w:pStyle w:val="TextBody"/>
        <w:bidi w:val="0"/>
        <w:spacing w:before="0" w:after="0"/>
        <w:ind w:left="0" w:right="0" w:hanging="0"/>
        <w:jc w:val="right"/>
        <w:rPr>
          <w:rFonts w:ascii="Times New Roman" w:hAnsi="Times New Roman"/>
          <w:b/>
          <w:caps w:val="false"/>
          <w:smallCaps w:val="false"/>
          <w:sz w:val="20"/>
        </w:rPr>
      </w:pPr>
      <w:bookmarkStart w:id="23" w:name="ex_564378.htm"/>
      <w:bookmarkStart w:id="24" w:name="ksex_564378"/>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Rajiv De Silva,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Venus Concept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105"/>
        <w:gridCol w:w="320"/>
        <w:gridCol w:w="2465"/>
      </w:tblGrid>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Rajiv De Silva </w:t>
            </w:r>
          </w:p>
        </w:tc>
      </w:tr>
      <w:tr>
        <w:trPr/>
        <w:tc>
          <w:tcPr>
            <w:tcW w:w="2425"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Rajiv De Silva</w:t>
            </w:r>
          </w:p>
        </w:tc>
      </w:tr>
      <w:tr>
        <w:trPr/>
        <w:tc>
          <w:tcPr>
            <w:tcW w:w="2425"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bookmarkStart w:id="25" w:name="ex_564379.htm"/>
      <w:bookmarkStart w:id="26" w:name="ksex_564379"/>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 OF THE SARBANES 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Domenic Della Penna, certify that:</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70"/>
        <w:gridCol w:w="602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6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Venus Concept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27" w:name="PGBK"/>
      <w:bookmarkStart w:id="28" w:name="PGBK"/>
      <w:bookmarkEnd w:id="2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29" w:name="PGNUM"/>
      <w:bookmarkStart w:id="30" w:name="PGNUM"/>
      <w:bookmarkEnd w:id="3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31" w:name="PGHDR"/>
      <w:bookmarkEnd w:id="31"/>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105"/>
        <w:gridCol w:w="320"/>
        <w:gridCol w:w="2435"/>
      </w:tblGrid>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Domenic Della Penna </w:t>
            </w:r>
          </w:p>
        </w:tc>
      </w:tr>
      <w:tr>
        <w:trPr/>
        <w:tc>
          <w:tcPr>
            <w:tcW w:w="2425"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Domenic Della Penna</w:t>
            </w:r>
          </w:p>
        </w:tc>
      </w:tr>
      <w:tr>
        <w:trPr/>
        <w:tc>
          <w:tcPr>
            <w:tcW w:w="2425"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bookmarkStart w:id="32" w:name="ex_564380.htm"/>
      <w:bookmarkStart w:id="33" w:name="ksex_564380"/>
      <w:bookmarkEnd w:id="32"/>
      <w:bookmarkEnd w:id="3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I, Rajiv De Silva, the Chief Executive Officer of Venus Concept Inc. (the “Company”), hereby certify,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for the quarter ended September 30, 2023 (the “Report”) of the Company fully complies with the requirements of Section 13(a)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34" w:name="PGBK1"/>
      <w:bookmarkStart w:id="35" w:name="PGBK1"/>
      <w:bookmarkEnd w:id="3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36" w:name="PGNUM1"/>
      <w:bookmarkStart w:id="37" w:name="PGNUM1"/>
      <w:bookmarkEnd w:id="3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38" w:name="PGHDR1"/>
      <w:bookmarkEnd w:id="3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105"/>
        <w:gridCol w:w="320"/>
        <w:gridCol w:w="2465"/>
      </w:tblGrid>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Rajiv De Silva</w:t>
            </w:r>
          </w:p>
        </w:tc>
      </w:tr>
      <w:tr>
        <w:trPr/>
        <w:tc>
          <w:tcPr>
            <w:tcW w:w="2425"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Rajiv De Silva</w:t>
            </w:r>
          </w:p>
        </w:tc>
      </w:tr>
      <w:tr>
        <w:trPr/>
        <w:tc>
          <w:tcPr>
            <w:tcW w:w="2425" w:type="dxa"/>
            <w:gridSpan w:val="2"/>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bookmarkStart w:id="39" w:name="ex_564381.htm"/>
      <w:bookmarkStart w:id="40" w:name="ksex_564381"/>
      <w:bookmarkEnd w:id="39"/>
      <w:bookmarkEnd w:id="4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I, Domenic Della Penna, the Chief Financial Officer of Venus Concept Inc. (the “Company”), hereby certify,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for the quarter ended September 30, 2023 (the “Report”) of the Company fully complies with the requirements of Section 13(a)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bookmarkStart w:id="41" w:name="PGBK2"/>
      <w:bookmarkStart w:id="42" w:name="PGBK2"/>
      <w:bookmarkEnd w:id="4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bookmarkStart w:id="43" w:name="PGNUM2"/>
      <w:bookmarkStart w:id="44" w:name="PGNUM2"/>
      <w:bookmarkEnd w:id="4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bookmarkStart w:id="45" w:name="PGHDR2"/>
      <w:bookmarkEnd w:id="45"/>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105"/>
        <w:gridCol w:w="320"/>
        <w:gridCol w:w="2435"/>
      </w:tblGrid>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3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Domenic Della Penna </w:t>
            </w:r>
          </w:p>
        </w:tc>
      </w:tr>
      <w:tr>
        <w:trPr/>
        <w:tc>
          <w:tcPr>
            <w:tcW w:w="2425"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Domenic Della Penna</w:t>
            </w:r>
          </w:p>
        </w:tc>
      </w:tr>
      <w:tr>
        <w:trPr/>
        <w:tc>
          <w:tcPr>
            <w:tcW w:w="2425"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r>
        <w:trPr/>
        <w:tc>
          <w:tcPr>
            <w:tcW w:w="2425" w:type="dxa"/>
            <w:gridSpan w:val="2"/>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409269/000119312517311810/d448597dex31.htm" TargetMode="External"/><Relationship Id="rId3" Type="http://schemas.openxmlformats.org/officeDocument/2006/relationships/hyperlink" Target="http://www.sec.gov/Archives/edgar/data/0001409269/000119312519286952/d827576dex31.htm" TargetMode="External"/><Relationship Id="rId4" Type="http://schemas.openxmlformats.org/officeDocument/2006/relationships/hyperlink" Target="http://www.sec.gov/Archives/edgar/data/1409269/000114036123024193/brhc20052761_ex3-1.htm" TargetMode="External"/><Relationship Id="rId5" Type="http://schemas.openxmlformats.org/officeDocument/2006/relationships/hyperlink" Target="http://www.sec.gov/Archives/edgar/data/1409269/000114036123031431/brhc20054780_ex3-1.htm" TargetMode="External"/><Relationship Id="rId6" Type="http://schemas.openxmlformats.org/officeDocument/2006/relationships/hyperlink" Target="http://www.sec.gov/Archives/edgar/data/1409269/000114036123047079/ef20011960_ex3-1.htm" TargetMode="External"/><Relationship Id="rId7" Type="http://schemas.openxmlformats.org/officeDocument/2006/relationships/hyperlink" Target="http://www.sec.gov/Archives/edgar/data/0001409269/000119312519286952/d827576dex32.htm" TargetMode="External"/><Relationship Id="rId8" Type="http://schemas.openxmlformats.org/officeDocument/2006/relationships/hyperlink" Target="http://www.sec.gov/Archives/edgar/data/1409269/000114036123047079/ef20011960_ex10-1.htm" TargetMode="External"/><Relationship Id="rId9" Type="http://schemas.openxmlformats.org/officeDocument/2006/relationships/hyperlink" Target="http://www.sec.gov/Archives/edgar/data/1409269/000114036123047079/ef20011960_ex10-2.htm" TargetMode="External"/><Relationship Id="rId10" Type="http://schemas.openxmlformats.org/officeDocument/2006/relationships/hyperlink" Target="http://www.sec.gov/Archives/edgar/data/1409269/000114036123047079/ef20011960_ex10-3.htm" TargetMode="External"/><Relationship Id="rId11" Type="http://schemas.openxmlformats.org/officeDocument/2006/relationships/hyperlink" Target="http://www.sec.gov/Archives/edgar/data/1409269/000114036123047079/ef20011960_ex10-4.htm" TargetMode="External"/><Relationship Id="rId12" Type="http://schemas.openxmlformats.org/officeDocument/2006/relationships/hyperlink" Target="http://www.sec.gov/Archives/edgar/data/1409269/000114036123047079/ef20011960_ex10-5.htm" TargetMode="External"/><Relationship Id="rId13" Type="http://schemas.openxmlformats.org/officeDocument/2006/relationships/hyperlink" Target="http://www.sec.gov/Archives/edgar/data/1409269/000114036123047079/ef20011960_ex10-6.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31981</Words>
  <Characters>172919</Characters>
  <CharactersWithSpaces>207691</CharactersWithSpaces>
  <Paragraphs>9393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