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62230</wp:posOffset>
            </wp:positionV>
            <wp:extent cx="1062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600" w:hanging="3812"/>
        <w:spacing w:after="0" w:line="490" w:lineRule="auto"/>
        <w:tabs>
          <w:tab w:leader="none" w:pos="50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240" w:right="1580" w:hanging="3232"/>
        <w:spacing w:after="0" w:line="500" w:lineRule="auto"/>
        <w:tabs>
          <w:tab w:leader="none" w:pos="49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 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53975</wp:posOffset>
            </wp:positionV>
            <wp:extent cx="1062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Venus Concept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107"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06-1681204</w:t>
      </w:r>
    </w:p>
    <w:p>
      <w:pPr>
        <w:spacing w:after="0" w:line="23" w:lineRule="exact"/>
        <w:rPr>
          <w:sz w:val="24"/>
          <w:szCs w:val="24"/>
          <w:color w:val="auto"/>
        </w:rPr>
      </w:pPr>
    </w:p>
    <w:p>
      <w:pPr>
        <w:sectPr>
          <w:pgSz w:w="11900" w:h="16838" w:orient="portrait"/>
          <w:cols w:equalWidth="0" w:num="2">
            <w:col w:w="7280" w:space="720"/>
            <w:col w:w="3240"/>
          </w:cols>
          <w:pgMar w:left="320" w:top="472"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140" w:space="720"/>
            <w:col w:w="3380"/>
          </w:cols>
          <w:pgMar w:left="320" w:top="47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235 Yorkland Blvd., Suite 900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M2J 4Y8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848-8430</w:t>
      </w:r>
    </w:p>
    <w:p>
      <w:pPr>
        <w:sectPr>
          <w:pgSz w:w="11900" w:h="16838" w:orient="portrait"/>
          <w:cols w:equalWidth="0" w:num="1">
            <w:col w:w="11240"/>
          </w:cols>
          <w:pgMar w:left="320" w:top="472"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154940</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0" w:type="dxa"/>
            <w:vAlign w:val="bottom"/>
          </w:tcPr>
          <w:p>
            <w:pPr>
              <w:spacing w:after="0"/>
              <w:rPr>
                <w:sz w:val="18"/>
                <w:szCs w:val="18"/>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VERO</w:t>
            </w:r>
          </w:p>
        </w:tc>
        <w:tc>
          <w:tcPr>
            <w:tcW w:w="40" w:type="dxa"/>
            <w:vAlign w:val="bottom"/>
          </w:tcPr>
          <w:p>
            <w:pPr>
              <w:spacing w:after="0"/>
              <w:rPr>
                <w:sz w:val="18"/>
                <w:szCs w:val="18"/>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Capital Market</w:t>
            </w:r>
          </w:p>
        </w:tc>
      </w:tr>
    </w:tbl>
    <w:p>
      <w:pPr>
        <w:spacing w:after="0" w:line="181" w:lineRule="exact"/>
        <w:rPr>
          <w:sz w:val="24"/>
          <w:szCs w:val="24"/>
          <w:color w:val="auto"/>
        </w:rPr>
      </w:pPr>
    </w:p>
    <w:p>
      <w:pPr>
        <w:jc w:val="both"/>
        <w:ind w:firstLine="45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45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4"/>
          <w:szCs w:val="24"/>
          <w:color w:val="auto"/>
        </w:rPr>
      </w:pPr>
    </w:p>
    <w:p>
      <w:pPr>
        <w:ind w:right="20"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4"/>
          <w:szCs w:val="24"/>
          <w:color w:val="auto"/>
        </w:rPr>
      </w:pPr>
    </w:p>
    <w:p>
      <w:pPr>
        <w:ind w:left="460"/>
        <w:spacing w:after="0" w:line="184" w:lineRule="exact"/>
        <w:tabs>
          <w:tab w:leader="none" w:pos="7960" w:val="left"/>
          <w:tab w:leader="none" w:pos="85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May 9, 2024 the registrant had 6,355,230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517525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2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440" w:type="dxa"/>
            <w:vAlign w:val="bottom"/>
            <w:gridSpan w:val="20"/>
            <w:vMerge w:val="continue"/>
          </w:tcPr>
          <w:p>
            <w:pPr>
              <w:spacing w:after="0"/>
              <w:rPr>
                <w:sz w:val="14"/>
                <w:szCs w:val="14"/>
                <w:color w:val="auto"/>
              </w:rPr>
            </w:pPr>
          </w:p>
        </w:tc>
        <w:tc>
          <w:tcPr>
            <w:tcW w:w="66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Condensed Consolidated Financial Statements (unaudited)</w:t>
            </w:r>
          </w:p>
        </w:tc>
        <w:tc>
          <w:tcPr>
            <w:tcW w:w="492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1580" w:type="dxa"/>
            <w:vAlign w:val="bottom"/>
            <w:gridSpan w:val="5"/>
          </w:tcPr>
          <w:p>
            <w:pPr>
              <w:spacing w:after="0"/>
              <w:rPr>
                <w:sz w:val="17"/>
                <w:szCs w:val="17"/>
                <w:color w:val="auto"/>
              </w:rPr>
            </w:pPr>
          </w:p>
        </w:tc>
        <w:tc>
          <w:tcPr>
            <w:tcW w:w="492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5780" w:type="dxa"/>
            <w:vAlign w:val="bottom"/>
            <w:gridSpan w:val="9"/>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w:t>
            </w:r>
            <w:r>
              <w:rPr>
                <w:rFonts w:ascii="Times New Roman" w:cs="Times New Roman" w:eastAsia="Times New Roman" w:hAnsi="Times New Roman"/>
                <w:sz w:val="18"/>
                <w:szCs w:val="18"/>
                <w:color w:val="000000"/>
              </w:rPr>
              <w:t>)</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1280" w:type="dxa"/>
            <w:vAlign w:val="bottom"/>
            <w:gridSpan w:val="6"/>
          </w:tcPr>
          <w:p>
            <w:pPr>
              <w:spacing w:after="0"/>
              <w:rPr>
                <w:sz w:val="17"/>
                <w:szCs w:val="17"/>
                <w:color w:val="auto"/>
              </w:rPr>
            </w:pPr>
          </w:p>
        </w:tc>
        <w:tc>
          <w:tcPr>
            <w:tcW w:w="4440" w:type="dxa"/>
            <w:vAlign w:val="bottom"/>
            <w:gridSpan w:val="2"/>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5180" w:type="dxa"/>
            <w:vAlign w:val="bottom"/>
            <w:gridSpan w:val="7"/>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68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Management’s Discussion and Analysis of Financial Condition and Results of Operations</w:t>
            </w: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19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Controls and Procedures</w:t>
            </w:r>
          </w:p>
        </w:tc>
        <w:tc>
          <w:tcPr>
            <w:tcW w:w="2740" w:type="dxa"/>
            <w:vAlign w:val="bottom"/>
            <w:tcBorders>
              <w:top w:val="single" w:sz="8" w:color="0000EE"/>
            </w:tcBorders>
            <w:gridSpan w:val="9"/>
          </w:tcPr>
          <w:p>
            <w:pPr>
              <w:spacing w:after="0"/>
              <w:rPr>
                <w:sz w:val="17"/>
                <w:szCs w:val="17"/>
                <w:color w:val="auto"/>
              </w:rPr>
            </w:pPr>
          </w:p>
        </w:tc>
        <w:tc>
          <w:tcPr>
            <w:tcW w:w="478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w:t>
            </w:r>
          </w:p>
        </w:tc>
        <w:tc>
          <w:tcPr>
            <w:tcW w:w="14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800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420" w:type="dxa"/>
            <w:vAlign w:val="bottom"/>
            <w:tcBorders>
              <w:top w:val="single" w:sz="8" w:color="0000EE"/>
            </w:tcBorders>
          </w:tcPr>
          <w:p>
            <w:pPr>
              <w:spacing w:after="0"/>
              <w:rPr>
                <w:sz w:val="17"/>
                <w:szCs w:val="17"/>
                <w:color w:val="auto"/>
              </w:rPr>
            </w:pPr>
          </w:p>
        </w:tc>
        <w:tc>
          <w:tcPr>
            <w:tcW w:w="8040" w:type="dxa"/>
            <w:vAlign w:val="bottom"/>
            <w:gridSpan w:val="16"/>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45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488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18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Mine Safety Disclosures</w:t>
            </w:r>
          </w:p>
        </w:tc>
        <w:tc>
          <w:tcPr>
            <w:tcW w:w="600" w:type="dxa"/>
            <w:vAlign w:val="bottom"/>
            <w:tcBorders>
              <w:top w:val="single" w:sz="8" w:color="0000EE"/>
            </w:tcBorders>
            <w:gridSpan w:val="2"/>
          </w:tcPr>
          <w:p>
            <w:pPr>
              <w:spacing w:after="0"/>
              <w:rPr>
                <w:sz w:val="17"/>
                <w:szCs w:val="17"/>
                <w:color w:val="auto"/>
              </w:rPr>
            </w:pPr>
          </w:p>
        </w:tc>
        <w:tc>
          <w:tcPr>
            <w:tcW w:w="700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5.</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Exhibits</w:t>
            </w:r>
          </w:p>
        </w:tc>
        <w:tc>
          <w:tcPr>
            <w:tcW w:w="800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w:t>
            </w: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of $5,317 and $7,415 as of March 31, 2024, and December 31,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 respectively</w:t>
            </w:r>
          </w:p>
        </w:tc>
        <w:tc>
          <w:tcPr>
            <w:tcW w:w="2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27,168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23,072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w:t>
            </w:r>
          </w:p>
        </w:tc>
      </w:tr>
      <w:tr>
        <w:trPr>
          <w:trHeight w:val="209"/>
        </w:trPr>
        <w:tc>
          <w:tcPr>
            <w:tcW w:w="80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receivables, net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Severance pay funds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assets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85,076</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93,654</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7,787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interest income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Warranty accrual</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w:t>
            </w:r>
          </w:p>
        </w:tc>
      </w:tr>
      <w:tr>
        <w:trPr>
          <w:trHeight w:val="209"/>
        </w:trPr>
        <w:tc>
          <w:tcPr>
            <w:tcW w:w="80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72,552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70,790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severance pay</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Unearned interest revenue</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accrual</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106,988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107,103</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 (Note 15):</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as of March 31, 2024 and December 31,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2023; 6,355,230 and 5,529,149 issued and outstanding as of March 31, 2024, and December 31, 2023,</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249,180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247,854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(271,697)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(261,903)</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(13,449)</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85,076</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93,654</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1" w:right="339" w:bottom="619"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19"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3,593</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5,761</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Products and services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Products and services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13,699</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11,185</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(8,155)</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expenses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(9,388)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(9,789)</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(9,623)</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stockholders of the Company</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(9,794)</w:t>
            </w:r>
          </w:p>
        </w:tc>
        <w:tc>
          <w:tcPr>
            <w:tcW w:w="400" w:type="dxa"/>
            <w:vAlign w:val="bottom"/>
            <w:gridSpan w:val="2"/>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(9,657)</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used in per share calculation: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5,237</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(9,789)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(9,623)</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attributable to stockholders of the Company</w:t>
            </w:r>
          </w:p>
        </w:tc>
        <w:tc>
          <w:tcPr>
            <w:tcW w:w="960" w:type="dxa"/>
            <w:vAlign w:val="bottom"/>
          </w:tcPr>
          <w:p>
            <w:pPr>
              <w:spacing w:after="0"/>
              <w:rPr>
                <w:sz w:val="17"/>
                <w:szCs w:val="17"/>
                <w:color w:val="auto"/>
              </w:rPr>
            </w:pPr>
          </w:p>
        </w:tc>
        <w:tc>
          <w:tcPr>
            <w:tcW w:w="6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(9,794)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(9,657)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(9,789)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(9,623)</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6"/>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Multi-</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Tranche</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Series X</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9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Placement</w:t>
            </w:r>
          </w:p>
        </w:tc>
        <w:tc>
          <w:tcPr>
            <w:tcW w:w="9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4"/>
            <w:vMerge w:val="continue"/>
          </w:tcPr>
          <w:p>
            <w:pPr>
              <w:spacing w:after="0"/>
              <w:rPr>
                <w:sz w:val="12"/>
                <w:szCs w:val="12"/>
                <w:color w:val="auto"/>
              </w:rPr>
            </w:pPr>
          </w:p>
        </w:tc>
        <w:tc>
          <w:tcPr>
            <w:tcW w:w="9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January 1, 2024</w:t>
            </w:r>
          </w:p>
        </w:tc>
        <w:tc>
          <w:tcPr>
            <w:tcW w:w="72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3,185,000</w:t>
            </w: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1,575,810</w:t>
            </w:r>
          </w:p>
        </w:tc>
        <w:tc>
          <w:tcPr>
            <w:tcW w:w="8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256,356</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5,529,149</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247,854</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(261,903)</w:t>
            </w:r>
          </w:p>
        </w:tc>
        <w:tc>
          <w:tcPr>
            <w:tcW w:w="1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570</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(13,449)</w:t>
            </w:r>
          </w:p>
        </w:tc>
        <w:tc>
          <w:tcPr>
            <w:tcW w:w="0" w:type="dxa"/>
            <w:vAlign w:val="bottom"/>
          </w:tcPr>
          <w:p>
            <w:pPr>
              <w:spacing w:after="0"/>
              <w:rPr>
                <w:sz w:val="1"/>
                <w:szCs w:val="1"/>
                <w:color w:val="auto"/>
              </w:rPr>
            </w:pPr>
          </w:p>
        </w:tc>
      </w:tr>
      <w:tr>
        <w:trPr>
          <w:trHeight w:val="148"/>
        </w:trPr>
        <w:tc>
          <w:tcPr>
            <w:tcW w:w="30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4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2024 Registered Direct Offering shares and</w:t>
            </w:r>
          </w:p>
        </w:tc>
        <w:tc>
          <w:tcPr>
            <w:tcW w:w="4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817,748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warrants, net of costs</w:t>
            </w:r>
          </w:p>
        </w:tc>
        <w:tc>
          <w:tcPr>
            <w:tcW w:w="4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2023 Series X Private Placement shares</w:t>
            </w:r>
          </w:p>
        </w:tc>
        <w:tc>
          <w:tcPr>
            <w:tcW w:w="40" w:type="dxa"/>
            <w:vAlign w:val="bottom"/>
          </w:tcPr>
          <w:p>
            <w:pPr>
              <w:spacing w:after="0"/>
              <w:rPr>
                <w:sz w:val="10"/>
                <w:szCs w:val="10"/>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8,012</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dividends</w:t>
            </w:r>
          </w:p>
        </w:tc>
        <w:tc>
          <w:tcPr>
            <w:tcW w:w="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(9,794)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(9,794)</w:t>
            </w:r>
          </w:p>
        </w:tc>
        <w:tc>
          <w:tcPr>
            <w:tcW w:w="0" w:type="dxa"/>
            <w:vAlign w:val="bottom"/>
          </w:tcPr>
          <w:p>
            <w:pPr>
              <w:spacing w:after="0"/>
              <w:rPr>
                <w:sz w:val="1"/>
                <w:szCs w:val="1"/>
                <w:color w:val="auto"/>
              </w:rPr>
            </w:pPr>
          </w:p>
        </w:tc>
      </w:tr>
      <w:tr>
        <w:trPr>
          <w:trHeight w:val="148"/>
        </w:trPr>
        <w:tc>
          <w:tcPr>
            <w:tcW w:w="30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income — non-controlling interest</w:t>
            </w:r>
          </w:p>
        </w:tc>
        <w:tc>
          <w:tcPr>
            <w:tcW w:w="4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42"/>
        </w:trPr>
        <w:tc>
          <w:tcPr>
            <w:tcW w:w="304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2024</w:t>
            </w: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3,185,000</w:t>
            </w:r>
          </w:p>
        </w:tc>
        <w:tc>
          <w:tcPr>
            <w:tcW w:w="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1,575,810</w:t>
            </w:r>
          </w:p>
        </w:tc>
        <w:tc>
          <w:tcPr>
            <w:tcW w:w="22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264,368</w:t>
            </w:r>
          </w:p>
        </w:tc>
        <w:tc>
          <w:tcPr>
            <w:tcW w:w="22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6,355,230</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249,180</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(271,697</w:t>
            </w:r>
          </w:p>
        </w:tc>
        <w:tc>
          <w:tcPr>
            <w:tcW w:w="140" w:type="dxa"/>
            <w:vAlign w:val="bottom"/>
            <w:tcBorders>
              <w:top w:val="single" w:sz="8" w:color="CCEEFF"/>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575</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(21,912)</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6"/>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Multi-</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Tranche</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Series X</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4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4"/>
            <w:vMerge w:val="continue"/>
          </w:tcPr>
          <w:p>
            <w:pPr>
              <w:spacing w:after="0"/>
              <w:rPr>
                <w:sz w:val="12"/>
                <w:szCs w:val="12"/>
                <w:color w:val="auto"/>
              </w:rPr>
            </w:pPr>
          </w:p>
        </w:tc>
        <w:tc>
          <w:tcPr>
            <w:tcW w:w="9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January 1, 2023</w:t>
            </w:r>
          </w:p>
        </w:tc>
        <w:tc>
          <w:tcPr>
            <w:tcW w:w="72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3,185,000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5,161,374</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232,169</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(224,105)</w:t>
            </w:r>
          </w:p>
        </w:tc>
        <w:tc>
          <w:tcPr>
            <w:tcW w:w="1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8,738</w:t>
            </w:r>
          </w:p>
        </w:tc>
        <w:tc>
          <w:tcPr>
            <w:tcW w:w="0" w:type="dxa"/>
            <w:vAlign w:val="bottom"/>
          </w:tcPr>
          <w:p>
            <w:pPr>
              <w:spacing w:after="0"/>
              <w:rPr>
                <w:sz w:val="1"/>
                <w:szCs w:val="1"/>
                <w:color w:val="auto"/>
              </w:rPr>
            </w:pPr>
          </w:p>
        </w:tc>
      </w:tr>
      <w:tr>
        <w:trPr>
          <w:trHeight w:val="148"/>
        </w:trPr>
        <w:tc>
          <w:tcPr>
            <w:tcW w:w="30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Restricted share units vested</w:t>
            </w:r>
          </w:p>
        </w:tc>
        <w:tc>
          <w:tcPr>
            <w:tcW w:w="4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224,378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48"/>
        </w:trPr>
        <w:tc>
          <w:tcPr>
            <w:tcW w:w="30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Adoption of ASC 326</w:t>
            </w:r>
          </w:p>
        </w:tc>
        <w:tc>
          <w:tcPr>
            <w:tcW w:w="4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(9,657)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(9,657)</w:t>
            </w:r>
          </w:p>
        </w:tc>
        <w:tc>
          <w:tcPr>
            <w:tcW w:w="0" w:type="dxa"/>
            <w:vAlign w:val="bottom"/>
          </w:tcPr>
          <w:p>
            <w:pPr>
              <w:spacing w:after="0"/>
              <w:rPr>
                <w:sz w:val="1"/>
                <w:szCs w:val="1"/>
                <w:color w:val="auto"/>
              </w:rPr>
            </w:pPr>
          </w:p>
        </w:tc>
      </w:tr>
      <w:tr>
        <w:trPr>
          <w:trHeight w:val="148"/>
        </w:trPr>
        <w:tc>
          <w:tcPr>
            <w:tcW w:w="30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income — non-controlling interest</w:t>
            </w:r>
          </w:p>
        </w:tc>
        <w:tc>
          <w:tcPr>
            <w:tcW w:w="4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142"/>
        </w:trPr>
        <w:tc>
          <w:tcPr>
            <w:tcW w:w="304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2023</w:t>
            </w:r>
          </w:p>
        </w:tc>
        <w:tc>
          <w:tcPr>
            <w:tcW w:w="4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3,185,000</w:t>
            </w: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5,407,752</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233,394</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(234,310</w:t>
            </w:r>
          </w:p>
        </w:tc>
        <w:tc>
          <w:tcPr>
            <w:tcW w:w="140" w:type="dxa"/>
            <w:vAlign w:val="bottom"/>
            <w:tcBorders>
              <w:top w:val="single" w:sz="8" w:color="CCEEFF"/>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679</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Presented as $0 due to rounding.</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(9,789)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expenses and accretion</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expense (recovery)</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short-term and long-term</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Severance pay funds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interest income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(5,888)</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Registered Direct Offering shares and warrants, net of costs of $222</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Convertible Notes issued to EW, net of costs of $393</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 Beginning of period</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 End of period</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6,414</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1,433</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unless otherwise noted,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unaudited condensed consolidated financial statements, the “Company,” “Venus Concept,” “our,” and “we,” refer to Venus Concept Inc. and its subsidiaries on a consolidated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Strategic Alternatives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24, 2024, the Company announced that its Board is evaluating potential strategic alternatives to maximize shareholder value. As part of the process, the Board is considering a full range of strategic alternatives, which may include one or more financings, mergers, reverse mergers, other business combinations, sales of assets, licensings or other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evaluation of strategic alternatives will result in any transaction, nor can there be any assurance regarding any transaction’s timing or ultimate outcome. The Company has not set a timetable for completion of the process and does not intend to disclose developments related to the process unless and until the Company executes a definitive agreement with respect thereto, or the Board otherwise determines that further disclosure is appropriate or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had recurring net operating losses and negative cash flows from operations. As of March 31, 2024 and December 31, 2023, the Company had an accumulated deficit of $271,697 and $261,903, respectively, though, the Company was in compliance with all required covenants as of March 31, 2024, and December 31, 2023. The Company’s recurring losses from operations and negative cash flows raise substantial doubt about the Company’s ability to continue as a going concern within 12 months from the date that the unaudited condensed consolidated financial statements are issued. The global economy, including the financial and credit markets, has recently experienced extreme volatility and disruptions, including increasing inflation rates, rising interest rates, foreign currency impacts,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Until the Company generates revenue at a level to support its cost structure, the Company expects to continue to incur substantial operating losses and net cash outflows from operating activities.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economic uncertainty in U.S. and international markets,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unaudited condensed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and with the instructions to Form 10-Q and Article 10 of Regulation S-X. Accordingly, they do not include all of the information and footnotes required by U.S. GAAP for complete financial statements. These unaudited condensed consolidated financial statements should be read in conjunction with the Company’s audited consolidated financial statements included in its Annual Report on Form 10-K for the year ended December 31, 2023, filed with the Securities and Exchange Commission (the “SEC”) on April 1, 2024. In the opinion of management, all adjustments (consisting only of normal recurring adjustments) considered necessary for fair presentation have been included. Operating results for the three months ended March 31, 2024 are not necessarily indicative of the results that may be expected for the year ending December 31, 2024. For further information, refer to the consolidated financial statements and footnotes thereto included in Item 8 of the Company’s most recent Annual Report on Form 10-K.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as of March 31, 2024 and through the date of this report filing. The accounting matters assessed included, but were not limited to, the allowance for expected credit losses and the carrying value of intangible and long-lived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reported in thousands within this report are computed based on the amounts in U.S.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the Company’s audited consolidated financial statements for fiscal year 2023. For further information, refer to the consolidated financial statements and footnotes thereto included in Item 8 of the Company’s most recent Annual Report on Form 10-K. There have been no material changes to these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No. 2020-06 (“ASU 2020-06”): Debt—Debt with Conversion and Other Options (Subtopic 470-20) and Derivatives and Hedging—Contracts in Entity’s Own Equity (Subtopic 815-40). ASU 2020-06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for the Company on January 1, 2024, with early adoption permitted. ASU No. 2020-06 can be adopted on either a fully retrospective or modified retrospective basis. On January 1, 2024, the adoption of ASU 2020-06 did not have a material impact on the Company’s consolidated financial statements or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No. 2023-06 ("ASU 2023-06"): Disclosure Improvements: Codification Amendments in Response to the SEC’s Disclosure Update and Simplification Initiative. This ASU was issued to clarify or improve disclosure and presentation requirements of a variety of topics, which will allow users to more easily compare entities subject to the SEC's existing disclosures with those entities that were not previously subject to the requirements, and align the requirements in the FASB accounting standard codification with the SEC's regulations. The ASU will become effective prospectively on the earlier of the date on which the SEC removes its disclosure requirements for the related disclosure or June 30, 2027. The Company is currently evaluating the provisions of the amendments and the impact on its future consolidated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("ASU 2023-07") Segment Reporting (Topic 280): Improvements to Reportable Segment Disclosures. The new standard requires the disclosure of the Company’s Chief Operating Decision Maker (CODM), expanded incremental line-item disclosures of significant segment expenses used by the CODM for decision-making, and the inclusion of previous annual only segment disclosure requirements on a quarterly basis. This ASU must be applied on a retrospective basis to all prior periods presented in the financial statements. This pronouncement is effective for fiscal years beginning after December 15, 2023, and interim periods within fiscal years beginning after December 15, 2024. The Company is currently assessing the impact of applying this guidance.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The guidance requires entities to disclose disaggregated information about their effective tax rate reconciliation as well as information on income taxes paid. The disclosure requirements will be applied on a prospective basis, with the option to apply it retrospectively. This pronouncement is effective for fiscal years beginning after December 15, 2024 and early adoption is permitted. The Company is currently assessing the impact of applying this guidance.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and the weighted average number of shares used in computing basic and diluted net loss per share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(9,789)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allocated to stockholders of the Company</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(9,794)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(9,657)</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used in computing net loss per share, basic</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used in computing net loss per share, diluted</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5,237</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net loss, all the outstanding shares of common stock equivalents were excluded from the calculation of diluted net loss per share attributable to common stockholders for the quarters ended March 31, 2024 and 2023 because including them would have been antidilutive:</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1,048,074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8,969,341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2,123,443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convertible notes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2,662,459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547,593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for common stock</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1,936,920</w:t>
            </w:r>
          </w:p>
        </w:tc>
        <w:tc>
          <w:tcPr>
            <w:tcW w:w="1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14,616,794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4,741,314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instruments of the Company consist of cash and cash equivalents, restricted cash, accounts receivable, long-term receivables, lines of credit, trade payables, government assistance loans, accrued expenses and other current liabilities, other long-term liabilities and long-term debt. In view of their nature, the fair value of these financial instruments approximates their carrying amounts.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in markets that are not active, or other inputs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Guaranteed investment certificates are classified within Level 2 as the Company uses alternative pricing sources and models utilizing market observable inputs for valuation.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convertible note (see Note 13) contains an embedded derivative feature that was required to be bifurcated and remeasured to fair value at each reporting period based on significant inputs not observable in the market, and is classified as a Level 3 measurement according to the fair value hierarchy described above. The changes in fair value recognized as a component of finance expenses. The fair value of derivative liability was determined using a probability-weighted expected return method (“PWERM”) using the “With and Without” approach (a form of an income approach). Under this approach various scenarios were considered to trigger the change of control, conversion, and redemption scenarios constituting the embedded derivative. The PWERM analysis contains inherent assumptions related to expected stock price volatility, conversion and redemption timing, and risk-free interest rate. Due to the use of significant unobservable inputs, the overall fair value measurement of the derivative liability is classified as Level 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Level 1, Level 2 and Level 3 financial assets and liabilities within the fair value hierarchy, and there were no transfers between Level 1, Level 2 and Level 3 for the periods presented: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Fair Value Measurements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19685</wp:posOffset>
            </wp:positionV>
            <wp:extent cx="39687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using Identical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3300" w:type="dxa"/>
            <w:vAlign w:val="bottom"/>
            <w:tcBorders>
              <w:top w:val="single" w:sz="8" w:color="CCEEFF"/>
            </w:tcBorders>
          </w:tcPr>
          <w:p>
            <w:pPr>
              <w:ind w:left="3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ind w:left="11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Derivative Liability</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3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9"/>
          </w:tcPr>
          <w:p>
            <w:pPr>
              <w:ind w:left="108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2023</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7"/>
        </w:trPr>
        <w:tc>
          <w:tcPr>
            <w:tcW w:w="5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2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using Identical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products may be sold under subscription agreements and our Venus Prime program, with unencumbered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 Venus Prime, launched in January 2024, is a structured in-house financing program which replaces the legacy subscription program for new customers in North America.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financing receivable is a contractual right to receive money, on demand or on fixed or determinable dates, that is recognized as an asset on the Company's unaudited condensed consolidated balance sheets. The Company's financing receivables, consisting of sales-type leases, totaled $28,677 and $32,393 as of March 31, 2024 and December 31, 2023, respectively, and are included in accounts receivable and long-term receivables on the unaudited condensed consolidated balance sheets. The Company evaluates the credit quality of an obligor at lease inception and monitors credit quality over the term of the underlying transactions.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performed an assessment of the allowance for expected credit losses as of March 31, 2024 and December 31, 2023. Based upon such assessment, the Company recorded an allowance for expected credit losses totaling $5,317 and $7,415 as of March 31, 2024, and December 31, 2023,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accounts receivables is presented below:</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47,884</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Unearned income</w:t>
            </w:r>
          </w:p>
        </w:tc>
        <w:tc>
          <w:tcPr>
            <w:tcW w:w="2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(2,139)</w:t>
            </w: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(7,415)</w:t>
            </w:r>
          </w:p>
        </w:tc>
      </w:tr>
      <w:tr>
        <w:trPr>
          <w:trHeight w:val="20"/>
        </w:trPr>
        <w:tc>
          <w:tcPr>
            <w:tcW w:w="580" w:type="dxa"/>
            <w:vAlign w:val="bottom"/>
          </w:tcPr>
          <w:p>
            <w:pPr>
              <w:spacing w:after="0" w:line="20" w:lineRule="exact"/>
              <w:rPr>
                <w:sz w:val="1"/>
                <w:szCs w:val="1"/>
                <w:color w:val="auto"/>
              </w:rPr>
            </w:pPr>
          </w:p>
        </w:tc>
        <w:tc>
          <w:tcPr>
            <w:tcW w:w="67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34,906</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38,330</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78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unearned interest income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Long-term trade receivables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unearned interest income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w:t>
            </w:r>
          </w:p>
        </w:tc>
      </w:tr>
      <w:tr>
        <w:trPr>
          <w:trHeight w:val="20"/>
        </w:trPr>
        <w:tc>
          <w:tcPr>
            <w:tcW w:w="580" w:type="dxa"/>
            <w:vAlign w:val="bottom"/>
          </w:tcPr>
          <w:p>
            <w:pPr>
              <w:spacing w:after="0" w:line="20" w:lineRule="exact"/>
              <w:rPr>
                <w:sz w:val="1"/>
                <w:szCs w:val="1"/>
                <w:color w:val="auto"/>
              </w:rPr>
            </w:pPr>
          </w:p>
        </w:tc>
        <w:tc>
          <w:tcPr>
            <w:tcW w:w="67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34,906</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38,330</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subscription agreements are reported as part of accounts receivable. The following are the contractual commitments, net of allowance for expected credit losses, to be received by the Company over the next 5 years: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Current financing receivables, net of allowance</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$5,311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financing receivables, net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88"/>
              </w:rPr>
              <w:t>38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of $6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38</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from our legacy subscription-based model do not bear interest and are typically not collateralized. Accounts receivable from Venus Prime sales bear interest commensurate with the customer's credit risk. The Company performs credit evaluations on new and existing customers' financial condition and maintains an allowance for expected credit losses. Uncollectible accounts are charged to expense when deemed uncollectible, and accounts receivable are presented net of an allowance for expected credit losses. Accounts receivable are deemed past due in accordance with the contractual terms of the agreement. Actual losses may differ from the Company’s estimates and could be material to its unaudited condensed consolidated financial position, results of operations and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allowance for expected credit losses consisted of the following activity:</w:t>
            </w:r>
          </w:p>
        </w:tc>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3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1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(7,554)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17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7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17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SELECT BALANCE SHEET AND STATEMENT OF OPERATIONS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w:t>
      </w:r>
    </w:p>
    <w:p>
      <w:pPr>
        <w:sectPr>
          <w:pgSz w:w="11900" w:h="16900"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Work-in-progress</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Finished goods</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Total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1,849</w:t>
            </w:r>
          </w:p>
        </w:tc>
        <w:tc>
          <w:tcPr>
            <w:tcW w:w="1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1,949</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17,238</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19,075</w:t>
            </w:r>
          </w:p>
        </w:tc>
      </w:tr>
      <w:tr>
        <w:trPr>
          <w:trHeight w:val="209"/>
        </w:trPr>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23,072</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-582295</wp:posOffset>
            </wp:positionV>
            <wp:extent cx="64122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-307975</wp:posOffset>
            </wp:positionV>
            <wp:extent cx="641223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98" w:lineRule="exact"/>
        <w:rPr>
          <w:sz w:val="20"/>
          <w:szCs w:val="20"/>
          <w:color w:val="auto"/>
        </w:rPr>
      </w:pPr>
    </w:p>
    <w:p>
      <w:pPr>
        <w:sectPr>
          <w:pgSz w:w="11900" w:h="16900" w:orient="portrait"/>
          <w:cols w:equalWidth="0" w:num="2">
            <w:col w:w="6660" w:space="720"/>
            <w:col w:w="3860"/>
          </w:cols>
          <w:pgMar w:left="320" w:top="121" w:right="339" w:bottom="0" w:gutter="0" w:footer="0" w:header="0"/>
          <w:type w:val="continuous"/>
        </w:sect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Additions to inventory are primarily comprised of newly produced units and applicators, refurbishment cost from demonstration units and used equipment which were reacquired during the period from upgraded sales. The Company expensed $5,119 and $6,832 in cost of goods sold in the three months ended March 31, 2024 and 2023, respectively. The balance of cost of goods sold represents the sale of applicators, parts, consumables and warranties.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March 31, 2024 and December 31, 2023, a provision for obsolescence of $2,999 and $2,733 was taken against inventory,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 tooling and molds</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 – 10</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 – 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up to 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Demo units</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(6,396)</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(6,281)</w:t>
            </w:r>
          </w:p>
        </w:tc>
      </w:tr>
      <w:tr>
        <w:trPr>
          <w:trHeight w:val="20"/>
        </w:trPr>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amounted to $112 and $151 for the three months ended March 31, 2024 and 2023,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8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Government remittances </w:t>
            </w:r>
            <w:r>
              <w:rPr>
                <w:rFonts w:ascii="Times New Roman" w:cs="Times New Roman" w:eastAsia="Times New Roman" w:hAnsi="Times New Roman"/>
                <w:sz w:val="24"/>
                <w:szCs w:val="24"/>
                <w:color w:val="auto"/>
                <w:vertAlign w:val="superscript"/>
              </w:rPr>
              <w:t>(1)</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receivable from subsidiaries sale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Sundry assets and miscellaneous</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Government remittances are receivables from the local tax authorities for refunds of sales taxes and income taxes.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accrual</w:t>
            </w: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Sales and consumption taxes</w:t>
            </w: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change in the Company’s warranty accrual:</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incurred during the period</w:t>
            </w: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(1,052)</w:t>
            </w:r>
          </w:p>
        </w:tc>
      </w:tr>
      <w:tr>
        <w:trPr>
          <w:trHeight w:val="20"/>
        </w:trPr>
        <w:tc>
          <w:tcPr>
            <w:tcW w:w="580" w:type="dxa"/>
            <w:vAlign w:val="bottom"/>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580" w:type="dxa"/>
            <w:vAlign w:val="bottom"/>
          </w:tcPr>
          <w:p>
            <w:pPr>
              <w:spacing w:after="0"/>
              <w:rPr>
                <w:sz w:val="11"/>
                <w:szCs w:val="11"/>
                <w:color w:val="auto"/>
              </w:rPr>
            </w:pPr>
          </w:p>
        </w:tc>
        <w:tc>
          <w:tcPr>
            <w:tcW w:w="63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240"/>
          </w:cols>
          <w:pgMar w:left="320" w:top="121" w:right="339" w:bottom="0" w:gutter="0" w:footer="0" w:header="0"/>
          <w:type w:val="continuous"/>
        </w:sectPr>
      </w:pPr>
    </w:p>
    <w:bookmarkStart w:id="13" w:name="page14"/>
    <w:bookmarkEnd w:id="13"/>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30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7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Company’s finance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24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3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long-term debt and amortization of fees</w:t>
            </w:r>
          </w:p>
        </w:tc>
        <w:tc>
          <w:tcPr>
            <w:tcW w:w="3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expenses</w:t>
            </w:r>
          </w:p>
        </w:tc>
        <w:tc>
          <w:tcPr>
            <w:tcW w:w="43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32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LEASES</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presents the various components of lease costs.</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12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relating to the cash flows arising from lease transactions. Cash payments related to short-term leases are not included in the measurement of operating lease liabilities, and as such, are excluded from the amounts below.</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weighted-average lease term and discount rate for operating leases.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At March 31,</w:t>
            </w:r>
          </w:p>
        </w:tc>
        <w:tc>
          <w:tcPr>
            <w:tcW w:w="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9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20" w:type="dxa"/>
            <w:vAlign w:val="bottom"/>
          </w:tcPr>
          <w:p>
            <w:pPr>
              <w:spacing w:after="0"/>
              <w:rPr>
                <w:sz w:val="18"/>
                <w:szCs w:val="18"/>
                <w:color w:val="auto"/>
              </w:rPr>
            </w:pP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2.83 yrs.</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3.73 yrs.</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98"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maturity analysis of expected undiscounted cash flows for operating leases on an annual basis for the next five years and thereafter.</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0"/>
        </w:trPr>
        <w:tc>
          <w:tcPr>
            <w:tcW w:w="2100" w:type="dxa"/>
            <w:vAlign w:val="bottom"/>
            <w:tcBorders>
              <w:top w:val="single" w:sz="8" w:color="auto"/>
            </w:tcBorders>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75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7"/>
                <w:szCs w:val="17"/>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9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Imputed Interest </w:t>
            </w:r>
            <w:r>
              <w:rPr>
                <w:rFonts w:ascii="Times New Roman" w:cs="Times New Roman" w:eastAsia="Times New Roman" w:hAnsi="Times New Roman"/>
                <w:sz w:val="25"/>
                <w:szCs w:val="25"/>
                <w:color w:val="auto"/>
                <w:vertAlign w:val="superscript"/>
              </w:rPr>
              <w:t>(1)</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r>
      <w:tr>
        <w:trPr>
          <w:trHeight w:val="210"/>
        </w:trPr>
        <w:tc>
          <w:tcPr>
            <w:tcW w:w="9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tcBorders>
              <w:top w:val="single" w:sz="8" w:color="CCEEFF"/>
            </w:tcBorders>
          </w:tcPr>
          <w:p>
            <w:pPr>
              <w:spacing w:after="0"/>
              <w:rPr>
                <w:sz w:val="18"/>
                <w:szCs w:val="18"/>
                <w:color w:val="auto"/>
              </w:rPr>
            </w:pPr>
          </w:p>
        </w:tc>
      </w:tr>
      <w:tr>
        <w:trPr>
          <w:trHeight w:val="20"/>
        </w:trPr>
        <w:tc>
          <w:tcPr>
            <w:tcW w:w="21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Imputed interest represents the difference between undiscounted cash flows and cash flows.</w:t>
      </w:r>
    </w:p>
    <w:p>
      <w:pPr>
        <w:spacing w:after="0" w:line="9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INTANGIBLE ASSETS</w:t>
      </w:r>
    </w:p>
    <w:p>
      <w:pPr>
        <w:sectPr>
          <w:pgSz w:w="11900" w:h="16838" w:orient="portrait"/>
          <w:cols w:equalWidth="0" w:num="1">
            <w:col w:w="11240"/>
          </w:cols>
          <w:pgMar w:left="320" w:top="121"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At March 31, 2024</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1,400</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(545)</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855</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(12,437)</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(1,841)</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(16,218)</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-162560</wp:posOffset>
            </wp:positionV>
            <wp:extent cx="641223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7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At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(522)</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878</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(11,735)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(1,767)</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-162560</wp:posOffset>
            </wp:positionV>
            <wp:extent cx="641223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20" w:space="720"/>
            <w:col w:w="5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amortization expense was $864 and $856, respectively.</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Estimated amortization expense for the next five fiscal years and all years thereafter are as follows:</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has non-cancellable purchase orders placed with its contract manufacturers in the amount of $10.0 million. In addition, as of March 31, 2024, the Company had $1.164 million of open purchase orders that can be cancelled with 270 days’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future service and purchase commitments with manufacturers as of March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Purchase and Service</w:t>
            </w:r>
          </w:p>
        </w:tc>
        <w:tc>
          <w:tcPr>
            <w:tcW w:w="560" w:type="dxa"/>
            <w:vAlign w:val="bottom"/>
          </w:tcPr>
          <w:p>
            <w:pPr>
              <w:spacing w:after="0"/>
              <w:rPr>
                <w:sz w:val="18"/>
                <w:szCs w:val="18"/>
                <w:color w:val="auto"/>
              </w:rPr>
            </w:pPr>
          </w:p>
        </w:tc>
      </w:tr>
      <w:tr>
        <w:trPr>
          <w:trHeight w:val="211"/>
        </w:trPr>
        <w:tc>
          <w:tcPr>
            <w:tcW w:w="56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56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44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9,983</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3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629"/>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3860" w:type="dxa"/>
            <w:vAlign w:val="bottom"/>
            <w:tcBorders>
              <w:top w:val="single" w:sz="8" w:color="CCEEFF"/>
            </w:tcBorders>
          </w:tcPr>
          <w:p>
            <w:pPr>
              <w:jc w:val="right"/>
              <w:ind w:right="215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MAIN STREET TERM LOAN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8, 2020,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13(3) of the Federal Reserve Act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2023, the Company, Venus Concept USA Inc. (“Venus USA”), Venus Concept Canada Corp. (“Venus Canada”) and Venus Concept Ltd. (“Venus Ltd.”) entered into the Loan Modification Agreement with CNB, which modified certain terms of the MSLP Loan Agreement. The primary modifications of the MSLP Loan Modification were (i) the principal payment in the amount of 15% of the outstanding principal balance of the loan originally due December 31, 2023 is deferred until maturity, (ii) the principal payment in the amount of 15% of the outstanding principal balance of the loan originally due December 31, 2024 is reduced to 7.5% with the remainder deferred until maturity, (iii) the interest rate of the loan is reset from one-month LIBOR plus three percent (3%) to one-month term Secured Overnight Financing Rate (SOFR) plus three and one-quarter percent (3.25%), and (iv) Venus USA has assigned certain of its subscription sales contracts to CNB.</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Loan Modification Agreement (the “Loan Modification Agreement”) with CNB and Madryn Health Partners, LP, and certain of its affiliates (collectively, “Madryn”). The Loan Modification Agreement amends the MSLP Loan Agreement to, among other things, satisfy the 2023 Minimum Deposit Requirements (as defined in the Loan Modification Agreement) and defer the testing of the Minimum Deposit Relationship obligations set forth in the MSLP Loan Agreement for the monthly periods ending on January 31, 2024, February 28, 2024 and March 31, 2024 until April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the Company was in compliance with all required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estimated interest, on the outstanding borrowings as of March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00" w:type="dxa"/>
            <w:vAlign w:val="bottom"/>
          </w:tcPr>
          <w:p>
            <w:pPr>
              <w:spacing w:after="0"/>
              <w:rPr>
                <w:sz w:val="20"/>
                <w:szCs w:val="20"/>
                <w:color w:val="auto"/>
              </w:rPr>
            </w:pPr>
          </w:p>
        </w:tc>
      </w:tr>
      <w:tr>
        <w:trPr>
          <w:trHeight w:val="210"/>
        </w:trPr>
        <w:tc>
          <w:tcPr>
            <w:tcW w:w="4540" w:type="dxa"/>
            <w:vAlign w:val="bottom"/>
            <w:shd w:val="clear" w:color="auto" w:fill="CCEEFF"/>
          </w:tcPr>
          <w:p>
            <w:pPr>
              <w:jc w:val="right"/>
              <w:ind w:right="4090"/>
              <w:spacing w:after="0"/>
              <w:rPr>
                <w:sz w:val="20"/>
                <w:szCs w:val="20"/>
                <w:color w:val="auto"/>
              </w:rPr>
            </w:pPr>
            <w:r>
              <w:rPr>
                <w:rFonts w:ascii="Times New Roman" w:cs="Times New Roman" w:eastAsia="Times New Roman" w:hAnsi="Times New Roman"/>
                <w:sz w:val="18"/>
                <w:szCs w:val="18"/>
                <w:color w:val="auto"/>
                <w:w w:val="94"/>
              </w:rPr>
              <w:t>2024</w:t>
            </w:r>
          </w:p>
        </w:tc>
        <w:tc>
          <w:tcPr>
            <w:tcW w:w="4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7,285</w:t>
            </w:r>
          </w:p>
        </w:tc>
      </w:tr>
      <w:tr>
        <w:trPr>
          <w:trHeight w:val="216"/>
        </w:trPr>
        <w:tc>
          <w:tcPr>
            <w:tcW w:w="4540" w:type="dxa"/>
            <w:vAlign w:val="bottom"/>
          </w:tcPr>
          <w:p>
            <w:pPr>
              <w:jc w:val="right"/>
              <w:ind w:right="4090"/>
              <w:spacing w:after="0"/>
              <w:rPr>
                <w:sz w:val="20"/>
                <w:szCs w:val="20"/>
                <w:color w:val="auto"/>
              </w:rPr>
            </w:pPr>
            <w:r>
              <w:rPr>
                <w:rFonts w:ascii="Times New Roman" w:cs="Times New Roman" w:eastAsia="Times New Roman" w:hAnsi="Times New Roman"/>
                <w:sz w:val="18"/>
                <w:szCs w:val="18"/>
                <w:color w:val="auto"/>
                <w:w w:val="94"/>
              </w:rPr>
              <w:t>2025</w:t>
            </w:r>
          </w:p>
        </w:tc>
        <w:tc>
          <w:tcPr>
            <w:tcW w:w="40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51,905</w:t>
            </w:r>
          </w:p>
        </w:tc>
        <w:tc>
          <w:tcPr>
            <w:tcW w:w="100" w:type="dxa"/>
            <w:vAlign w:val="bottom"/>
          </w:tcPr>
          <w:p>
            <w:pPr>
              <w:spacing w:after="0"/>
              <w:rPr>
                <w:sz w:val="18"/>
                <w:szCs w:val="18"/>
                <w:color w:val="auto"/>
              </w:rPr>
            </w:pPr>
          </w:p>
        </w:tc>
      </w:tr>
      <w:tr>
        <w:trPr>
          <w:trHeight w:val="229"/>
        </w:trPr>
        <w:tc>
          <w:tcPr>
            <w:tcW w:w="4540" w:type="dxa"/>
            <w:vAlign w:val="bottom"/>
            <w:shd w:val="clear" w:color="auto" w:fill="CCEEFF"/>
          </w:tcPr>
          <w:p>
            <w:pPr>
              <w:jc w:val="right"/>
              <w:ind w:right="3910"/>
              <w:spacing w:after="0"/>
              <w:rPr>
                <w:sz w:val="20"/>
                <w:szCs w:val="20"/>
                <w:color w:val="auto"/>
              </w:rPr>
            </w:pPr>
            <w:r>
              <w:rPr>
                <w:rFonts w:ascii="Times New Roman" w:cs="Times New Roman" w:eastAsia="Times New Roman" w:hAnsi="Times New Roman"/>
                <w:sz w:val="18"/>
                <w:szCs w:val="18"/>
                <w:color w:val="auto"/>
              </w:rPr>
              <w:t>Total</w:t>
            </w:r>
          </w:p>
        </w:tc>
        <w:tc>
          <w:tcPr>
            <w:tcW w:w="4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59,190</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540" w:right="1520" w:hanging="5525"/>
        <w:spacing w:after="0" w:line="282" w:lineRule="auto"/>
        <w:rPr>
          <w:sz w:val="20"/>
          <w:szCs w:val="20"/>
          <w:color w:val="auto"/>
        </w:rPr>
      </w:pPr>
      <w:r>
        <w:rPr>
          <w:rFonts w:ascii="Times New Roman" w:cs="Times New Roman" w:eastAsia="Times New Roman" w:hAnsi="Times New Roman"/>
          <w:sz w:val="18"/>
          <w:szCs w:val="18"/>
          <w:color w:val="auto"/>
        </w:rPr>
        <w:t>On April 23, 2024, the MSLP Loan was purchased by Madryn for an undisclosed amount from CNB with the consent of the Company.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MADRYN DEBT AND CONVERTIBLE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11, 2016, Venus Ltd. entered into a credit agreement as a guarantor with Madryn, as amended (the “Madryn Credit Agreement”), pursuant to which Madryn agreed to make certain loans to certain of Venus Concept’s subsidiaries.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9, 2020, contemporaneously with the MSLP Loan Agreement (Note 10), the Company and its subsidiaries, Venus USA, Venus Ltd., Venus Canada, and the Madryn Noteholders (as defined below), entered into a securities exchange agreement (the "Exchange Agreement") dated as of December 8, 2020, pursuant to which the Company (i) repaid on December 9, 2020, $42.5 million aggregate principal amount owed under the Madryn Credit Agreement, and (ii) issued, on December 9, 2020, to Madryn Health Partners (Cayman Master), LP and Madryn Health Partners, LP (the "Madryn Noteholders") secured subordinated convertible notes in the aggregate principal amount of $26.7 million (the "Notes"). The Madryn Credit Agreement was terminated effective December 9, 2020 upon the funding and closing of the MSLP Loan and the issuance of the Notes.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4, 2023, the Company entered into a securities exchange agreement (the "2023 Exchange Agreement") with the Madryn Noteholders. Pursuant to the 2023 Exchange Agreement, the Madryn Noteholders agreed to exchange (the "Exchange") $26.695 million in aggregate principal amount of outstanding secured convertible notes of the Company for (i) secured subordinated convertible notes in aggregate principal amount of $22.792 million (the “New Notes”) and (ii) 248,755 shares of newly-created convertible preferred stock of the Company, par value $0.0001 per share designated as "Series X Convertible Preferred Stock" (the "Series X Preferred Stock"). The Series X Preferred Stock is priced at $20.10 per share (the "Issuance Price"), being equal to the "Minimum Price" as set forth in Nasdaq Listing Rule 5635(d), multiplied by ten. The New Notes accrue interest at a rate of 3-month adjusted term Secured Overnight Financing Rate (SOFR) plus 8.50% per annum. In the case of an event of default under the New Notes, the then-applicable interest rate will increase by four percent (4.00%) per annum. Interest is payable in kind in arrears on the last business day of each calendar quarter of each year after the original issuance date, beginning on December 31, 2023. The New Notes mature on December 9, 2025, unless earlier redeemed or converted. As part of the extinguishment of principal, the Company recognized a $2.0 million loss.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approximately $24.4 million principal and interest of convertible notes outstanding that were issued pursuant to the Exchange Agreement (as defined below).</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New Notes and Notes, the Company recognized interest expense of $834 and $540 during the three months ended March 31, 2024 and 2023, respectively. The conversion feature, providing the Madryn Noteholders with a right to receive the Company’s shares upon conversion of the New Notes and Notes, was qualified for a scope exception in ASC 815-10-15 and did not require bifurcation. The New Notes and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New Notes and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March 31, 2024, and December 31, 2023, therefore a nominal value was allocated to the underlying embedded derivative liabilities as of March 31, 2024, and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interest, on the outstanding borrowings as of March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00" w:type="dxa"/>
            <w:vAlign w:val="bottom"/>
          </w:tcPr>
          <w:p>
            <w:pPr>
              <w:spacing w:after="0"/>
              <w:rPr>
                <w:sz w:val="20"/>
                <w:szCs w:val="20"/>
                <w:color w:val="auto"/>
              </w:rPr>
            </w:pP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30,923</w:t>
            </w:r>
          </w:p>
        </w:tc>
        <w:tc>
          <w:tcPr>
            <w:tcW w:w="100" w:type="dxa"/>
            <w:vAlign w:val="bottom"/>
          </w:tcPr>
          <w:p>
            <w:pPr>
              <w:spacing w:after="0"/>
              <w:rPr>
                <w:sz w:val="18"/>
                <w:szCs w:val="18"/>
                <w:color w:val="auto"/>
              </w:rPr>
            </w:pPr>
          </w:p>
        </w:tc>
      </w:tr>
      <w:tr>
        <w:trPr>
          <w:trHeight w:val="25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30,923</w:t>
            </w:r>
          </w:p>
        </w:tc>
      </w:tr>
      <w:tr>
        <w:trPr>
          <w:trHeight w:val="413"/>
        </w:trPr>
        <w:tc>
          <w:tcPr>
            <w:tcW w:w="7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 the three months ended March 31, 2024, the Company did not make any principal repayments.</w:t>
            </w:r>
          </w:p>
        </w:tc>
        <w:tc>
          <w:tcPr>
            <w:tcW w:w="72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Following Madryn’s purchase of the MSLP Loan, on April 23, 2024, the Company entered into a Loan and Security Agreement (the “Loan and Security Agreement”), by and among Venus USA, (as “Bridge Borrower”), Venus Canada, Venus Ltd. (Venus Ltd., together with the Company and Venus Canada, the “2024 Guarantors,” and together with the Bridge Borrower, the “2024 Loan Parties”) and, each lender party thereto (collectively, the “2024 Lenders”) and Madryn Health Partners, LP, as administrative agent (“Madryn HP”). For additional details related to the Loan and Security Agreement, see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 19. Subsequent Events </w:t>
      </w:r>
      <w:r>
        <w:rPr>
          <w:rFonts w:ascii="Times New Roman" w:cs="Times New Roman" w:eastAsia="Times New Roman" w:hAnsi="Times New Roman"/>
          <w:sz w:val="18"/>
          <w:szCs w:val="18"/>
          <w:color w:val="auto"/>
        </w:rPr>
        <w:t>and elsewhere in this quarterly report on Form 10-Q for the quarter ended March 31,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CREDIT FACILITY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29, 2018, Venus Ltd. entered into an Amended and Restated Loan Agreement as a guarantor with CNB, as amended on March 20, 2020, December 9, 2020 and August 26, 2021 (the “CNB Loan Agreement”), pursuant to which CNB agreed to make certain loans and other financial accommodations to certain of Venus Ltd.’s subsidiaries to be used to finance working capital requirements. In connection with the CNB Loan Agreement, Venus Ltd. also entered into a guaranty agreement with CNB dated as of August 29, 2018, as amended on March 20, 2020, December 9, 2020 and August 26, 2021 (the “CNB Guaranty”), pursuant to which Venus Ltd. agreed to guaranty the obligations of its subsidiaries under the CNB Loan Agreement. On March 20, 2020, the Company also entered into a Security Agreement with CNB (the “CNB Security Agreement”), as amended on December 9, 2020 and August 26, 2021, pursuant to which it agreed to grant CNB a security interest in substantially all of our assets to secure the obligations under the CNB Loan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26, 2021, the Company, Venus USA and Venus Canada entered into a Fourth Amended and Restated Loan Agreement (the “Amended CNB Loan Agreement”) with CNB, pursuant to which, among other things, (i) the maximum principal amount the revolving credit facility was reduced from $10,000 to $5,000 at the LIBOR 30-Day rate plus 3.25%, subject to a minimum LIBOR rate floor of 0.50%, and (ii) beginning December 10, 2021, the cash deposit requirement was reduced from $3,000 to $1,500, to be maintained with CNB at all times during the term of the Amended CNB Loan Agreement. The Amended CNB Loan Agreement is secured by substantially all of the Company’s assets and the assets of certain of its subsidiaries.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Amended CNB Loan Agreement, the Company, Venus USA and Venus Canada issued a promissory note dated August 26, 2021, in favor of CNB (the “CNB Note”) in the amount of $5,000 with a maturity date of July 24, 2023 and the obligations of the Company pursuant to certain of the Company’s outstanding promissory notes were reaffirmed as subordinated to the indebtedness of the Company owing to CNB pursuant to a Supplement to Subordination of Debt Agreements dated as of August 26, 2021 by and among Madryn Health Partners, LP, Madryn Health Partners (Cayman Master), LP, the Company and CNB. The CNB Note and Amended CNB Loan Agreement expired at its maturity date.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as of expiration of credit facility, the Company was in compliance with all required covenants. An event of default under this agreement would have caused a default under the MSLP Loan (see Note 10).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EW CONVERTIBLE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(the “Guarantors”) entered into a Note Purchase and Registration Rights Agreement (the “Note Purchase Agreement”) with EW Healthcare Partners, L.P. (“EW”) and EW Healthcare Partners-A, L.P. (“EW-A,” and together with EW, the “EW Investors”). Pursuant to the Note Purchase Agreement, the Company issued and sold to the EW Investors $2.0 million in aggregate principal amount of secured subordinated convertible notes (the “2024 Notes").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2024 Notes accrue interest at a rate equal to the 90-day adjusted term Secured Overnight Financing Rate (SOFR) plus 8.50% per annum; provided, however, that if there is an Event of Default (as defined below), the then-applicable interest rate will increase by 4.00% per annum. Interest is payable in kind in arrears on the last business day of each calendar quarter of each year after the original issuance date, beginning on March 31, 2024. The 2024 Notes mature on December 9, 2025, unless earlier redeemed or converted, at which time all outstanding principal and interest is payable in cash, except as described below. At any time prior to the maturity date, a holder may convert the 2024 Notes at their option into shares of common stock at the then-applicable conversion rate. The initial conversion rate is 799.3605 shares of common stock per one-thousand principal amount of 2024 Notes, which represents an initial conversion price of approximately $1.251 per share of common stock. The conversion rate is subject to customary anti-dilution adjustments. The 2024 Notes are redeemable, in whole and not in part, at the Company’s option at any time, at a redemption price equal to the principal amount of the 2024 Notes to be redeemed, plus accrued and unpaid interest, if any, to, the redemption date, plus a redemption premium. The Company’s redemption option is subject to satisfaction of the conditions set forth in the 2024 Notes, including that a registration statement covering the resale of the shares of common stock issuable upon conversion of the 2024 Notes is effective and available for use.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2024 Notes have customary provisions relating to the occurrence of “Events of Default,” as defined in the 2024 Notes. If an Event of Default occurs, then the EW Investors may, subject to the terms of the CNB Subordination Agreement (as defined below), (i) declare the outstanding principal amount of the 2024 Notes, all accrued and unpaid interest and all other amounts owing under the 2024 Notes and other transaction documents entered into in connection therewith to be immediately become due and payable, without any further action or notice by any person, and (ii) exercise all rights and remedies available to them under the 2024 Notes, the EW Security Agreement (as defined below) and any other document entered into in connection with the foregoing. The 2024 Notes constitute the Company’s secured, subordinated obligations and are (i) equal in right of payment with the Company’s existing and future senior unsecured indebtedness; (ii) senior in right of payment to the Company’s existing and future indebtedness that is expressly subordinated to the 2024 Notes; and (iii) subordinated to the Company’s existing secured indebtedness in a manner consistent with the Existing Subordination Agreements (as defined below).</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Guaranty and Security Agreement, dated January 18, 2024 (the “EW Security Agreement”) with EW, as collateral agent. Pursuant to the EW Security Agreement, the Guarantors jointly and severally guaranteed to the EW Investors the prompt payment of all outstanding amounts under the 2024 Notes when due. The Guarantors also granted to the EW Investors a security interest in substantially all of their assets to secure the obligations under the 2024 Notes.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EW Security Agreement, during the continuance of an Event of Default under the 2024 Notes, if the Company is unable to repay all outstanding amounts under the 2024 Notes, the EW Investors may, subject to the terms of the CNB Subordination Agreement (as defined below), foreclose on the collateral to collateralize such indebtedness. Any such foreclosure could significantly affect the Company’s ability to operate its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EW Security Agreement contains various covenants that limit the Company’s ability to engage in specified types of transactions. Subject to limited exceptions, these covenants include restrictions on the Company’s ability, to incur, create or permit to exist additional indebtedness, or liens, and to make certain changes to its ownership structure, in each case without the Investor’s consent.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Subordination of Debt Agreement (the “CNB Subordination Agreement”) with CNB and the EW Investors. The CNB Subordination Agreement provides that the 2024 Notes are subordinated to the Company’s existing secured indebtedness with CNB, in a manner consistent with the subordination of the Secured Subordinated Convertible Notes, dated October 4, 2023 (the “Madryn Notes”), issued to Madryn pursuant to those certain existing Subordination of Debt Agreements, dated as of December 8, 2020 entered into by the Company and the Guarantors, CNB, and Madryn (the “Existing Subordination Agreements”). The 2024 Notes and the Madryn Notes are secured by the same collateral, except that the 2024 Notes also receive a first priority perfected security interest and lien on the Company’s right to receive certain amounts from the Internal Revenue Service in respect of certain employee retention credits claimed by the Company (defined in the Notes as the “ERC Claim”).</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approximately $2.1 million principal and interest of the 2024 convertible notes outstanding that were issued pursuant to the Note Purchase Agreement (as defined below).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2024 Notes, the Company recognized interest expense of $57 during the three months ended March 31, 2024. The 2024 Notes contained a conversion option, redemption right upon an event of default, change of control scenario, and interest rate penalty upon an event of default which were evaluated under ASC 815, Derivatives and Hedging, and determined that these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fair value of the embedded derivative liability at issuance and as of March 31, 2024 were $0.9 million and $0.3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the Company was in compliance with all required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interest, on the outstanding borrowings as of March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00" w:type="dxa"/>
            <w:vAlign w:val="bottom"/>
          </w:tcPr>
          <w:p>
            <w:pPr>
              <w:spacing w:after="0"/>
              <w:rPr>
                <w:sz w:val="20"/>
                <w:szCs w:val="20"/>
                <w:color w:val="auto"/>
              </w:rPr>
            </w:pPr>
          </w:p>
        </w:tc>
      </w:tr>
      <w:tr>
        <w:trPr>
          <w:trHeight w:val="209"/>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18"/>
                <w:szCs w:val="18"/>
                <w:color w:val="auto"/>
              </w:rPr>
            </w:pPr>
          </w:p>
        </w:tc>
      </w:tr>
      <w:tr>
        <w:trPr>
          <w:trHeight w:val="249"/>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2,601</w:t>
            </w:r>
          </w:p>
        </w:tc>
      </w:tr>
      <w:tr>
        <w:trPr>
          <w:trHeight w:val="413"/>
        </w:trPr>
        <w:tc>
          <w:tcPr>
            <w:tcW w:w="7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 the three months ended March 31, 2024, the Company did not make any principal repayments.</w:t>
            </w:r>
          </w:p>
        </w:tc>
        <w:tc>
          <w:tcPr>
            <w:tcW w:w="72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sectPr>
          <w:pgSz w:w="11900" w:h="16850" w:orient="portrait"/>
          <w:cols w:equalWidth="0" w:num="1">
            <w:col w:w="11240"/>
          </w:cols>
          <w:pgMar w:left="320" w:top="121" w:right="339" w:bottom="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50" w:orient="portrait"/>
          <w:cols w:equalWidth="0" w:num="1">
            <w:col w:w="11240"/>
          </w:cols>
          <w:pgMar w:left="320" w:top="121" w:right="339" w:bottom="0" w:gutter="0" w:footer="0" w:header="0"/>
          <w:type w:val="continuous"/>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COMMON STOCK RESERVED FOR ISSUANCE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reserve and keep available out of its authorized but unissued shares of common stock a number of shares sufficient to affect the exercise of all classes of preferred stock, convertible promissory notes, options granted and available for grant under the incentive plans and warrants to purchase common stock.</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0"/>
                <w:szCs w:val="20"/>
                <w:color w:val="auto"/>
              </w:rPr>
            </w:pPr>
          </w:p>
        </w:tc>
        <w:tc>
          <w:tcPr>
            <w:tcW w:w="1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1,936,920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 and RSUs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1,048,074</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8,969,341</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8,889,221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conversion of future voting preferred share issuance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5,764,093</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5,844,213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future option grants and RSUs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254,241</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Lincoln Park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702,847</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711,180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Madryn Noteholders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EW Noteholders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0" w:type="dxa"/>
            <w:vAlign w:val="bottom"/>
          </w:tcPr>
          <w:p>
            <w:pPr>
              <w:spacing w:after="0"/>
              <w:rPr>
                <w:sz w:val="21"/>
                <w:szCs w:val="21"/>
                <w:color w:val="auto"/>
              </w:rPr>
            </w:pPr>
          </w:p>
        </w:tc>
        <w:tc>
          <w:tcPr>
            <w:tcW w:w="59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21,975,516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 (DEFICIT)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confers upon its holders the following rights:</w:t>
      </w:r>
    </w:p>
    <w:p>
      <w:pPr>
        <w:spacing w:after="0" w:line="225"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the Company’s excess assets upon liquidation pro rata to the par value of the shares held by them.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annual and special meeting of the Company’s shareholders held on May 10, 2023, the Company’s shareholders granted the Company’s Board of Directors discretionary authority to implement the Reverse Stock Split and to fix the specific consolidation ratio within a range of one-for-five (1-for-5) to one-for-fifteen (1-for-15). On May 11, 2023, the Company filed an amendment to the Company’s Certificate of Incorporation to implement the Reverse Stock Split based on a one-for-fifteen (1-for-15) consolidation ratio. The Company’s common shares began trading on the Nasdaq Capital Market on a reverse split-adjusted basis under the Company’s existing trade symbol “VERO” at the opening of the market on May 12,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Purchase Agreement with Lincoln Park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16, 2020, the Company entered into a purchase agreement (the "Equity Purchase Agreement") with Lincoln Park Capital Fund LLC ("Lincoln Park"), which provides that, upon the terms and subject to the conditions and limitations set forth therein, the Company may sell to Lincoln Park up to $31,000 worth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517,560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with Equity Purchase Agreement equals or exceeds $59.6325 per share (subject to adjustment) (which represents the minimum price, as defined under Nasdaq Stock Market LLC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commencement to expiry on July 1, 2022, the Company issued and sold to Lincoln Park 229,139 shares of its common stock at an average price of $40.50 per share, and 13,971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at inception and were amortized into consolidated statements of stockholders’ equity (deficit) proportionally based on proceeds received during the term of the Equity Purchase Agreement. In 2022, the Company issued 26,666 shares of its common stock and the proceeds from common stock issuances as of December 31, 2022 were $272, with no issuance costs. The proceeds in the amount of $272 were recorded in the condensed consolidated statements of cash flows as net cash proceeds from issuance of common stock. The Equity Purchase Agreement expired on July 1, 2022, and was replaced with the 2022 LPC Purchase Agreement discussed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LPC Purchase Agreement with Lincoln Park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12, 2022, the Company entered into a purchase agreement (the “2022 LPC Purchase Agreement”) with Lincoln Park, as the Equity Purchase Agreement expired on July 1, 2022. The 2022 LPC Purchase Agreement provides that, upon the terms and subject to the conditions and limitations set forth therein, the Company may sell to Lincoln Park up to $11,000 of shares (the “Purchase Shares”) of its common stock, par value $0.0001 per share. Concurrently with entering into the 2022 LPC Purchase Agreement, the Company also entered into a registration rights agreement (the “2022 LPC Registration Rights Agreement”) with Lincoln Park, pursuant to which it agreed to provide Lincoln Park with certain registration rights related to the shares</w:t>
      </w:r>
    </w:p>
    <w:p>
      <w:pPr>
        <w:sectPr>
          <w:pgSz w:w="11900" w:h="16919" w:orient="portrait"/>
          <w:cols w:equalWidth="0" w:num="1">
            <w:col w:w="11240"/>
          </w:cols>
          <w:pgMar w:left="320" w:top="121" w:right="339" w:bottom="0" w:gutter="0" w:footer="0" w:header="0"/>
        </w:sectPr>
      </w:pPr>
    </w:p>
    <w:bookmarkStart w:id="22" w:name="page23"/>
    <w:bookmarkEnd w:id="22"/>
    <w:p>
      <w:pPr>
        <w:jc w:val="both"/>
        <w:spacing w:after="0" w:line="251" w:lineRule="auto"/>
        <w:rPr>
          <w:sz w:val="20"/>
          <w:szCs w:val="20"/>
          <w:color w:val="auto"/>
        </w:rPr>
      </w:pPr>
      <w:r>
        <w:rPr>
          <w:rFonts w:ascii="Times New Roman" w:cs="Times New Roman" w:eastAsia="Times New Roman" w:hAnsi="Times New Roman"/>
          <w:sz w:val="18"/>
          <w:szCs w:val="18"/>
          <w:color w:val="auto"/>
        </w:rPr>
        <w:t>issued under the 2022 LPC Purchase Agreement. The aggregate number of shares that the Company can issue to Lincoln Park under the 2022 LPC Purchase Agreement may not exceed 858,224 shares of common stock, which is equal to 19.99% of the shares of common stock outstanding immediately prior to the execution of the 2022 LPC Purchase Agreement (the “2022 Exchange Cap”), unless (i) stockholder approval is obtained to issue shares of common stock in excess of the 2022 Exchange Cap, in which case the 2022 Exchange Cap will no longer apply, or (ii) the average price of all applicable sales of common stock to Lincoln Park under the 2022 LPC Purchase Agreement equals or exceeds the lower of (i) the Nasdaq official closing price immediately preceding the execution of the 2022 LPC Purchase Agreement or (ii) the arithmetic average of the five Nasdaq official closing prices for the common stock immediately preceding the execution of the 2022 LPC Purchase Agreement, plus an incremental amount to take into account the issuance of the commitment shares to Lincoln Park under the 2022 LPC Purchase Agreement, such that the transactions contemplated by the 2022 LPC Purchase Agreement are exempt from the 2022 Exchange Cap limitation under applicable Nasdaq rules. In all instances, the Company may not sell shares of its common stock to Lincoln Park under the 2022 LPC Purchase Agreement if it would result in Lincoln Park beneficially owning more than 9.99% of the outstanding shares of common stock. Upon execution of the 2022 LPC Purchase Agreement, the Company issued 45,701 shares of common stock to Lincoln Park as a commitment fee in connection with entering into the 2022 LPC Purchase Agreement at the total amount of $330. Through December 31, 2023 the Company issued an additional 776,452 shares of common stock to Lincoln Park at an average price of $3.966 per share for a total value of $3,080. During the three months ended March 31, 2024, the Company issued an additional 8,333 shares of common stock to Lincoln Park at an average price of $1.16 per share, for a total value of $10. Further information regarding the 2022 LPC Purchase Agreement is contained in the Company’s Form 8-K filed with the SEC on July 12, 2022.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2022 Private Placement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2022, we entered into a securities purchase agreement with certain investors (collectively, the "2022 Investors") pursuant to which the Company issued and sold to the 2022 Investors an aggregate of 116,668 shares of common stock, par value $0.0001 per share, and 3,185,000 shares of voting convertible preferred stock, par value $0.0001 per share (the "Voting Preferred Stock"), which are convertible into 2,123,443 shares of common stock upon receipt of a valid conversion notice from a 2022 Investor or at the option of the Company within 30 days following the occurrence of certain events (the "2022 Private Placement"). The 2022 Private Placement was completed on November 18, 2022. The gross proceeds from the securities sold in the 2022 Private Placement was $6,720. The costs incurred with respect to the 2022 Private Placement totaled $202 and were recorded as a reduction of the 2022 Private Placement proceeds in the consolidated statements of stockholders' equity (deficit). Further information regarding the 2022 Private Placement is contained in the Company’s Form 8-K filed with the SEC on November 18,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Preferred Stock issued in November 2022</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in November 2022, the Company issued and sold to certain 2022 Investors an aggregate of 3,185,000 shares of Voting Preferred Stock. The terms of the Voting Preferred Stock are governed by a Certificate of Designation filed by the Company with the Secretary of State of the State of Delaware on November 17, 2022. The following is a summary of the material terms of the Voting Preferred Stock:</w:t>
      </w:r>
    </w:p>
    <w:p>
      <w:pPr>
        <w:spacing w:after="0" w:line="174"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Voting Preferred Stock votes with the Common Stock on an as-converted basis.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Voting Preferred Stock carries a liquidation preference, senior to the Common Stock in an amount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greater of (a) $30.00 (being the issuance price) and (b) the amount that would be distributed in respect of such share of Voting Preferred Stock if it were converted into Common Stock and participated in such liquidating distribution with the other shares of Common Stock.</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Voting Preferred Stock will convert into shares of Common Stock on a one for 0.6667 basis (i) at the option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Investor upon delivery of a valid conversion notice to the Company or (ii) at the option of the Company within 30 days following the earlier to occur of (a) the date on which the volume-weighted average price of the Common Stock has been greater than or equal to $18.75 for 30 consecutive trading days and (b) the date on which the Company has reported two consecutive fiscal quarters of positive cash flow.</w:t>
      </w:r>
    </w:p>
    <w:p>
      <w:pPr>
        <w:spacing w:after="0" w:line="17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Voting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of the Company) on an as-converted basis, pari passu with the Common Stock.</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Voting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Voting Preferred Stock shall be perpetual unless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2023 Multi-Tranche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2023, we entered into a securities purchase agreement (the "2023 Multi-Tranche Private Placement Stock Purchase Agreement") with certain investors (collectively, the "2023 Investors") pursuant to which the Company may issue and sell to the 2023 Investors up to $9,000,000 in shares (the "2023 Multi-Tranche Private Placement") of newly-created senior convertible preferred stock, par value $0.0001 per share (the “Senior Preferred Stock”), in multiple tranches from time to time until December 31, 2025, subject to a minimum aggregate purchase amount of $0.5 million in each tranche. The initial sale in the 2023 Multi-Tranche Private Placement occurred on May 15, 2023, under which the Company sold the 2023 Investors 280,899 shares of Senior Preferred Stock for an aggregate purchase price of $2.0 million (the "Initial Placement"). The Company used the proceeds of the Initial Placement, after the payment of transaction expenses, for general working capital purposes. The following is a summary of the material terms of the Senior Preferred Stock:</w:t>
      </w:r>
    </w:p>
    <w:p>
      <w:pPr>
        <w:spacing w:after="0" w:line="187" w:lineRule="exact"/>
        <w:rPr>
          <w:sz w:val="20"/>
          <w:szCs w:val="20"/>
          <w:color w:val="auto"/>
        </w:rPr>
      </w:pPr>
    </w:p>
    <w:p>
      <w:pPr>
        <w:jc w:val="both"/>
        <w:ind w:left="980" w:hanging="324"/>
        <w:spacing w:after="0" w:line="25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Senior Preferred Stock has aggregate number of votes equal to the product of (a) the quotient of (i) the aggregate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paid under the Stock Purchase Agreement for all shares of Senior Preferred Stock issued and outstanding as of such time, divided by (ii) the highest purchase price paid by a holder for a share of Senior Preferred Stock prior to or as of such time, multiplied by (b) two. Such formula ensures that no share of senior preferred stock will ever have more than two votes per share, with such number of votes subject to reduction (but not increase) depending on the pricing of future sales of Senior Preferred Stock in the Private Placement. The Senior Preferred Stock votes with the Company’s common stock on all matters submitted to holders of common stock and does not vote as a separate class.</w:t>
      </w:r>
    </w:p>
    <w:p>
      <w:pPr>
        <w:spacing w:after="0" w:line="182"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Senior Preferred Stock carries a liquidation preference, senior to the Common Stock and Voting Preferred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amount equal to the product of the Purchase Price for such share, multiplied by 2.50.</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Senior Preferred Stock will convert into shares of Common Stock on a one for 2.6667 basis at the option of (a) the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or (b) the Company within 30 days following the date on which the 30-day volume-weighted average price of the common stock exceeds the product of (i) the Purchase Price for the shares of senior preferred stock to be converted, multiplied by (ii) 2.75.</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Senior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declared by the Board of the Company) on an as-converted basis,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Common Stock and Voting Preferred Stock.</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Senior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Senior Preferred Stock shall be perpetual unless converted.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an amendment to the 2023 Multi-Tranche Private Placement Stock Purchase Agreement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tranche in the 2023 Multi-Tranche Private Placement, under which the Company sold the 2023 Investors 500,000 shares of Senior Preferred Stock for an aggregate purchase price of $2.0 million (the “Second Placement”). The</w:t>
      </w:r>
    </w:p>
    <w:p>
      <w:pPr>
        <w:sectPr>
          <w:pgSz w:w="11900" w:h="16838" w:orient="portrait"/>
          <w:cols w:equalWidth="0" w:num="1">
            <w:col w:w="11240"/>
          </w:cols>
          <w:pgMar w:left="320" w:top="121" w:right="339" w:bottom="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Company used the proceeds of the Second Placement, after the payment of transaction expenses, for general working capital purposes.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tranche in the 2023 Multi-Tranche Private Placement, under which the Company sold the 2023 Investors 292,398 shares of Senior Preferred Stock for an aggregate purchase price of $1.0 million (the "Third Placement", and together with the First Placement and Second Placement, the "Placements"). The Company used the proceeds of the Third Placement, after the payment of transaction expenses, for general working capital purposes.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tranche in the 2023 Multi-Tranche Private Placement, under which the Company sold the 2023 Investors 502,513 shares of Senior Preferred Stock for an aggregate purchase price of $2.0 million (the “Fourth Placement”). The Company used the proceeds of the Fourth Placement, after the payment of transaction expenses, for general working capital purposes.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X Convertible Preferred Stock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4, 2023, the Company filed a Certificate of Designations with respect to the Series X Preferred Stock with the Secretary of State of the State of Delaware, thereby creating the Series X Preferred Stock. The Certificate of Designations authorizes the issuance of up to 400,000 shares of Series X Preferred Stock. The Series X Preferred Stock is convertible into shares of Common Stock on a one-for-ten basis, in whole or in part, at the option of the holder at any time upon delivery of a valid conversion notice of the Company; provided, however, that the Series X Preferred Stock is subject to limitations on convertibility to the extent necessary to comply with the rules and regulations of the Nasdaq. Each share of Series X Preferred Stock carries a liquidation preference, senior to the Common Stock, the Senior Preferred Stock and Voting Preferred Stock, in an amount equal to the Issuance Price, subject to appropriate adjustment in the event of any stock dividend, stock split, combination or similar recapitalization with respect to the Common Stock. From the date of issuance until December 31, 2026, each share of Series X Preferred Stock accrues a dividend at a rate of 12.5% per annum. Such dividend is payable on a quarterly basis in cash or additional shares of Series X Preferred Stock, at the Company’s election. In addition, each share of Series X Preferred Stock is entitled to participate in dividends and other non-liquidating distributions, if, as and when declared by the Board, on a pari passu basis with the Common Stock, Senior Preferred Stock and Junior Preferred Stock. The following is a summary of the material terms of the Senior Preferred Stock:</w:t>
      </w:r>
    </w:p>
    <w:p>
      <w:pPr>
        <w:spacing w:after="0" w:line="188" w:lineRule="exact"/>
        <w:rPr>
          <w:sz w:val="20"/>
          <w:szCs w:val="20"/>
          <w:color w:val="auto"/>
        </w:rPr>
      </w:pPr>
    </w:p>
    <w:p>
      <w:pPr>
        <w:jc w:val="both"/>
        <w:ind w:left="980" w:hanging="324"/>
        <w:spacing w:after="0" w:line="267"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the Series X Preferred Stock shall be entitled to vote on all matters on which holders of Common Stock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vote, and shall be entitled to a number of votes equal to the Converted Stock Equivalent which is 10 common shares per 1 Series X Preferred stock.</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Series X Preferred Stock carries a liquidation preference, senior to the Common Stock and Voting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amount equal to the Unpaid Liquidation Preference at that time.</w:t>
      </w:r>
    </w:p>
    <w:p>
      <w:pPr>
        <w:spacing w:after="0" w:line="158"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Series X Preferred Stock will convert into shares of Common Stock on a one for 10 basis at the option of the investors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Series X Preferred Stock accrues a dividend at a rate of 12.5% per annum, payable on a quarterly basis in cash 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Series X Preferred Stock, at the Company’s election. In addition, each share of Series X Preferred Stock is entitled to participate in dividends and other non-liquidating distributions, if, as and when declared by the Board, on a pari passu basis with the Common Stock, Senior Preferred Stock and Junior Preferred Stock.</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Senior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Senior Preferred Stock shall be perpetual unless converted, however dividends will stop accruing on December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22, 2024, the Company, entered into a securities purchase agreement (the “SPA”) with certain institutional investors (each, a “2024 Investor”), pursuant to which the Company agreed to issue and sell to the 2024 Investors (i) in a registered direct offering, an aggregate of 817,748 shares of the Company’s common stock, at a price of $1.465 per share and (ii) in a concurrent private placement, warrants to acquire up to an aggregate of 817,748 shares of Common Stock (the “2024 Investor Warrants”), at an initial exercise price of $1.34 per share (the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were offered at-the-market under Nasdaq rules and pursuant to the Company’s shelf registration statement on Form S-3 initially filed by the Company with the Securities and Exchange Commission (the “SEC”) under the Securities Act, on October 15, 2021 and declared effective on October 25, 2021.</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2024 Investor Warrants (and the shares of common stock issuable upon the exercise of the 2024 Investor Warrants) were not registered under the Securities Act and were offered pursuant to an exemption from the registration requirements provided under Section 4(a)(2) of the Securities Act. The 2024 Investor Warrants are exercisable upon issuance and will expire five years from the issuance date, and in certain circumstances may be exercised on a cashless basis. If the Company fails for any reason to deliver shares of common stock upon the valid exercise of the 2024 Investor Warrants within the prescribed period set forth in the 2024 Investor Warrants, the Company is required to pay the applicable holder liquidated damages in cash as set forth in the 2024 Investor Warrants.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is not entitled to exercise any portion of a 2024 Investor Warrant, if, after giving effect to such exercise, the aggregate number of shares of common stock beneficially owned by the holder (together with its affiliates and any other persons) whose beneficial ownership of Common Stock would or could be aggregated with the holder’s for purposes of Section 13(d) or Section 16 of the Exchange Act would exceed 4.99%, or at the election of a 2024 Investor 9.99%, of the common stock outstanding after giving effect to the exercise. Such 4.99% limitation may be increased at the holder’s election upon 61 days’ notice to the Company, provided that such percentage may not exceed 9.99%.</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27, 2024, the Company closed the Offering, raising gross proceeds of approximately $1.2 million before deducting placement agent fees and other offering expenses payable by the Company. The proceeds received in the Offering were allocated to each instrument on a relative fair value basis.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SPA, no later than March 8, 2024, the Company is required to file a registration statement on Form S-3 (or other appropriate form if the Company is not then S-3 eligible) registering the resale of the shares of common stock issued or issuable upon exercise of the 2024 Investor Warrants. The Company is required to use commercially reasonable efforts to cause such registration to become effective within 45 days of the closing date of the Offering (or within 75 days following the closing of the Offering in case of “full review” of the registration statement by the SEC), and to keep the registration statement effective at all times until no 2024 Investor owns any 2024 Investor Warrants or shares issuable upon exercise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SPA contains customary representations, warranties and covenants by the Company, among other customary provisions.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H.C. Wainwright &amp; Co., LLC (“HCW”) acted as the Company’s placement agent in connection with Offering. The Company paid HCW consideration consisting of (i) a cash fee equal to 7.0% of the aggregate gross proceeds in the Offering, (ii) a management fee equal to 1.0% of the aggregate gross proceeds in the Offering, (iii) reimbursement of certain expenses and (iv) warrants to acquire up to an aggregate of 57,242 shares of common stock (the “Placement Agent Warrants”). The Placement Agent Warrants are similar to the 2024 Investor Warrants, except that the initial exercise price of the Placement Agent Warrants is $1.8313 per share.</w:t>
      </w:r>
    </w:p>
    <w:p>
      <w:pPr>
        <w:sectPr>
          <w:pgSz w:w="11900" w:h="16838" w:orient="portrait"/>
          <w:cols w:equalWidth="0" w:num="1">
            <w:col w:w="11240"/>
          </w:cols>
          <w:pgMar w:left="320" w:top="121" w:right="339" w:bottom="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2010 Share Option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2010,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March 31, 2024, the number of shares of the Company’s common stock reserved for issuance and available for grant under the 2010 Share Option Plan was 10,061 (28,168 as of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Incentive Award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2019 Plan, 30,000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we completed our business combination with Venus Ltd. and the business of Venus Ltd. became the primary business of the Company (the “Merger”). As of March 31, 2024, there were 244,180 shares of common stock available under the 2019 Plan (71,412 as of December 31, 2023).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9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for its employees and non-employees in the accompanying unaudited condensed consolidated statements of operations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16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3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416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36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3700" w:type="dxa"/>
            <w:vAlign w:val="bottom"/>
            <w:tcBorders>
              <w:top w:val="single" w:sz="8" w:color="CCEEFF"/>
            </w:tcBorders>
          </w:tcPr>
          <w:p>
            <w:pPr>
              <w:spacing w:after="0"/>
              <w:rPr>
                <w:sz w:val="24"/>
                <w:szCs w:val="24"/>
                <w:color w:val="auto"/>
              </w:rPr>
            </w:pPr>
          </w:p>
        </w:tc>
        <w:tc>
          <w:tcPr>
            <w:tcW w:w="3080" w:type="dxa"/>
            <w:vAlign w:val="bottom"/>
            <w:tcBorders>
              <w:top w:val="single" w:sz="8" w:color="CCEEFF"/>
            </w:tcBorders>
          </w:tcPr>
          <w:p>
            <w:pPr>
              <w:jc w:val="right"/>
              <w:ind w:right="1550"/>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option is estimated at the date of grant using the Black-Scholes option pricing formula with the following assumptions:</w:t>
      </w:r>
    </w:p>
    <w:p>
      <w:pPr>
        <w:spacing w:after="0" w:line="2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6700" w:type="dxa"/>
            <w:vAlign w:val="bottom"/>
            <w:gridSpan w:val="2"/>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43.06%</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43.02%</w:t>
            </w:r>
          </w:p>
        </w:tc>
      </w:tr>
      <w:tr>
        <w:trPr>
          <w:trHeight w:val="234"/>
        </w:trPr>
        <w:tc>
          <w:tcPr>
            <w:tcW w:w="2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management’s best estimate for the options to be exercised by option holders.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—Since the Company does not have a trading history for its common stock, the expected volatility was derived from the historical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volatilities of comparable peer public companies within its industry that are considered to be comparable to the Company’s business over a period equivalent to the expected term of the stock-based awards.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in effect at the date of grant for zero-coupon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with maturities approximately equal to the stock-based awards’ 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—The expected dividend is zero as the Company has not paid nor does it anticipate paying any dividends on its common stock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Prior to the Merger, Venus Ltd. used the price per share in its latest sale of securities as an estimate of the fair value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After the closing of the Merger, the fair value of the Company’s common stock is used to estimate the fair value of the stock-based awards at grant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stock option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 Share, $</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January 1, 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exercised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March 31, 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1,048,074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5140" w:type="dxa"/>
            <w:vAlign w:val="bottom"/>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Exercisable – March 31, 2024</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448,819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33.24</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6.20</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to vest – after March 31, 2024</w:t>
            </w: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599,255</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7.05</w:t>
            </w:r>
          </w:p>
        </w:tc>
        <w:tc>
          <w:tcPr>
            <w:tcW w:w="13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8.51</w:t>
            </w:r>
          </w:p>
        </w:tc>
        <w:tc>
          <w:tcPr>
            <w:tcW w:w="3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413"/>
        </w:trPr>
        <w:tc>
          <w:tcPr>
            <w:tcW w:w="58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stock options outstanding and exercisable at March 31, 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23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23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80" w:type="dxa"/>
            <w:vAlign w:val="bottom"/>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term (years)</w:t>
            </w:r>
          </w:p>
        </w:tc>
        <w:tc>
          <w:tcPr>
            <w:tcW w:w="20" w:type="dxa"/>
            <w:vAlign w:val="bottom"/>
          </w:tcPr>
          <w:p>
            <w:pPr>
              <w:spacing w:after="0"/>
              <w:rPr>
                <w:sz w:val="20"/>
                <w:szCs w:val="20"/>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$0.7051 - $54.60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1,000,031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401,178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$63.90 - $119.25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45,372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$186.75 - $382.50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$405.00 - $438.75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$650.25 - $958.50</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727.38</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1,048,074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448,819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$nil and $nil for the three months ended March 31, 2024 and 2023,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$0.705 and $2.82 per share for the three months ended March 31, 2024 and 2023, respectively. The fair value of options vested during the three months ended March 31, 2024 and 2023 was $355 and $346,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generated a loss and recognized $37 of tax expense for the three months ended March 31, 2024, and $235 of tax expense for the three months ended March 31, 2023, respectively. A reconciliation of income tax expense is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32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9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(9,752)</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(9,388)</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Theoretical tax expense at the statutory rate (21% in 2024 and 2023)</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(1,971)</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 in jurisdictional tax rates</w:t>
            </w: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9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(9,789)</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(9,623)</w:t>
            </w: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is recognized based on the actual loss incurred during the three months ended March 31, 2024 and 2023,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AND GEOGRAPHIC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lines on measures of profit or loss, or asset-based metrics. Therefore, the information below is presented only for revenues by geography and type.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which is based on the product shipped to location, is summarized as follows: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8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38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20,531</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2024, long-lived assets in the amount of $7,810 were located in the United States and $1,001 were located in foreign locations. As of December 31, 2023, long-lived assets in the amount of $8,705 were located in the United States and $1,063 were located in foreign locations.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by type is a key indicator for providing management with an understanding of the Company’s financial performance, which is organized into four different categories:</w:t>
      </w:r>
    </w:p>
    <w:p>
      <w:pPr>
        <w:spacing w:after="0" w:line="16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 includes all system sales with typical lease terms of 36 months.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revenue – includes all systems sales with payment terms within 12 months.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 includes skincare, hair and other consumables payable upon receipt.</w:t>
      </w:r>
    </w:p>
    <w:p>
      <w:pPr>
        <w:spacing w:after="0" w:line="225" w:lineRule="exact"/>
        <w:rPr>
          <w:rFonts w:ascii="Times New Roman" w:cs="Times New Roman" w:eastAsia="Times New Roman" w:hAnsi="Times New Roman"/>
          <w:sz w:val="18"/>
          <w:szCs w:val="18"/>
          <w:color w:val="auto"/>
        </w:rPr>
      </w:pPr>
    </w:p>
    <w:p>
      <w:pPr>
        <w:ind w:right="3280" w:firstLine="8"/>
        <w:spacing w:after="0" w:line="498"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 includes NeoGraft technician services, ad agency services and extended warranty sales. The following table presents revenue by type:</w:t>
      </w:r>
    </w:p>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38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System revenue</w:t>
            </w:r>
          </w:p>
        </w:tc>
        <w:tc>
          <w:tcPr>
            <w:tcW w:w="2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8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38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20,531</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amounts were recorded at the exchange amount, which is the amount established and agreed to by the related parties. The following are transactions between the Company and parties related through employment.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2018, the Company entered into a Distribution Agreement with Technicalbiomed Co., Ltd. (“TBC”), pursuant to which TBC will distribute the Company’s products in Thailand. A former senior officer of the Company is a 30.0% shareholder of TBC. For the three months ended March 31, 2024 and 2023, TBC purchased products in the amount of $nil and $208, respectively, under this distribution agreement. These sales are included in products and services revenue. TBC ceased being a related party as of June 2023.</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2020, the Company made several strategic decisions to divest itself of underperforming direct sales offices and sold its share in several subsidiaries, including its 55.0% shareholding in Venus Concept Singapore Pte. Ltd. ("Venus Singapore"). On January 1, 2021, the Company entered into a distribution agreement with Aexel Biomed Pte Ltd. (“Aexel Biomed”), formerly Venus Singapore, pursuant to which Aexel Biomed will continue to distribute the Company’s products in Singapore. A former senior officer of the Company is a 45.0% shareholder of Aexel Biomed. During the three months ended March 31, 2024 and 2023, Aexel Biomed purchased products in the amount of $nil and $60, respectively, under the distribution agreement. These sales are included in products and services revenue. Aexel Biomed ceased being a related party as of June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bid-price non-compliance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11, 2024, the Company received a notice (the “Bid Price Notice”) from the Listing Qualifications Department (the “Staff”) of the Nasdaq Stock Market (“Nasdaq”) stating that for 32 consecutive business days the Company’s common stock did not maintain a minimum closing bid price of $1.00 per share (“Minimum Bid Price Requirement”) as required for continued listing under Listing Rule 5550(a)(2).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Bid Price Notice has no immediate effect on the listing of the common stock. In accordance with Nasdaq Listing Rule 5810(c)(3)(A), the Company has 180 calendar days, or until October 8, 2024, to regain compliance with the Minimum Bid Price Requirement. To regain compliance, the closing bid price of the common stock must be at least $1.00 per share for a minimum of ten consecutive business days before October 8, 2024, at which time the Staff will provide written notification to the Company that it complies with the Minimum Bid Requirement, unless the Staff exercises its discretion to extend this ten-day period pursuant to Nasdaq Listing Rule 5810(c)(3)(H).</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common stock does not achieve compliance by October 8, 2024, the Company may be eligible for an additional 180-day period to regain compliance, provided that it meets the continued listing requirement for market value of publicly held shares and all other initial listing standards of the Nasdaq Capital Market, with the exception of the Minimum Bid Price Requirement, and provides written notice to Nasdaq of its intention to cure the deficiency during the second compliance period, for example, by effecting a reverse stock split, if necessary.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the common stock and may, if appropriate, consider implementing available options to regain compliance with the Minimum Bid Price Requirement under the Nasdaq Listing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Madryn Loan and Security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23, 2024, the Company entered into the Loan and Security Agreement, by and among the Bridge Borrower, the 2024 Guarantors, the 2024 Lenders and Madryn HP, as administrative agent. Pursuant to the Loan and Security Agreement, the 2024 Lenders have agreed to provide the Bridge Borrower with Bridge Financing in the form of a term loan in the original principal amount of $2,237,906.85 and one or more delayed draw term loans of up to an additional principal amount of $2,762,093.15. The Bridge Financing matures on the Maturity Date. Pursuant to the Loan and Security Agreement, each of the 2024 Guarantors, jointly and severally, absolutely and unconditionally guarantees, as primary obligor and not merely as surety, that the Obligations (as defined in the Loan and Security Agreement) will be performed and paid in full in cash when due and payable, whether at the stated or accelerated maturity thereof or otherwise, this guarantee being a guarantee of payment and not of collectability and being absolute and in no way conditional or contingent.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Bridge Financing will bear interest at a rate per annum equal to 12%. On the Maturity Date, the 2024 Loan Parties are obligated to make a payment equal to all unpaid principal and accrued interest.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and Security Agreement also provides that all present and future indebtedness and the obligations of the Bridge Borrower to Madryn HP shall be secured by a priority security interest in all real and personal property collateral of the 2024 Loan Parties.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 and Security Agreement contains customary representations, warranties and affirmative and negative covenants. In addition, the Loan and Security Agreement contains customary events of default that entitle Madryn HP to cause the Bridge Borrower’s indebtedness under the Loan and Security Agreement to become immediately due and payable, and to exercise remedies against the 2024 Loan Parties and the collateral securing the term loan. Under the Loan and Security Agreement, an event of default will occur if, among other things, any 2024 Loan Party fails to make payments under the Loan and Security Agreement, any 2024 Loan Party breaches any of the covenants under the Loan and Security Agreement, a Change of Control (as defined in the Loan and Security Agreement) occurs, any 2024 Loan Party, or its assets, become subject to certain legal proceedings, such as bankruptcy proceedings. Upon the occurrence and for the duration of an event of default, a default interest rate equal to 15.0% per annum will apply to all obligations owed under the Loan and Security Agreement. Further information regarding the Loan and Security Agreement is contained in the Company's Form 8-K filed with the SEC on April 24,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United States Private Securities Litigation Reform Act of 1995 that reflect our plans, estimates and beliefs and involve numerous risks and uncertainties, including but not limited to those described in in Part I, Item IA “Risk Factors” of our Annual Report on Form 10-K. Any statements contained in this Quarterly Report on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factors which we currently believe could have a material adverse effect on our business operations and financial performance and condition include, but are not limited to, the following risks and uncertainties:</w:t>
      </w:r>
    </w:p>
    <w:p>
      <w:pPr>
        <w:spacing w:after="0" w:line="162" w:lineRule="exact"/>
        <w:rPr>
          <w:sz w:val="20"/>
          <w:szCs w:val="20"/>
          <w:color w:val="auto"/>
        </w:rPr>
      </w:pPr>
    </w:p>
    <w:p>
      <w:pPr>
        <w:ind w:firstLine="8"/>
        <w:spacing w:after="0" w:line="28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the subscription-based model and our Venus Prime financing program, which exposes us to the credit risk of our customers over the life of each subscription and/or Venus Prime agreement;</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failure to make payments under their subscription or Venus Prime agreements;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secure third party financing due to tightened credit markets and higher interest rates;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obtain, maintain and enforce our intellectual property rights;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governmental regulation and oversight in the countries in which we operate and our ability to comply with the applicable requirements;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systems may cause or contribute to adverse medical events that could harm our reputation,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operations are located in Israel and therefore our business, financial condition and results of operations may be adversely affected by political, economic and military conditions there;</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come into, and remain in, compliance with the listing requirements of the Nasdaq Capital Market;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price;</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one major contract manufacturer in Israel exposes us to supply disruptions should that facility be subject to a strike, shutdown, fire flood or other natural disaster;</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expertise and retention of management;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and/or obtain credit on favorable terms;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currency fluctuations and currency exchange rates;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disruptions;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and uncertainties, including but not limited to the Russia-Ukraine and Israel-Hamas conflicts;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proceeds and other details with respect to future sales of senior preferred stock, if any, in the 2023 Multi-Tranche Private Placement.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are urged to consider these factors carefully in evaluating the forward-looking statements and are cautioned not to place undue reliance on these statements. The forward-looking statements are based on information available to us as of the filing date of this Quarterly Report on Form 10-Q. Unless required by law, we do not intend to publicly update or revise any forward-looking statements to reflect new information or future events or otherwise. You should, however, review the factors and risks we describe in the reports we will file from time to time with the SEC after the date of this Quarterly Report on Form 10-Q.</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contains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our financial condition and results of operations and should be read together with the unaudited condensed consolidated financial statements and the notes thereto included elsewhere in this Quarterly Report on Form 10-Q for the quarter ended </w:t>
      </w:r>
      <w:r>
        <w:rPr>
          <w:rFonts w:ascii="Times New Roman" w:cs="Times New Roman" w:eastAsia="Times New Roman" w:hAnsi="Times New Roman"/>
          <w:sz w:val="18"/>
          <w:szCs w:val="18"/>
          <w:color w:val="auto"/>
        </w:rPr>
        <w:t>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our audited consolidated financial statements and notes thereto in our Annual Report on Form 10-K for the year ended </w:t>
      </w:r>
      <w:r>
        <w:rPr>
          <w:rFonts w:ascii="Times New Roman" w:cs="Times New Roman" w:eastAsia="Times New Roman" w:hAnsi="Times New Roman"/>
          <w:sz w:val="18"/>
          <w:szCs w:val="18"/>
          <w:color w:val="auto"/>
        </w:rPr>
        <w:t>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other filings we have made with the SEC.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medicine, and general practitioners and aesthetic medical spas. In the three months ended March 31, 2024 and 2023, respectively, a substantial majority of our systems delivered in North America were in non-traditional markets. As we grow our ARTAS hair restoration business and expand robotics offerings through the AI.ME™ platform we expect our penetration into the core practices of dermatology and plastic surgery to increase.</w:t>
      </w:r>
    </w:p>
    <w:p>
      <w:pPr>
        <w:sectPr>
          <w:pgSz w:w="11900" w:h="16838" w:orient="portrait"/>
          <w:cols w:equalWidth="0" w:num="1">
            <w:col w:w="11240"/>
          </w:cols>
          <w:pgMar w:left="320" w:top="121" w:right="339"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0" w:gutter="0" w:footer="0" w:header="0"/>
          <w:type w:val="continuous"/>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We have had recurring net operating losses and negative cash flows from operations. As of March 31, 2024 and December 31, 2023, we had an accumulated deficit of $271.7 million and $261.9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March 31, 2024 and December 31, 2023, we had cash and cash equivalents of $5.1 million and $5.4 million, respectively.</w:t>
      </w:r>
    </w:p>
    <w:p>
      <w:pPr>
        <w:spacing w:after="0" w:line="187"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and declines in consumer confidence, and declines in economic growth. All these factors point to uncertainty about economic stability, and the severity and duration of these conditions on our business cannot be predicted.</w:t>
      </w:r>
    </w:p>
    <w:p>
      <w:pPr>
        <w:spacing w:after="0" w:line="17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On January 24, 2024, the Company announced that the Board has authorized the review of the strategic alternatives with a goal of enhancing stockholder value. There is no set timetable for the strategic review process and there can be no assurance that such review will result in any transaction or other alternative or the terms and conditions of any transaction or other alternative.</w:t>
      </w:r>
    </w:p>
    <w:p>
      <w:pPr>
        <w:spacing w:after="0" w:line="17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Venus Viva®, Venus Viva® MD, Venus Legacy®, Venus Concept®, Venus Versa®, Venus Fiore®, Venus Freedom™, Venus Bliss™, Venus Bliss Max™, NeoGraft®, Venus Glow™, ARTAS®, ARTAS iX®, and AI.ME™,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provided that, upon the terms and subject to the conditions and limitations set forth therein, we may sell to Lincoln Park up to $31.0 million of shares of our common stock pursuant to our shelf registration statement. The purchase price of shares of common stock related to a future sale was based on the then prevailing market prices of such shares at the time of sales as described in the Equity Purchase Agreement. Concurrently with entering into the Equity Purchase Agreement, we also entered into the Registration Rights Agreement. During the year ended December 31, 2022, we sold to Lincoln Park 0.03 million shares of our common stock under the Equity Purchase Agreement, at which point this agreement expired. The net cash proceeds from shares issuance as of December 31, 2022 were $0.3 million. The Equity Purchase Agreement expired on July 1, 2022.</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0.05 million shares of our common stock as a commitment fee in connection with entering into the 2022 LPC Purchase Agreement, with the total value of $0.3 million. Subsequent to execution of the 2022 LPC Purchase Agreement the Company issued 0.43 million shares of common stock to Lincoln Park at an average price of $4.54 per share, for a total value of $1.97 million through December 31, 2022. During the twelve months ended December 31, 2023, the Company issued an additional 0.34 million shares of common stock to Lincoln Park at an average price of $3.23 per share, for a total value of $1.1 million. During the three months ended March 31, 2024, the Company issued an additional 8,333 shares of common stock to Lincoln Park at an average price of $1.16 per share, for a total value of $10. For additional information regarding the 2022 LPC Purchase Agreement, see Note 15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in the notes to our unaudited condensed consolidated financial statements included elsewhere in this report.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November 18, 2022, we entered into a securities purchase agreement pursuant to which we issued and sold to the 2022 Investors an aggregate of 116,668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(deficit). The accounting effects of the 2022 Private Placement transaction are discussed in Note 15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the Company entered into the 2023 Multi-Tranche Private Placement Stock Purchase Agreement with the 2023 Investors pursuant to which the Company may issue and sell to the 2023 Investors up to $9.0 million in shares of the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Placement under the 2023 Multi-Tranche Private Placement, under which the Company sold the 2023 Investors 502,513 shares of Senior Preferred Stock for an aggregate purchase price of $2.0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expects to use the proceeds of the Placements, after the payment of transaction expenses, for general working capital purposes. The accounting effects of the 2023 Multi-Tranche Private Placement transaction are discussed in Note 15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X Convertible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4, 2023, the Company entered into the 2023 Exchange Agreement with the Madryn Noteholders, pursuant to which the Madryn Noteholders agreed to exchange $26,695,110.58 in aggregate principal amount outstanding under the Notes for (i) $22,791,748.32 in aggregate principal amount of new secured convertible notes of the Company and (ii) 248,755 shares of newly-created convertible preferred stock of the Company, par value $0.0001 per share designated as "Series X Convertible Preferred Stock." The transaction is discussed in Note 15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22, 2024, the Company, entered into the SPA with the 2024 Investors, pursuant to which the Company agreed to issue and sell to the 2024 Investors (i) in a registered direct offering, an aggregate of 817,748 shares of the Company’s common stock, at a price of $1.465 per share and (ii) the "2024 Investor Warrants," at an initial exercise price of $1.34 per share. The transaction is discussed in Note 15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Madryn Loan and Security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April 23, 2024, the Company entered into the Loan and Security Agreement, by and among the Bridge Borrower, the 2024 Guarantors, the 2024 Lenders and Madryn HP, as administrative agent. Pursuant to the Loan and Security Agreement, the 2024 Lenders have agreed to provide the Bridge Borrower with Bridge Financing in the form of a term loan in the original principal amount of $2,237,906.85 and one or more delayed draw term loans of up to an additional principal amount of $2,762,093.15. The transaction is discussed in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revenue from the sale of products and services. Product revenue includes revenue from the following:</w:t>
      </w:r>
    </w:p>
    <w:p>
      <w:pPr>
        <w:spacing w:after="0" w:line="225" w:lineRule="exact"/>
        <w:rPr>
          <w:sz w:val="20"/>
          <w:szCs w:val="20"/>
          <w:color w:val="auto"/>
        </w:rPr>
      </w:pPr>
    </w:p>
    <w:p>
      <w:pPr>
        <w:ind w:left="660" w:right="20" w:hanging="315"/>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including traditional sales, Venus Prime and legacy subscription-based sales, of systems, inclusive of the main console and applicators/handpieces (referred to as system revenue);</w:t>
      </w:r>
    </w:p>
    <w:p>
      <w:pPr>
        <w:spacing w:after="0" w:line="161"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supplies and kits;</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and disposables;</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and</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applicators/handpieces.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 includes revenue derived from our extended warranty service contracts provided to our existing customers.</w:t>
      </w:r>
    </w:p>
    <w:p>
      <w:pPr>
        <w:sectPr>
          <w:pgSz w:w="11900" w:h="16838" w:orient="portrait"/>
          <w:cols w:equalWidth="0" w:num="1">
            <w:col w:w="11240"/>
          </w:cols>
          <w:pgMar w:left="320" w:top="121" w:right="339" w:bottom="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Systems are sold through traditional sales contracts directly, through our legacy subscription model, Venus Prime financing program; distributors; and our Venus Prime Program.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generate revenue from traditional system sales and from sales under our legacy subscription model, Venus Prime financing program, which is available to customers in North America and select international markets. Approximately 25% and 34% of our aesthetic revenues were derived from our legacy subscription model, Venus Prime financing program, in the three months ended March 31, 2024 and 2023, respectively. We currently do not offer the ARTAS iX system under the subscription model. For additional details related to our subscription model, see </w:t>
      </w:r>
      <w:r>
        <w:rPr>
          <w:rFonts w:ascii="Times New Roman" w:cs="Times New Roman" w:eastAsia="Times New Roman" w:hAnsi="Times New Roman"/>
          <w:sz w:val="18"/>
          <w:szCs w:val="18"/>
          <w:i w:val="1"/>
          <w:iCs w:val="1"/>
          <w:color w:val="auto"/>
        </w:rPr>
        <w:t>Part 1, Item 1. Business</w:t>
      </w:r>
      <w:r>
        <w:rPr>
          <w:rFonts w:ascii="Times New Roman" w:cs="Times New Roman" w:eastAsia="Times New Roman" w:hAnsi="Times New Roman"/>
          <w:sz w:val="18"/>
          <w:szCs w:val="18"/>
          <w:color w:val="auto"/>
        </w:rPr>
        <w:t xml:space="preserve"> as filed in our Form 10-K for the year ended December 31,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Company launched its new Venus Prime program which is a structured in-house financing program replacing its legacy subscription program for customers in North America. Under our Venus Prime program, select customers can qualify for competitive financing rates and continue to benefit from the payment flexibility afforded by our previous subscription financing program when purchasing our aesthetic medical devices, as well as a seamless technology upgrade program made available to our customers in years 2 and 3 of ownership.</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Like our legacy subscription model, Venus Prime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Venus Prime requires a monthly activation code, which we provide to the customer upon receipt of the monthly payment. These recurring monthly payments provide our customers with enhanced financial transparency and predictability. This structure can provide greater flexibility than traditional equipment leases secured through financing companies. We work closely with our customers to provide business recommendations that improve the quality-of-service outcomes, build patient traffic and improve financial returns for the customer’s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developed and received regulatory clearance for twelve novel aesthetic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In addition, our technology pipeline is heavily focused on improving and enhancing our current technologies, products, and services and the development of robotically assisted minimally invasive solutions for aesthetic procedures that are primarily treated by surgical intervention, including the AI.ME platform for which we received FDA 510(k) clearance for fractional skin resurfacing in December 2022.</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United States, we have obtained 510(k) clearance from the FDA for our Venus Viva, Venus Viva MD, Venus Legacy, Venus Versa, Venus Versa Pro, Venus Velocity, Venus Bliss, Venus Bliss Max, Venus Epileve, Venus Fiore, ARTAS, ARTAS iX and AI.ME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operated directly in 12 international markets through our 10 direct offices in the United States, Canada, Japan, Mexico, Spain, Germany, Australia, China, Hong Kong, and Israel.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for the three months ended March 31, 2024, and 2023 were $17.5 million and $20.5 million, respectively. We had a net loss attributable to the Company of $9.8 million and $9.7 million in the three months ended March 31, 2024, and 2023, respectively. We had an Adjusted EBITDA loss of $5.1 million and $5.7 million for the three months ended March 31, 2024, and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a non-GAAP measure defined as net income (loss) before foreign exchange (gain) loss,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reconciliation of net loss to Adjusted EBITDA for the periods presented:</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73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tc>
        <w:tc>
          <w:tcPr>
            <w:tcW w:w="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(9,789)</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CEWS (1)</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 (2)</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(5,118)</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55"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the Canada Revenue Agency (“CRA”) initiated an audit of the Canada Emergency Wage Subsidy Claim (“CEWS”) that the Company filed between 2020-2021. The CRA has currently assessed a denial of CEWS claims made by the Company in 2020 and requesting repayment of $418. The Company disputes the CRA assessment and intends to challenge this matter through the Tax Court or Judicial Review.</w:t>
      </w:r>
    </w:p>
    <w:p>
      <w:pPr>
        <w:spacing w:after="0" w:line="2" w:lineRule="exact"/>
        <w:rPr>
          <w:rFonts w:ascii="Times New Roman" w:cs="Times New Roman" w:eastAsia="Times New Roman" w:hAnsi="Times New Roman"/>
          <w:sz w:val="18"/>
          <w:szCs w:val="18"/>
          <w:color w:val="auto"/>
        </w:rPr>
      </w:pPr>
    </w:p>
    <w:p>
      <w:pPr>
        <w:ind w:left="980"/>
        <w:spacing w:after="0" w:line="260" w:lineRule="auto"/>
        <w:tabs>
          <w:tab w:leader="none" w:pos="12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and March 31, 2023 the other adjustments are represented by restructuring activities designed to improve the Company's operations and cost structure.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Impacting Our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are impacted by several factors, but we consider the following to be particularly significant to our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systems delivered. </w:t>
      </w:r>
      <w:r>
        <w:rPr>
          <w:rFonts w:ascii="Times New Roman" w:cs="Times New Roman" w:eastAsia="Times New Roman" w:hAnsi="Times New Roman"/>
          <w:sz w:val="18"/>
          <w:szCs w:val="18"/>
          <w:color w:val="auto"/>
        </w:rPr>
        <w:t>The majority of our revenue is generated from the delivery of systems, both under traditional sales contracts and subscription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The following table sets forth the number of systems we have delivered in the geographic regions indicated:</w:t>
      </w:r>
    </w:p>
    <w:p>
      <w:pPr>
        <w:spacing w:after="0" w:line="155"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6800" w:type="dxa"/>
            <w:vAlign w:val="bottom"/>
            <w:gridSpan w:val="2"/>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systems delivered</w:t>
            </w:r>
          </w:p>
        </w:tc>
        <w:tc>
          <w:tcPr>
            <w:tcW w:w="10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between traditional sales, subscription model sales, distributor sales, and Venus Prime sales. </w:t>
      </w:r>
      <w:r>
        <w:rPr>
          <w:rFonts w:ascii="Times New Roman" w:cs="Times New Roman" w:eastAsia="Times New Roman" w:hAnsi="Times New Roman"/>
          <w:sz w:val="18"/>
          <w:szCs w:val="18"/>
          <w:color w:val="auto"/>
        </w:rPr>
        <w:t>We deliver systems through (1) traditional 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sales contracts to customers, (2) our legacy subscription model, (3) system sales through distribution agreements, and (4) our Venus Prime program. Unit deliveries under direct system sales contracts, subscription agreements, and Venus Prime sales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subscription agreements, and Venus Prime sales have similar gross margins, cash collections on subscription agreements and Venus Prime generally occur over a three-year period, with approximately 40% to 45% collected in the first year and the balance collected evenly over the remaining two years of the subscription agreement.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Sales, Marketing and Operations. </w:t>
      </w:r>
      <w:r>
        <w:rPr>
          <w:rFonts w:ascii="Times New Roman" w:cs="Times New Roman" w:eastAsia="Times New Roman" w:hAnsi="Times New Roman"/>
          <w:sz w:val="18"/>
          <w:szCs w:val="18"/>
          <w:color w:val="auto"/>
        </w:rPr>
        <w:t>In recent years, we made a strategic decision to penetrate the global market by investing in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continue to evaluate our profitability and growth prospects in these countries and have taken and will continue to take steps to exit countries which we do not believe will produce sustainable results. Since June 2020 we have ceased direct sales operations in 14 countries across Europe, Asia Pacific, Latin America and Africa and have increased our investment and focus in the United States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2024, and 2023, respectively, we di</w:t>
      </w:r>
      <w:r>
        <w:rPr>
          <w:rFonts w:ascii="Times New Roman" w:cs="Times New Roman" w:eastAsia="Times New Roman" w:hAnsi="Times New Roman"/>
          <w:sz w:val="18"/>
          <w:szCs w:val="18"/>
          <w:color w:val="333333"/>
        </w:rPr>
        <w:t>d not open an</w:t>
      </w:r>
      <w:r>
        <w:rPr>
          <w:rFonts w:ascii="Times New Roman" w:cs="Times New Roman" w:eastAsia="Times New Roman" w:hAnsi="Times New Roman"/>
          <w:sz w:val="18"/>
          <w:szCs w:val="18"/>
          <w:color w:val="auto"/>
        </w:rPr>
        <w:t>y direct sales offices.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Bad Debt Expense. </w:t>
      </w:r>
      <w:r>
        <w:rPr>
          <w:rFonts w:ascii="Times New Roman" w:cs="Times New Roman" w:eastAsia="Times New Roman" w:hAnsi="Times New Roman"/>
          <w:sz w:val="18"/>
          <w:szCs w:val="18"/>
          <w:color w:val="auto"/>
        </w:rPr>
        <w:t>We maintain an allowance for expected credit losses for estimated losses that may primarily arise from subscription customers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unable to make the remaining payments required under their subscription agreements. We continue to focus our selling efforts on cash sales and subscription customers with a stronger credit profile, thereby reducing our exposure to credit losses. We incurred a bad debt expense of $0.2 million during the three months ended March 31, 2024. This compares favorably to $0.6 million for the three months ended March 31, 2023. As of March 31, 2024, our allowance for expected credit losses was $5.3 million which represents 13.0% of the gross outstanding accounts receivable as of this date. As of March 31, 2023, our allowance for expected credit losses was $14.2 million which represented 21% of the gross outstanding accounts receivable as of this date.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declines in consumer confidence, and a challenging growth environment. All these factors point to uncertainty about economic stability, and the severity and duration of these conditions on our business cannot be predicted. The bulk of the first quarter revenue decline was due to an acceleration of our international strategy to wind down underperforming countries as we transition to third party distributors and our shift to prioritize cash deals over subscription deals in order to improve cash generation. We continue to focus on quality of revenue and despite the revenue decline, our cash used in operations was $2.6 million lower than the same period in 2023. We remain focused on adapting to the challenges presented by the current macro-economic environment.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Israel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Hamas conflict</w:t>
      </w:r>
      <w:r>
        <w:rPr>
          <w:rFonts w:ascii="Times New Roman" w:cs="Times New Roman" w:eastAsia="Times New Roman" w:hAnsi="Times New Roman"/>
          <w:sz w:val="18"/>
          <w:szCs w:val="18"/>
          <w:color w:val="auto"/>
        </w:rPr>
        <w:t>. Following the October 7, 2023 attack by Hamas on Israeli citizens and the declaration of war that followed, we have taken steps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mitigate exposure to risks related to our Israeli operations, the risks of which are further described in Item 1A. Risk Factors in this Quarterly Report on Form 10-Q. These efforts include but are not limited to, working with our contract manufacturers to accelerate inventory build, contingency planning with respect to alternative manufacturing sites within their network, and relocating larger amounts of finished goods to warehouses in North America to protect our ability to distribute products. Alongside the Company's continuity plan, we maintain daily contact with our employees in Israel and have instituted a wellness program designed to provide access to healthcare practitioners/consultants for short term counselling for colleagues and family members in order to provide assistance during the conflict.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w:t>
      </w:r>
      <w:r>
        <w:rPr>
          <w:rFonts w:ascii="Times New Roman" w:cs="Times New Roman" w:eastAsia="Times New Roman" w:hAnsi="Times New Roman"/>
          <w:sz w:val="18"/>
          <w:szCs w:val="18"/>
          <w:color w:val="auto"/>
        </w:rPr>
        <w:t>We did not experience significant supply issues during the three months ended March 31, 2024 as we continue to actively work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suppliers and third-party manufacturers to mitigate supply issues and build inventory of key component parts. We anticipate some supply challenges in 2024, due to geopolitical disruption in the middle east impacting shipping lanes, deliveries of materials and component parts, impacting production lead times that may impact our ability to manufacture the number of systems required to meet customer demand. In addition, since the second quarter of 2021 we have experienced significant inflationary pressures throughout our supply chain, which we expect to continue throughout 2024. We expect to mitigate such pressures, where possible, through price increases and margin management.</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economic conditions. </w:t>
      </w:r>
      <w:r>
        <w:rPr>
          <w:rFonts w:ascii="Times New Roman" w:cs="Times New Roman" w:eastAsia="Times New Roman" w:hAnsi="Times New Roman"/>
          <w:sz w:val="18"/>
          <w:szCs w:val="18"/>
          <w:color w:val="auto"/>
        </w:rPr>
        <w:t>General global economic downturns and macroeconomic trends, including heightened inflation, capital markets volatility,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and currency rate fluctuations, and economic slowdowns, have resulted and may continue to result in unfavorable conditions that negatively affect demand for our products and exacerbate some of the other risks that affect our business, financial condition and results of operations. Both domestic and international markets experienced significant inflationary pressures in fiscal year 2023. While inflation rates in the U.S., as well as in other countries in which we operate, are showing signs of moderation, they are expected to continue at elevated levels for the near-term, impacting our cost of sales as well as selling, general and administrative expenses. In addition, the Federal Reserve in the U.S. and other central banks in various countries have yet to decrease interest rates in response to concerns about inflation. Higher interest and inflation rates have resulted in recessionary pressures in many parts of the world and have had and may continue to have the effect of further increasing economic uncertainty and heightening these risks.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markets. </w:t>
      </w:r>
      <w:r>
        <w:rPr>
          <w:rFonts w:ascii="Times New Roman" w:cs="Times New Roman" w:eastAsia="Times New Roman" w:hAnsi="Times New Roman"/>
          <w:sz w:val="18"/>
          <w:szCs w:val="18"/>
          <w:color w:val="auto"/>
        </w:rPr>
        <w:t>We are a global business, having established a commercial presence in more than 60 countries during our history. While the continued post-pandemic recovery remains challenging due to the coexistence of high inflation and high interest rates, we continue to evaluate our direct operations, particularly those outside of North America.</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collections. </w:t>
      </w:r>
      <w:r>
        <w:rPr>
          <w:rFonts w:ascii="Times New Roman" w:cs="Times New Roman" w:eastAsia="Times New Roman" w:hAnsi="Times New Roman"/>
          <w:sz w:val="18"/>
          <w:szCs w:val="18"/>
          <w:color w:val="auto"/>
        </w:rPr>
        <w:t>We remain fully focused on our revised credit screening practices and thereby reducing bad debt expenses. As of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2024, our allowance for expected credit losses stands at $5.3 million, which represents 13% of the gross outstanding accounts receivable as of that date. This represents a decrease of $2.1 million or 28% from our December 31, 2023 allowance for expected credit losses balance of $7.4 million.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fluctuations. </w:t>
      </w:r>
      <w:r>
        <w:rPr>
          <w:rFonts w:ascii="Times New Roman" w:cs="Times New Roman" w:eastAsia="Times New Roman" w:hAnsi="Times New Roman"/>
          <w:sz w:val="18"/>
          <w:szCs w:val="18"/>
          <w:color w:val="auto"/>
        </w:rPr>
        <w:t>We are primarily exposed to foreign exchange risk with respect to revenues generated outside of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denominated in New Israeli Shekels, Euro, Canadian dollar, British pound, Australian dollar, Chinese renminbi, Hong Kong dollar, Japanese yen, Argentina peso, Colombian peso, and Mexican peso. We manage our foreign currency exposures on a consolidated basis, which allows us to net exposures and take advantage of any natural offsets. We do not hedge our entire foreign exchange exposure and are still subject to earnings and stockholders' equity volatility relating to foreign exchange risk. Financial market and currency volatility may limit our ability to cost-effectively hedge these exposures.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(1) sales of systems through our subscription model, traditional system sales to customers and distributors, (2) other product revenues from the sale of ARTAS kits, Viva tips, other consumables, marketing supplies, and (3) service revenue from our extended warranty service contracts provided to existing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System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and 2023, approximately 25% and 34%, respectively, of our total system revenues were derived from our subscription model. The relative decrease in subscription revenues in the first three months of 2024 is in line with our strategy to prioritize cash deals over subscription deals in order to improve cash generation and preserve liquidity. Our subscription model is designed to provide a low barrier to ownership of our systems and includes an up-front fee followed by monthly payments, typically over a 36-month period. The up-front fee serves as a down payment. For accounting purposes, our subscription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approximately 71% and 62%, respectively, of our total system revenues were derived from traditional sales. The increased focus on traditional sales is in line with our strategy to prioritize cash deals over subscription deals in order to improve cash generation and preserve liquidity.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generally demand higher discounts in connection with traditional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grant rights of return or early termination rights to our customers under either our traditional sales or subscription models. These traditional sales are generally made through our sales team in the countries in which the team operates.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and 2023, approximately 13% and 9%, respectively, of our total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and are accounted for using the sell-in method.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Procedure Based Revenue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kits for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Product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generate revenue from our customer base by selling Viva tips, Glide (a cooling/conductive gel which is required for use with many of our systems), marketing supplies and kits, various consumables and disposables, replacement applicators and handpieces, and ARTAS system training.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ancillary revenue from our existing customers by selling additional services including extended warranty service contracts.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sell our products and services using direct sales representatives in North America and in select international markets. Our sales costs primarily consist of salaries, commissions, benefits, incentive compensation and stock-based compensation. Costs also include expenses for travel and other promotional and sales-related activities as well as clinical training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sales and marketing expenses to continue to increase, but at a rate slightly below our rate of revenue growth.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and administrative costs primarily consist of expenses associated with our executive, accounting and finance, information technology, legal, regulatory affairs, quality assurance and human resource departments, direct office rent/facilities costs, and intellectual property portfolio management. These expenses consist of personnel-related expenses (primarily salaries, benefits, incentive compensation and stock-based compensation), audit fees, legal fees, consultants, travel, insurance, and expected credit losses. During the normal course of operations, we may incur expected credit losses on accounts receivable balances that are deemed to be uncollectible.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costs primarily consist of personnel-related costs (primarily salaries, benefits, incentive compensation, and stock-based compensation), material costs, amortization of intangible assets,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expect our research and development expenses to increase in absolute dollars as we continue to invest in research, clinical studies, and development activities, but to decline as a percentage of revenue as our revenue increases over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Finance expenses consist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8.69% for the MSLP Loan, 13.98% for the Madryn Notes, and 13.9% for the 2024 Notes as of March 31, 2024 and 8.71% for the MSLP Loan and 14.03% for the Notes as of December 31, 2023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exchange (gain) loss changes reflect foreign exchange gains or losses related to the change in value of assets and liabilities denominated in currencies other than the U.S. dollar.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 Income tax expense is recognized based on the actual taxable income or loss incurred during the three months ended March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Non-Controlling Interests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 (deficit).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results of operations in U.S. dollars and as a percentage of revenues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tc>
        <w:tc>
          <w:tcPr>
            <w:tcW w:w="2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2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6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2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(7,760)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(9,752)</w:t>
            </w: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(9,388)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(9,789)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stockholders of the Company</w:t>
            </w: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(9,794)</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(9,657)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a % of revenue:</w:t>
            </w: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w:t>
            </w: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(55.8)</w:t>
            </w:r>
          </w:p>
        </w:tc>
        <w:tc>
          <w:tcPr>
            <w:tcW w:w="3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2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tables set forth our revenue by region and by product type for the periods indicated:</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(dollars in</w:t>
            </w: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region:</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20,531</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(dollars in</w:t>
            </w: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product:</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Subscription—Systems</w:t>
            </w:r>
          </w:p>
        </w:tc>
        <w:tc>
          <w:tcPr>
            <w:tcW w:w="1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Products—Other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20,531</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Products-Other include ARTAS procedure kits, Viva tips, Glide and other consumables.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Subscription—Systems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(2,230)</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Products—Other</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(3,052)</w:t>
            </w:r>
          </w:p>
        </w:tc>
        <w:tc>
          <w:tcPr>
            <w:tcW w:w="3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revenue decreased by $3.1 million, or 14.9%, to $17.5 million for the three months ended March 31, 2024 from $20.5 million for the three months ended March 31, 2023. The decrease in revenue is primarily attributed to an acceleration in exiting unprofitable direct markets, and an initiative to reduce our reliance on system sales sold under subscription agreements, and the effects of tighter third party lending practices which negatively impacted capital equipment sales. These initiatives are designed to improve cash generation and reduce our exposure to defaults and increased bad debt expense given the increasingly challenging economic environment caused by the coexistence of high inflation and high interest rates. Our international business was also affected by general macroeconomic headwinds that impacted customer access to capital. Despite the reduction in systems sales sold under subscription agreements, our cash used in operations in the first quarter of 2024 was 51% less than the first quarter of 2023.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sold an aggregate of 314 systems in the three months ended March 31, 2024 compared to 323 systems in the three months ended March 31, 2023. The percentage of systems revenue derived from our subscription model was approximately 25% and 34% during the three months ended March 31, 2024 and 2023, respectively. The relative decrease in subscription revenues is in line with our strategy to prioritize cash deals over subscription deals in order to improve cash generation and preserve liquidity. Specific to the U.S. market, systems revenue derived from our subscription model was approximately 25% and 21% during the three months ended March 31, 2024 and 2023,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product revenue decreased by $0.4 million, or 13.2%, to $2.6 million in the three months ended March 31, 2024 compared to $2.9 million in the three months ended March 31, 2023. This reduction is in line with the overall revenue decline in the quarter.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revenue increased by $0.1 million, or 12.9%, to $0.9 million in the three months ended March 31, 2024, compared to $0.8 million in the three months ended March 31, 2023. The increase was driven by higher warranty sales through various chain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Goods Sold and 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goods sold decreased by $1.0 million, or 14.6%, to $5.8 million in the three months ended March 31, 2024, compared to $6.8 million in the three months ended March 31, 2023. Gross profit decreased by $2.1 million, or 15%, to $11.6 million in the three months ended March 31, 2024, compared to $13.7 million in the three months ended March 31, 2023. The decrease in gross profit is primarily due to a decrease in revenue in our international markets driven by the accelerated exit from unprofitable direct markets as discussed above. Gross margin was 66.6% of revenue in the three months ended March 31, 2024, compared to 66.7% of revenue in the three months ended March 31,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Selling and marketing</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(658)</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(2,447)</w:t>
            </w: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and marketing expenses decreased by $0.7 million or 8.2% in the three months ended March 31, 2024 compared to the three months ended March 31, 2023. This decrease is largely due to lower revenues and reduced activities as we exited unprofitable direct markets. As a percentage of total revenues, our selling and marketing expenses increased by 3.1%, from 39.1% in the three months ended March 31, 2023 to 42.2% in the three months ended March 31, 2024. As the business environment improves, we expect sales and marketing expenses to increase in absolute terms, but at a rate slightly below our rate of revenue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$0.9 million or 8.4% in the three months ended March 31, 2024 compared to the three months ended March 31, 2023, primarily due to reduced bad debt expense and savings from exiting certain unprofitable direct markets, partially offset by inflationary pressures associated with salaries and other cost elements. As a percentage of total revenues, our general and administrative expenses increased by 4.1%, from 54.5% in the three months ended March 31, 2023, to 58.6% in the three months ended March 31, 2024, primarily due to the decrease in year over year total revenues.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$0.9 million or 32.3% in the three months ended March 31, 2024 compared to the three months ended March 31, 2023. We experienced significant cost savings through the consolidation of activities between our Israel and United States sites, partially offset by a reinvestment in research and development efforts directed at scaling our robotic technology across other aesthetic platforms. As a percentage of total revenues, our research and development expenses decreased by 2.6%, from 12.8% in the three months ended March 31, 2023, to 10.2% in the three months ended March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$0.3 million of foreign exchange loss in the three months ended March 31, 2024 and foreign exchange gain of $0.4 million in the three months ended March 31, 2023. It decreased by $0.7 million in the three months ended March 31, 2024 compared to the three months ended March 31, 2023. Changes in foreign exchange are driven mainly by the effect of foreign exchange on accounts receivable balances denominated in currencies other than the U.S. dollar. We do not currently hedge against foreign currency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Finance expenses increased by $0.2 million or 13.3%, from $1.5 million in the three months ended March 31, 2023, compared to $1.7 million in the three months ended March 31, 2024, mostly due to an increase in LIBOR rates under our CNB Loan Agreement.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an income tax expense of $0.04 million in the three months ended March 31, 2024 compared to a $0.2 million income tax expense in the three months ended March 31, 2023. The tax provision is driven by profitable sales and the actual effective tax rates where the sale took place or losses were incurred. In 2024, we had changes in timing of deductible expenses, tax accrual reversals and recognized tax loses in specific judications, which resulted in $0.04 million of income tax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$5.1 million and $5.4 million of cash and cash equivalents as of March 31, 2024, and December 31, 2023, respectively. We have funded our operations with cash generated from operating activities, through the sale of equity securities and through debt financing. We had total debt obligations of approximately $76.7 million as of March 31, 2024, including the MSLP Loan of $51.9 million, and convertible notes of $26.5 million, compared to total debt obligations of approximately $74.9 million as of December 31,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Working capital is primarily impacted by the ratio of legacy subscription and Venus Prime sales to traditional cash sales. Our recent shift to prioritize traditional cash sales over subscription sales is designed to improve liquidity and reduce working capital requirements over time. Our expanding product portfolio also requires higher inventory levels to meet demand and to accommodate the increased number of technology platforms offered. We had a split of subscription/Venus Prime sales revenue to traditional sales revenue at a ratio of approximately 29:71 in the three months ended March 31, 2024, compared to 34:66 in the three months ended March 31, 2023. We expect a slight increase in the ratio of traditional sales to subscription/Venus Prime sales in 2024 and beyond. We expect inventory to remain relatively flat in the short term but increase at a lower rate than the rate of revenue growth over the longer term.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 but do not expect to incur such costs over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Secured Subordinated Convertible Notes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Contemporaneously with the MSLP Loan Agreement, on December 9, 2020, we issued $26.7 million aggregate principal amount of the Notes to the Madryn Noteholders pursuant to the terms of the Exchange Agreement. The Notes accrued interest at a rate of 8.0% per annum from the date of original issuance of the Notes to the third anniversary date of the original issuance and thereafter interest accrued at a rate of 6.0% per annum. In connection with the Exchange Agreement, we also entered into (i) the Madryn Loan and Security Agreement, pursuant to which we agreed to grant Madryn a security interest, in substantially all of our assets, to secure the obligations under the Notes and (ii) the CNB Subordination Agreement. The Notes were convertible at any time into shares of our common stock at an initial conversion price of $48.75 per share, subject to adjustment. For additional information regarding the Notes, Exchange Agreement, Madryn Loan and Security Agreement and CNB Subordination Agreement, see Note 11 “</w:t>
      </w:r>
      <w:r>
        <w:rPr>
          <w:rFonts w:ascii="Times New Roman" w:cs="Times New Roman" w:eastAsia="Times New Roman" w:hAnsi="Times New Roman"/>
          <w:sz w:val="18"/>
          <w:szCs w:val="18"/>
          <w:i w:val="1"/>
          <w:iCs w:val="1"/>
          <w:color w:val="auto"/>
        </w:rPr>
        <w:t>Madryn Long-Term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to our unaudited condensed consolidated financial statements included elsewhere in this report. On October 4, 2023,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the 2023 Exchange Agreement with the Madryn Noteholders, pursuant to which the Madryn Noteholders agreed to exchange $26,695,110.58 in aggregate principal amount outstanding under the Notes for (i) $22,791,748.32 in the New Notes, and (ii) 248,755 shares of Series X Convertible Preferred Stock. The New Notes accrued interest, payable in kind on a quarterly basis, at an annual rate of 90-day Adjusted SOFR + 8.5% and are convertible at any time into shares of our common stock at an initial conversion price of $24 per share, subject to adjustment.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 Street Priority Lending Program Term Loan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On October 4, 2023, the Company, Venus USA, Venus Canada, and Venus Ltd. entered into the MSLP Loan Modification, which modified certain terms of the MSLP Loan Agreement. For additional information regarding this loan, see Note 10 “</w:t>
      </w:r>
      <w:r>
        <w:rPr>
          <w:rFonts w:ascii="Times New Roman" w:cs="Times New Roman" w:eastAsia="Times New Roman" w:hAnsi="Times New Roman"/>
          <w:sz w:val="18"/>
          <w:szCs w:val="18"/>
          <w:i w:val="1"/>
          <w:iCs w:val="1"/>
          <w:color w:val="auto"/>
        </w:rPr>
        <w:t>Main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 Loan</w:t>
      </w:r>
      <w:r>
        <w:rPr>
          <w:rFonts w:ascii="Times New Roman" w:cs="Times New Roman" w:eastAsia="Times New Roman" w:hAnsi="Times New Roman"/>
          <w:sz w:val="18"/>
          <w:szCs w:val="18"/>
          <w:color w:val="auto"/>
        </w:rPr>
        <w:t>” to our unaudited condensed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CNB Loan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had a revolving credit facility with CNB pursuant to which CNB agreed to provide a revolving credit facility to us and certain of our subsidiaries to be used to finance working capital requirements. There was $nil outstanding balance as of March 31, 2024 and December 31, 2023. On February 22, 2023, CNB notified the Company that it would be temporarily restricting advances under the Fourth Amended and Restated CNB Loan Agreement pursuant to its rights under Section 2 of the agreement. This revolving credit facility expired on July 24, 2023 and has not been renewed. See Note 12 </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xml:space="preserve"> to our unaudited condensed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EW Convertible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entered into the Note Purchase Agreement with the EW Investors. Pursuant to the Note Purchase Agreement, the Company issued and sold to the EW Investors $2.0 million aggregate principal value of the 2024 Notes. The 2024 Notes accrue interest at a rate equal to the 90-day adjusted term Secured Overnight Financing Rate (SOFR) plus 8.50% per annum; provided, however, that if there is an Event of Default (as defined below), the then-applicable interest rate will increase by 4.00% per annum. In connection with the Note Purchase Agreement, the Company entered into the EW Security Agreement pursuant to which, the Company granted to the EW Investors a security interest in substantially all of their assets to secure the obligations under the 2024 Notes. The 2024 Notes were convertible at any time into shares of our common stock at an initial conversion price of $1.251 per share, subject to adjustment.</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additional information regarding the 2024 Notes, Note Purchase Agreement, and EW Security Agreement, see Note 13 “</w:t>
      </w:r>
      <w:r>
        <w:rPr>
          <w:rFonts w:ascii="Times New Roman" w:cs="Times New Roman" w:eastAsia="Times New Roman" w:hAnsi="Times New Roman"/>
          <w:sz w:val="18"/>
          <w:szCs w:val="18"/>
          <w:i w:val="1"/>
          <w:iCs w:val="1"/>
          <w:color w:val="auto"/>
        </w:rPr>
        <w:t>EW Convertible Notes</w:t>
      </w:r>
      <w:r>
        <w:rPr>
          <w:rFonts w:ascii="Times New Roman" w:cs="Times New Roman" w:eastAsia="Times New Roman" w:hAnsi="Times New Roman"/>
          <w:sz w:val="18"/>
          <w:szCs w:val="18"/>
          <w:color w:val="auto"/>
        </w:rPr>
        <w:t>” to our unaudited condensed consolidated financial statements included elsewhere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Madryn Loan and Security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April 23, 2024, the Company entered into the Loan and Security Agreement, by and among the Bridge Borrower, the 2024 Guarantors, the 2024 Lenders and Madryn HP, as administrative agent. Pursuant to the Loan and Security Agreement, the 2024 Lenders have agreed to provide the Bridge Borrower with Bridge Financing in the form of a term loan in the original principal amount of $2,237,906.85 and one or more delayed draw term loans of up to an additional principal amount of $2,762,093.15. The transaction is discussed in Note 19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ectPr>
          <w:pgSz w:w="11900" w:h="16838" w:orient="portrait"/>
          <w:cols w:equalWidth="0" w:num="1">
            <w:col w:w="11240"/>
          </w:cols>
          <w:pgMar w:left="320" w:top="121" w:right="339" w:bottom="15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5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$59.6325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Listing Rules). Also, at no time may Lincoln Park (together with its affiliates) beneficially own more than 9.99% of our issued and outstanding common stock. Concurrently with entering into the Equity Purchase Agreement, we also entered into a Registration Rights Agreement with Lincoln Park. The Equity Purchase Agreement expired on July 1, 2022.</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0.05 million shares of our common stock as a commitment fee in connection with entering into the 2022 LPC Purchase Agreement, with the total value of $0.3 million. Through December 31, 2023 we issued an additional 0.78 million shares of common stock to Lincoln Park at an average price of $3.97 per share, for a total proceeds value of $3.1 million since entering into the Purchase Agreement. During the three months ended March 31, 2024, the Company issued an additional 8,333 shares of common stock to Lincoln Park at an average price of $1.16 per share, for a total value of $10. For additional information regarding the 2022 LPC Purchase Agreement, see Note 15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to our unaudited condensed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18, 2022, we consummated the 2022 Private Placement whereby we entered into a securities purchase agreement pursuant to which we issued and sold to the 2022 Investors an aggregate of 116,668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(deficit). The accounting effects of the 2022 Private Placement transaction are discussed in Note 15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in the notes to our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we entered into the 2023 Multi-Tranche Private Placement Stock Purchase Agreement, with the 2023 Investors pursuant to which the Company may issue and sell to the 2023 Investors up to $9.0 million in shares of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Placement under the 2023 Multi-Tranche Private Placement, under which the Company sold the 2023 Investors 502,513 shares of Senior Preferred Stock for an aggregate purchase price of $2.0 million. The Company expects to use the proceeds of the Placements, after the payment of transaction expenses, for general working capital purposes. The accounting effects of the 2023 Multi-Tranche Private Placement transactions are discussed in Note 15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in the notes to our unaudited condensed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February 22, 2024, the Company, entered into the SPA with the 2024 Investors, pursuant to which the Company agreed to issue and sell to the 2024 Investors (i) in a registered direct offering, an aggregate of 817,748 shares of the Company’s common stock, at a price of $1.465 per share and (ii) in a concurrent private placement, warrants to acquire up to an aggregate of 817,748 shares of Common Stock, at an initial exercise price of $1.34 per share. H.C. Wainwright &amp; Co., LLC (“HCW”) acted as the Company’s placement agent in connection with Offering. The Company paid HCW consideration consisting of (i) a cash fee equal to 7.0% of the aggregate gross proceeds in the Offering, (ii) a management fee equal to 1.0% of the aggregate gross proceeds in the Offering, (iii) reimbursement of certain expenses and (iv) warrants to acquire up to an aggregate of 57,242 shares of common stock (the “Placement Agent Warrants”). The Placement Agent Warrants are similar to the 2024 Investor Warrants, except that the initial exercise price of the Placement Agent Warrants is $1.8313 per share. The transaction is discussed in Note 15 </w:t>
      </w:r>
      <w:r>
        <w:rPr>
          <w:rFonts w:ascii="Times New Roman" w:cs="Times New Roman" w:eastAsia="Times New Roman" w:hAnsi="Times New Roman"/>
          <w:sz w:val="18"/>
          <w:szCs w:val="18"/>
          <w:i w:val="1"/>
          <w:iCs w:val="1"/>
          <w:color w:val="auto"/>
        </w:rPr>
        <w:t>"Stockholders' Equity (Deficit)"</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we had capital resources consisting of cash and cash equivalents of approximately $5.1 million. We have financed our operations principally through the issuance and sale of our common stock and preferred stock, debt financing, and payments from customers.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net proceeds from the Madryn Loan and Security Agreement, the Registered Direct Offering, the 2023 Multi-Tranche Private Placement, the 2022 Private Placement, the proceeds from issuance of our common stock to Lincoln Park, the proceeds from the MSLP Loan, our continued availability under the 2022 LPC Purchase Agreement, our strategic cash flow enhancement initiatives, our initiatives to pursue strategic alternatives, together with our existing cash and cash equivalents, will enable us to fund our operating expenses and capital expenditure requirements for at least the next 12 months. We can provide no assurances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pacing w:after="0" w:line="162" w:lineRule="exact"/>
        <w:rPr>
          <w:sz w:val="20"/>
          <w:szCs w:val="20"/>
          <w:color w:val="auto"/>
        </w:rPr>
      </w:pPr>
    </w:p>
    <w:p>
      <w:pPr>
        <w:ind w:left="660" w:hanging="315"/>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efforts to develop system product enhancements or new products, including any clinical trials that may be required to market such enhancements;</w:t>
      </w:r>
    </w:p>
    <w:p>
      <w:pPr>
        <w:spacing w:after="0" w:line="161"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increase and expand our sales and marketing efforts; or</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enhance our customer support and marketing activities.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restricted by covenants in the MSLP Loan, EW Security Agreement, and the Madryn Loan and Security Agreement. These covenants restrict, among other things, our ability to incur additional indebtedness, which may limit our ability to obtain additional debt financing. In the event that the current macroeconomic headwinds continue to cause or present disruptions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including long-term funding requirements, will depend on many factors, including, but not limited to:</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growing our ongoing commercialization and sales and marketing activities;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maintaining enough inventories of our systems to meet anticipated demand and inventory write-offs related to obsolete products or components;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enhancing the existing functionality and development of new functionalities for our systems;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defending, and enforcing patent claims and other patent related costs, including litigation costs and the results of such litigation;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and the costs associated with defending them or the results of such lawsuits;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business and maintaining subsidiaries and other entities in foreign jurisdictions;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 jurisdictions where our systems are not approved delaying their purchase, and not purchasing our systems, until they are approved or cleared for use in their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attract and retain personnel with the skills required for effective operations;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Cash provided by financing activities</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(2,878)</w:t>
            </w:r>
          </w:p>
        </w:tc>
        <w:tc>
          <w:tcPr>
            <w:tcW w:w="58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(5,888)</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60" w:type="dxa"/>
            <w:vAlign w:val="bottom"/>
          </w:tcPr>
          <w:p>
            <w:pPr>
              <w:spacing w:after="0"/>
              <w:rPr>
                <w:sz w:val="20"/>
                <w:szCs w:val="20"/>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620" w:space="720"/>
            <w:col w:w="3900"/>
          </w:cols>
          <w:pgMar w:left="320" w:top="121" w:right="339" w:bottom="1440" w:gutter="0" w:footer="0" w:header="0"/>
        </w:sectPr>
      </w:pP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cash used in operating activities consisted of a net loss of $9.8 million, partially offset by decreases in net operating assets of $4.7 million and non-cash operating expenses of $2.2 million. The use of cash in net operating assets was attributable to a decrease in accounts receivable of $3.2 million, a decrease in inventories of $1.7 million, a decrease in other current assets of $0.4 million, and a decrease in advances to suppliers of $0.7 million. These were offset by a decrease in trade payables of $1.3 million, a decrease in accrued expenses and other current liabilities of $0.3 million, and a decrease in long-term operating lease liabilities of $0.3 million. The non-cash operating expenses consisted of depreciation and amortization of $1.0 million, stock-based compensation expense of $0.3 million, provision for inventory obsolescence of $0.4 million, finance expenses and accretion of $0.5 million, and provision for expected credit losses of $0.2 million.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2023, cash used in operating activities consisted of a net loss of $9.6 million, partially offset by a decrease in net operating assets of $1.0 million and non-cash operating expenses of $2.7 million. The use of cash in net operating assets was attributable to a decrease in accounts receivable of $1.7 million, a decrease in inventories of $0.9 million, a decrease in other current assets of $1.7 million, a decrease in operating right-of-use assets, net of $0.4 million. These were offset by a decrease in trade payables of $0.5 million and a decrease in accrued expenses and other current liabilities of $2.6 million. The non-cash operating expenses consisted of provision for expected credit losses of $0.7 million, depreciation and amortization of $1.0 million, finance expenses and accretion of $0.1 million, stock-based compensation expense of $0.5 million, provision for inventory obsolescence of $0.3 million, partially offset by a deferred tax recovery of $0.1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2024, cash used in investing activities consisted of $0.03 million for the purchase of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2023, cash used in investing activities consisted of $0.1 million for the purchase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2024, cash used in financing activities primarily consisted of net proceeds from the Registered Direct Offering of shares and warrants of $1.0 million and net proceeds from the 2024 Convertible Notes issued to EW of $1.6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2023, cash used in financing activities primarily consisted of net proceeds from the issuance of shares of common stock to Lincoln Park of $0.8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premises and those of our subsidiaries are leased under various operating lease agreements, which expire on various 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we had non-cancellable purchase orders placed with our contract manufacturers in the amount of $10.0 million. In addition, as of March 31, 2024, we had $1.2 million of open purchase orders that can be cancelled with 270 days’ notice, except for a portion equal to 25% of the total amount representing the purchase of "long lead items."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2024, which represent material expected or contractually committed future obligations.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2 to 3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4 to 5 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 including interest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commitments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19,723</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84,093</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104,360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an additional description of our commitments see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unaudited condensed consolidated financial statements included elsewhere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currently engage in off-balance sheet financing arrangements. In addition, we do not have any interest in entities referred to as variable interest entities, which includes special purpose entities and other structured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the audited consolidated financial statements included in our Annual Report filed on Form 10-K for the year ended December 31, 2023. We believe that the assumptions and estimates associated with revenue recognition, long-term receivables, allowance for expected credit losses, warranty accrual, and stock-based compensation have the most significant impact on our consolidated financial statements, and therefore, we consider these to be our critical accounting policies and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(1) sales of systems through our subscription model, in accordance with ASC 842, "Leases" ("ASC 842"), traditional system sales to customers and distributors, (2) other product revenues from the sale of ARTAS procedure kits, marketing supplies and kits, consumables and (3) our extended warranty service contracts provided to existing customers.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revenues on other products and services in accordance with ASC 606, "Revenue from Contracts with Customers"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our revenue net of sales tax and shipping and handling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Long-term receivables relate to our subscription revenue or contracts which stipulate payment terms which exceed one year. They are comprised of the unpaid principal balance, net of the allowance for expected credit losses. These receivables have been discounted based on the implicit interest rate in the subscription lease which range between 8% and 10% for the three months ended March 31, 2024 and 8% and 10% for the three months ended March 31, 2023. Unearned interest revenue represents the interest only portion of the respective subscription payments and will be recognized in income over the respective payment term as it is earned.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expected credit losses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generally offer a one year warranty for all our systems against defects. The warranty period begins upon shipment and we record a liability for accrued warranty costs at the time of sale of a system, which consists of the remaining warranty on systems sold based on historical warranty costs and</w:t>
      </w:r>
    </w:p>
    <w:p>
      <w:pPr>
        <w:sectPr>
          <w:pgSz w:w="11900" w:h="16873" w:orient="portrait"/>
          <w:cols w:equalWidth="0" w:num="1">
            <w:col w:w="11240"/>
          </w:cols>
          <w:pgMar w:left="320" w:top="121" w:right="339" w:bottom="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stock-based compensation costs in accordance with the accounting standards for stock-based compensation, which require that all stock based payments to employees be recognized in the unaudited condensed consolidated statements of operations based on their fair values.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(gain) loss in the unaudited condensed consolidated statement of operations as they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for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2024,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March 31,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during the three months ended March 31, 2024 that have materially affected, or are reasonably likely to materially affect, our internal controls over financial reporting.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does not include an attestation report of our registered public accounting firm due to a transition period established by rules of the SEC for “emerging growth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March 31, 2024, the Company was not a party to any material active or pending legal proceedings.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may from time to time continue to be involved in various legal proceedings of a character normally incident to the ordinary course of our business.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Our operations and financial results are subject to various risk and uncertainties, including those described below and the risk factors described under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latest Form 10-K for the year ended December 31, 2023,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risks described below and the other information in this Quarterly Report on Form 10-Q, our unaudited condensed consolidated financial statements, and the related notes thereto,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herein, and the risk factors previously disclosed in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Form 10-K for the year ended December 31, 2023 filed with the SEC and incorporated by reference herein.</w:t>
      </w:r>
    </w:p>
    <w:p>
      <w:pPr>
        <w:spacing w:after="0" w:line="183"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Israel, including the recent attack by Hamas and other terrorist organizations from the Gaza Strip and Israel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war against them, may adversely affect our operations and limit our ability to manage and market our products, which could lead to a decrease in revenues.</w:t>
      </w:r>
    </w:p>
    <w:p>
      <w:pPr>
        <w:spacing w:after="0" w:line="15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Certain of our operations are conducted in Israel and a number of our employees, contract manufacturers and consultants, including employees of our service providers, are located in Israel. As such, our business and operations may be directly affected by economic, political, geopolitical and military conditions affecting Israel.</w:t>
      </w:r>
    </w:p>
    <w:p>
      <w:pPr>
        <w:spacing w:after="0" w:line="176"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On October 7, 2023, Hamas militants and members of other terrorist organizations infiltrated Israel’s southern border from the Gaza Strip and conducted a series of terror attacks on civilian and military targets. Thereafter, these terrorists launched extensive rocket attacks on Israeli population and industrial centers located along the Israeli border with the Gaza Strip. Shortly following the attack, Israel’s security cabinet declared war against Hamas. The intensity, duration and impact of Israel’s current war against Hamas and the corresponding geopolitical instability in the region is difficult to predict, as are the war’s economic implications on the Company’s business and operations.</w:t>
      </w:r>
    </w:p>
    <w:p>
      <w:pPr>
        <w:spacing w:after="0" w:line="183"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It is possible that the conflict in the region may escalate. Our facilities are within the range of rockets that could be launched from a number of surrounding territories. In the event that our facilities in Israel, or the facilities of our vendors in Israel, are damaged as a result of the hostilities or hostilities otherwise disrupt the ongoing operation of our facilities, our ability to deliver products to customers in a timely manner to meet our contractual obligations with customers and vendors could be materially and adversely affected. Any losses or damages incurred by us could have a material adverse effect on our business.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because of the obligation of Israeli citizens to perform military service.</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As a result of the Israeli security cabinet’s decision to declare war against Hamas, Israeli reservists have been drafted to perform immediate military service. Certain of our employees and consultants in Israel, in addition to employees of our service providers located in Israel, have been called for service in the current war with Hamas as of the date of this Quarterly Report on Form 10-Q, and such persons may be absent for an extended period of time. As a result, our operations may be disrupted by such absences, which may materially and adversely affect our business and results of operations. Additionally, the absence of employees of our Israeli suppliers and contract manufacturers due to their military service in the current war or future wars or other armed conflicts may disrupt their operations, in which event our ability to deliver products to customers may be materially and adversely affected.</w:t>
      </w:r>
    </w:p>
    <w:p>
      <w:pPr>
        <w:spacing w:after="0" w:line="183"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credit terms to some qualified customers and distributors. In the event that a customer or distributor defaults on the amounts payable to us, our financial results may be adversely affected.</w:t>
      </w:r>
    </w:p>
    <w:p>
      <w:pPr>
        <w:spacing w:after="0" w:line="15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2024 and 2023, approximately 25% and 34% of our total system revenues were derived from our subscription-based model. Under our legacy subscription model,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We cannot provide any assurance that the financial position of customers purchasing products and services under a Venus Prime or subscription agreement will not change adversely before we receive all the monthly installment payments due under the contract. In the event that there is a default by any of the customers to whom we have sold systems under the Venus Prime or subscription-based model, we may recognize bad debt expenses in our general and administrative expenses. If the extent of such defaults is material, it could negatively affect our results of operations and operating cash flows.</w:t>
      </w:r>
    </w:p>
    <w:p>
      <w:pPr>
        <w:spacing w:after="0" w:line="188"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In addition to Venus Prime and our legacy subscription-based model, we generally offer credit terms of 30 to 90 days to qualified customers and distributors. In the event that there is a default by any of the customers or distributors to whom we have provided credit terms, we may recognize bad debt expenses in our general and administrative expenses. If the extent of such defaults is material, it could negatively affect our future results of operations and cash flows.</w:t>
      </w:r>
    </w:p>
    <w:p>
      <w:pPr>
        <w:spacing w:after="0" w:line="180"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We may also be adversely affected by bankruptcies or other business failures of our customers, distributors, and potential customers. A significant delay in the collection of accounts receivable or a reduction of accounts receivables collected may impact our liquidity or result in bad debt expenses.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listing on The Nasdaq Capital Market and it may become more difficult to sell our stock in the public market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Minimum Stockholder Equity Requirement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31, 2023, we received a notice (the “Notice”) from the Listing Qualifications Department of Nasdaq ("Nasdaq") stating that our stockholders’ equity as reported in our Quarterly Report on Form 10-Q for the period ended March 31, 2023 was below the minimum $2,500,000 required for continued</w:t>
      </w:r>
    </w:p>
    <w:p>
      <w:pPr>
        <w:sectPr>
          <w:pgSz w:w="11900" w:h="16838" w:orient="portrait"/>
          <w:cols w:equalWidth="0" w:num="1">
            <w:col w:w="11260"/>
          </w:cols>
          <w:pgMar w:left="300" w:top="121" w:right="339" w:bottom="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listing under Listing Rule 5550(b)(1) (“Minimum Equity Requirement”).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Notice had no immediate effect on the listing of our common stock. On July 17, 2023, we submitted to Nasdaq a plan to regain compliance with the Minimum Equity Requirement (the "Plan"). On July 28, 2023, Nasdaq granted us an extension until November 27, 2023 to evidence compliance with the Minimum Equity Requirement, conditioned upon our achievement of certain milestones as set forth in the Plan. On November 28, 2023, the Company received a written notice from the Nasdaq Staff which described its determination that the Company had not regained compliance with the Minimum Equity Requirement within the Plan period. As a result, the Nasdaq Staff advised the Company that its securities will be delisted at the opening of business on December 7, 2023, unless the Company timely requests a hearing before a Nasdaq Hearings Panel (the "Panel”).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5, 2023, the Company timely requested a hearing before the Panel. The hearing was held on March 5, 2024, staying any delisting pending the issuance of the Panel’s decision.</w:t>
      </w:r>
    </w:p>
    <w:p>
      <w:pPr>
        <w:spacing w:after="0" w:line="162"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March 20, 2024, the Company received a decision from the Panel granting its request for continued listing on the Nasdaq Capital Market, subject to the Company demonstrating compliance with Nasdaq Listing Rule 5550(b) on or before May 28, 2024, and certain other conditions.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Minimum Bid Price Requirement</w:t>
      </w:r>
    </w:p>
    <w:p>
      <w:pPr>
        <w:spacing w:after="0" w:line="22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April 11, 2024, the Company received a notice from Nasdaq stating that for 32 consecutive business days the Company’s common stock did not maintain a minimum closing bid price of $1.00 per share (“Minimum Bid Price Requirement”) as required for continued listing under Listing Rule 5550(a)</w:t>
      </w:r>
    </w:p>
    <w:p>
      <w:pPr>
        <w:ind w:left="20"/>
        <w:spacing w:after="0"/>
        <w:rPr>
          <w:sz w:val="20"/>
          <w:szCs w:val="20"/>
          <w:color w:val="auto"/>
        </w:rPr>
      </w:pPr>
      <w:r>
        <w:rPr>
          <w:rFonts w:ascii="Times New Roman" w:cs="Times New Roman" w:eastAsia="Times New Roman" w:hAnsi="Times New Roman"/>
          <w:sz w:val="18"/>
          <w:szCs w:val="18"/>
          <w:color w:val="auto"/>
        </w:rPr>
        <w:t>(2).</w:t>
      </w:r>
    </w:p>
    <w:p>
      <w:pPr>
        <w:spacing w:after="0" w:line="20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180 calendar days, or until October 8, 2024, to regain compliance with the Minimum Bid Price Requirement. To regain compliance, the closing bid price of the Company’s common stock must be at least $1.00 per share for a minimum of ten consecutive business days before October 8, 2024, at which time Nasdaq will provide written notification to the Company that it complies with the Minimum Bid Requirement, unless Nasdaq exercises its discretion to extend this ten-day period pursuant to Nasdaq Listing Rule 5810(c)(3)(H).</w:t>
      </w:r>
    </w:p>
    <w:p>
      <w:pPr>
        <w:spacing w:after="0" w:line="180"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If we do not achieve compliance by October 8, 2024, the Company may be eligible for an additional 180-day period to regain compliance, provided that it meets the continued listing requirement for market value of publicly held shares and all other initial listing standards of the Nasdaq Capital Market, with the exception of the Minimum Bid Price Requirement, and provides written notice to Nasdaq of its intention to cure the deficiency during the second compliance period, for example, by effecting a reverse stock split, if necessary.</w:t>
      </w:r>
    </w:p>
    <w:p>
      <w:pPr>
        <w:spacing w:after="0" w:line="180"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If our common stock ultimately is delisted for failure to comply with either the Minimum Equity Requirement or Minimum Bid Price Requirement, our shareholders could face significant adverse consequences, including:</w:t>
      </w:r>
    </w:p>
    <w:p>
      <w:pPr>
        <w:spacing w:after="0" w:line="162" w:lineRule="exact"/>
        <w:rPr>
          <w:sz w:val="20"/>
          <w:szCs w:val="20"/>
          <w:color w:val="auto"/>
        </w:rPr>
      </w:pPr>
    </w:p>
    <w:p>
      <w:pPr>
        <w:ind w:left="680" w:hanging="32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or market quotations for our common stock;</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of our common stock;</w:t>
      </w:r>
    </w:p>
    <w:p>
      <w:pPr>
        <w:spacing w:after="0" w:line="22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shares of our common stock are “penny stock,” which would require brokers trading in our common stock to adhere to more stringent rules and possibly result in a reduced level of trading activity in the secondary trading market for our common stock;</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analysts’ coverage of us; and</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for us to issue additional equity securities or obtain additional equity or debt financing in the future.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the Company’s Current Reports on Form 8-K filed with the SEC on January 18, 2024 and February 22, 2024 there were no unregistered securities issued and sold during the three months ended March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19"/>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58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Amended and Restated Certificate of Incorporation of Restoration Robotics, Inc.</w:t>
              </w:r>
            </w:hyperlink>
          </w:p>
        </w:tc>
        <w:tc>
          <w:tcPr>
            <w:tcW w:w="220" w:type="dxa"/>
            <w:vAlign w:val="bottom"/>
            <w:gridSpan w:val="5"/>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10-17-17</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59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Certificate of Amendment of Certificate of Incorporation of Restoration Robotics,</w:t>
              </w:r>
            </w:hyperlink>
          </w:p>
        </w:tc>
        <w:tc>
          <w:tcPr>
            <w:tcW w:w="60" w:type="dxa"/>
            <w:vAlign w:val="bottom"/>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040" w:type="dxa"/>
            <w:vAlign w:val="bottom"/>
            <w:gridSpan w:val="27"/>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Inc.</w:t>
              </w:r>
            </w:hyperlink>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57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Certificate of Amendment of Certificate of Incorporation of Venus Concept Inc.</w:t>
              </w:r>
            </w:hyperlink>
          </w:p>
        </w:tc>
        <w:tc>
          <w:tcPr>
            <w:tcW w:w="280" w:type="dxa"/>
            <w:vAlign w:val="bottom"/>
            <w:gridSpan w:val="8"/>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5-11-23</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5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Certificate of Amendment to Certificate of Designations of Senior Convertible</w:t>
              </w:r>
            </w:hyperlink>
          </w:p>
        </w:tc>
        <w:tc>
          <w:tcPr>
            <w:tcW w:w="380" w:type="dxa"/>
            <w:vAlign w:val="bottom"/>
            <w:gridSpan w:val="10"/>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6-26-23</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040" w:type="dxa"/>
            <w:vAlign w:val="bottom"/>
            <w:gridSpan w:val="27"/>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Preferred Stock.</w:t>
              </w:r>
            </w:hyperlink>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4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Certificate of Designations of Series X Convertible Preferred Stock.</w:t>
              </w:r>
            </w:hyperlink>
          </w:p>
        </w:tc>
        <w:tc>
          <w:tcPr>
            <w:tcW w:w="1140" w:type="dxa"/>
            <w:vAlign w:val="bottom"/>
            <w:gridSpan w:val="15"/>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10-5-23</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6040" w:type="dxa"/>
            <w:vAlign w:val="bottom"/>
            <w:gridSpan w:val="27"/>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Second Amended and Restated Bylaws of Venus Concept Inc.</w:t>
              </w:r>
            </w:hyperlink>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8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Form of Investor Warrant</w:t>
              </w:r>
            </w:hyperlink>
          </w:p>
        </w:tc>
        <w:tc>
          <w:tcPr>
            <w:tcW w:w="2620" w:type="dxa"/>
            <w:vAlign w:val="bottom"/>
            <w:tcBorders>
              <w:top w:val="single" w:sz="8" w:color="0000EE"/>
            </w:tcBorders>
            <w:gridSpan w:val="6"/>
          </w:tcPr>
          <w:p>
            <w:pPr>
              <w:spacing w:after="0"/>
              <w:rPr>
                <w:sz w:val="24"/>
                <w:szCs w:val="24"/>
                <w:color w:val="auto"/>
              </w:rPr>
            </w:pPr>
          </w:p>
        </w:tc>
        <w:tc>
          <w:tcPr>
            <w:tcW w:w="1580" w:type="dxa"/>
            <w:vAlign w:val="bottom"/>
            <w:gridSpan w:val="17"/>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4.1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4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Form of Placement Agent Warrant</w:t>
              </w:r>
            </w:hyperlink>
          </w:p>
        </w:tc>
        <w:tc>
          <w:tcPr>
            <w:tcW w:w="3560" w:type="dxa"/>
            <w:vAlign w:val="bottom"/>
            <w:gridSpan w:val="19"/>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4.2</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59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Note Purchase Agreement dated January 18, 2024, by and between Venus Concept</w:t>
              </w:r>
            </w:hyperlink>
          </w:p>
        </w:tc>
        <w:tc>
          <w:tcPr>
            <w:tcW w:w="80" w:type="dxa"/>
            <w:vAlign w:val="bottom"/>
            <w:gridSpan w:val="2"/>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6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Inc., Venus Concept USA, Inc., Venus Concept Canada Corp., Venus Concept</w:t>
              </w:r>
            </w:hyperlink>
          </w:p>
        </w:tc>
        <w:tc>
          <w:tcPr>
            <w:tcW w:w="44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6040" w:type="dxa"/>
            <w:vAlign w:val="bottom"/>
            <w:gridSpan w:val="27"/>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Ltd., EW Healthcare Partners and EW Healthcare Partners-A, L.P.</w:t>
              </w:r>
            </w:hyperlink>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6040" w:type="dxa"/>
            <w:vAlign w:val="bottom"/>
            <w:gridSpan w:val="27"/>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Secured Subordinated Convertible Note Issued by Venus Concept In. to</w:t>
              </w:r>
            </w:hyperlink>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10.2</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7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EW Healthcare Partners, L.P.</w:t>
              </w:r>
            </w:hyperlink>
          </w:p>
        </w:tc>
        <w:tc>
          <w:tcPr>
            <w:tcW w:w="26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6040" w:type="dxa"/>
            <w:vAlign w:val="bottom"/>
            <w:gridSpan w:val="27"/>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Secured Subordinated Convertible Note Issued by Venus Concept Inc. to</w:t>
              </w:r>
            </w:hyperlink>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10.3</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8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EW Healthcare Partners-A L.P.</w:t>
              </w:r>
            </w:hyperlink>
          </w:p>
        </w:tc>
        <w:tc>
          <w:tcPr>
            <w:tcW w:w="18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Guaranty and Security Agreement, dated January 18, 2024, by and among Venus</w:t>
              </w:r>
            </w:hyperlink>
          </w:p>
        </w:tc>
        <w:tc>
          <w:tcPr>
            <w:tcW w:w="220" w:type="dxa"/>
            <w:vAlign w:val="bottom"/>
            <w:gridSpan w:val="5"/>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10.4</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5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Concept Inc., Venus Concept USA Inc., Venus Concept Canada Corp., Venus</w:t>
              </w:r>
            </w:hyperlink>
          </w:p>
        </w:tc>
        <w:tc>
          <w:tcPr>
            <w:tcW w:w="48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Concept Ltd. and EW Healthcare Partners, L.P., as Collateral Agent.</w:t>
              </w:r>
            </w:hyperlink>
          </w:p>
        </w:tc>
        <w:tc>
          <w:tcPr>
            <w:tcW w:w="112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6040" w:type="dxa"/>
            <w:vAlign w:val="bottom"/>
            <w:gridSpan w:val="27"/>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Subordination of Debt Agreement, dated January 18, 2024, by and among Venus</w:t>
              </w:r>
            </w:hyperlink>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10.5</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5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Concept Inc., Venus Concept USA Inc., Venus Concept Canada Corp., Venus</w:t>
              </w:r>
            </w:hyperlink>
          </w:p>
        </w:tc>
        <w:tc>
          <w:tcPr>
            <w:tcW w:w="240" w:type="dxa"/>
            <w:vAlign w:val="bottom"/>
            <w:tcBorders>
              <w:top w:val="single" w:sz="8" w:color="0000EE"/>
            </w:tcBorders>
            <w:gridSpan w:val="6"/>
          </w:tcPr>
          <w:p>
            <w:pPr>
              <w:spacing w:after="0"/>
              <w:rPr>
                <w:sz w:val="17"/>
                <w:szCs w:val="17"/>
                <w:color w:val="auto"/>
              </w:rPr>
            </w:pPr>
          </w:p>
        </w:tc>
        <w:tc>
          <w:tcPr>
            <w:tcW w:w="24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9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Concept Ltd., City National Bank of Florida, EW Healthcare Partner, L.P. and EW</w:t>
              </w:r>
            </w:hyperlink>
          </w:p>
        </w:tc>
        <w:tc>
          <w:tcPr>
            <w:tcW w:w="10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6040" w:type="dxa"/>
            <w:vAlign w:val="bottom"/>
            <w:gridSpan w:val="27"/>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Healthcare Partners-A L.P.</w:t>
              </w:r>
            </w:hyperlink>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6040" w:type="dxa"/>
            <w:vAlign w:val="bottom"/>
            <w:gridSpan w:val="27"/>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Loan Modification Agreement, dated January 18, 2024, by and among Venus</w:t>
              </w:r>
            </w:hyperlink>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10.6</w:t>
            </w:r>
          </w:p>
        </w:tc>
        <w:tc>
          <w:tcPr>
            <w:tcW w:w="11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940" w:type="dxa"/>
            <w:vAlign w:val="bottom"/>
            <w:gridSpan w:val="7"/>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5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Concept Inc., Venus Concept USA Inc., Venus Concept Canada Corp., Venus</w:t>
              </w:r>
            </w:hyperlink>
          </w:p>
        </w:tc>
        <w:tc>
          <w:tcPr>
            <w:tcW w:w="48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6040" w:type="dxa"/>
            <w:vAlign w:val="bottom"/>
            <w:gridSpan w:val="27"/>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Concept Ltd. and EW Healthcare, City National Bank of Florida, Madryn Health</w:t>
              </w:r>
            </w:hyperlink>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Partners, LP and Madryn Health Partners (Cayman Master).</w:t>
              </w:r>
            </w:hyperlink>
          </w:p>
        </w:tc>
        <w:tc>
          <w:tcPr>
            <w:tcW w:w="1500" w:type="dxa"/>
            <w:vAlign w:val="bottom"/>
            <w:tcBorders>
              <w:top w:val="single" w:sz="8" w:color="0000EE"/>
            </w:tcBorders>
            <w:gridSpan w:val="13"/>
          </w:tcPr>
          <w:p>
            <w:pPr>
              <w:spacing w:after="0"/>
              <w:rPr>
                <w:sz w:val="17"/>
                <w:szCs w:val="17"/>
                <w:color w:val="auto"/>
              </w:rPr>
            </w:pPr>
          </w:p>
        </w:tc>
        <w:tc>
          <w:tcPr>
            <w:tcW w:w="22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6040" w:type="dxa"/>
            <w:vAlign w:val="bottom"/>
            <w:gridSpan w:val="27"/>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Securities Purchase Agreement, dated February 22, 2024, by and between</w:t>
              </w:r>
            </w:hyperlink>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Venus Concept Inc., Armistice Capital Master Fund Ltd. and Intracostal Capital</w:t>
              </w:r>
            </w:hyperlink>
          </w:p>
        </w:tc>
        <w:tc>
          <w:tcPr>
            <w:tcW w:w="200" w:type="dxa"/>
            <w:vAlign w:val="bottom"/>
            <w:tcBorders>
              <w:top w:val="single" w:sz="8" w:color="0000EE"/>
            </w:tcBorders>
            <w:gridSpan w:val="6"/>
          </w:tcPr>
          <w:p>
            <w:pPr>
              <w:spacing w:after="0"/>
              <w:rPr>
                <w:sz w:val="17"/>
                <w:szCs w:val="17"/>
                <w:color w:val="auto"/>
              </w:rPr>
            </w:pPr>
          </w:p>
        </w:tc>
        <w:tc>
          <w:tcPr>
            <w:tcW w:w="10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79">
              <w:r>
                <w:rPr>
                  <w:rFonts w:ascii="Times New Roman" w:cs="Times New Roman" w:eastAsia="Times New Roman" w:hAnsi="Times New Roman"/>
                  <w:sz w:val="18"/>
                  <w:szCs w:val="18"/>
                  <w:color w:val="0000EE"/>
                  <w:w w:val="93"/>
                </w:rPr>
                <w:t>LLC.</w:t>
              </w:r>
            </w:hyperlink>
          </w:p>
        </w:tc>
        <w:tc>
          <w:tcPr>
            <w:tcW w:w="5660" w:type="dxa"/>
            <w:vAlign w:val="bottom"/>
            <w:gridSpan w:val="25"/>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5" w:lineRule="exact"/>
        <w:rPr>
          <w:sz w:val="20"/>
          <w:szCs w:val="20"/>
          <w:color w:val="auto"/>
        </w:rPr>
      </w:pPr>
    </w:p>
    <w:p>
      <w:pPr>
        <w:ind w:left="1120" w:right="560" w:hanging="710"/>
        <w:spacing w:after="0" w:line="261"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80">
        <w:r>
          <w:rPr>
            <w:rFonts w:ascii="Times New Roman" w:cs="Times New Roman" w:eastAsia="Times New Roman" w:hAnsi="Times New Roman"/>
            <w:sz w:val="18"/>
            <w:szCs w:val="18"/>
            <w:u w:val="single" w:color="auto"/>
            <w:color w:val="0000EE"/>
          </w:rPr>
          <w:t xml:space="preserve">Loan and Security Agreement by and among Venus Concept USA Inc., Venus </w:t>
        </w:r>
      </w:hyperlink>
      <w:r>
        <w:rPr>
          <w:rFonts w:ascii="Times New Roman" w:cs="Times New Roman" w:eastAsia="Times New Roman" w:hAnsi="Times New Roman"/>
          <w:sz w:val="18"/>
          <w:szCs w:val="18"/>
          <w:color w:val="000000"/>
        </w:rPr>
        <w:t>8-K 4-24-24 10.1</w:t>
      </w:r>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Concept Inc., Venus Concept Canada Corp., Venus Concept Ltd and Madryn</w:t>
        </w:r>
      </w:hyperlink>
    </w:p>
    <w:p>
      <w:pPr>
        <w:ind w:left="1120"/>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Health Partners, LP dated April 23, 2024.</w:t>
        </w:r>
      </w:hyperlink>
    </w:p>
    <w:p>
      <w:pPr>
        <w:spacing w:after="0" w:line="207" w:lineRule="exact"/>
        <w:rPr>
          <w:sz w:val="20"/>
          <w:szCs w:val="20"/>
          <w:color w:val="auto"/>
        </w:rPr>
      </w:pPr>
    </w:p>
    <w:p>
      <w:pPr>
        <w:ind w:left="1120" w:right="3020" w:hanging="710"/>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Section 302 of the Sarbanes-Oxley Act of 2002.</w:t>
      </w:r>
    </w:p>
    <w:p>
      <w:pPr>
        <w:spacing w:after="0" w:line="162" w:lineRule="exact"/>
        <w:rPr>
          <w:sz w:val="20"/>
          <w:szCs w:val="20"/>
          <w:color w:val="auto"/>
        </w:rPr>
      </w:pPr>
    </w:p>
    <w:p>
      <w:pPr>
        <w:ind w:left="400"/>
        <w:spacing w:after="0"/>
        <w:tabs>
          <w:tab w:leader="none" w:pos="11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Section 302 of the Sarbanes-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2">
            <w:col w:w="10100" w:space="720"/>
            <w:col w:w="420"/>
          </w:cols>
          <w:pgMar w:left="320" w:top="121" w:right="339" w:bottom="0" w:gutter="0" w:footer="0" w:header="0"/>
          <w:type w:val="continuous"/>
        </w:sectPr>
      </w:pPr>
    </w:p>
    <w:bookmarkStart w:id="59" w:name="page60"/>
    <w:bookmarkEnd w:id="59"/>
    <w:tbl>
      <w:tblPr>
        <w:tblLayout w:type="fixed"/>
        <w:tblInd w:w="212"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9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32.1*</w:t>
            </w:r>
          </w:p>
        </w:tc>
        <w:tc>
          <w:tcPr>
            <w:tcW w:w="5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w:t>
            </w:r>
          </w:p>
        </w:tc>
      </w:tr>
      <w:tr>
        <w:trPr>
          <w:trHeight w:val="196"/>
        </w:trPr>
        <w:tc>
          <w:tcPr>
            <w:tcW w:w="900" w:type="dxa"/>
            <w:vAlign w:val="bottom"/>
          </w:tcPr>
          <w:p>
            <w:pPr>
              <w:spacing w:after="0"/>
              <w:rPr>
                <w:sz w:val="17"/>
                <w:szCs w:val="17"/>
                <w:color w:val="auto"/>
              </w:rPr>
            </w:pPr>
          </w:p>
        </w:tc>
        <w:tc>
          <w:tcPr>
            <w:tcW w:w="50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w:t>
            </w:r>
          </w:p>
        </w:tc>
        <w:tc>
          <w:tcPr>
            <w:tcW w:w="980" w:type="dxa"/>
            <w:vAlign w:val="bottom"/>
            <w:gridSpan w:val="2"/>
          </w:tcPr>
          <w:p>
            <w:pPr>
              <w:spacing w:after="0"/>
              <w:rPr>
                <w:sz w:val="17"/>
                <w:szCs w:val="17"/>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32.2*</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w:t>
            </w:r>
          </w:p>
        </w:tc>
      </w:tr>
      <w:tr>
        <w:trPr>
          <w:trHeight w:val="196"/>
        </w:trPr>
        <w:tc>
          <w:tcPr>
            <w:tcW w:w="90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w:t>
            </w:r>
          </w:p>
        </w:tc>
        <w:tc>
          <w:tcPr>
            <w:tcW w:w="9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101.INS</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101.SCH</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101.CAL</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101.DEF</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101.LAB</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101.PRE</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112" w:right="3020" w:hanging="514"/>
        <w:spacing w:after="0" w:line="282" w:lineRule="auto"/>
        <w:tabs>
          <w:tab w:leader="none" w:pos="11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ectPr>
          <w:pgSz w:w="11900" w:h="16838" w:orient="portrait"/>
          <w:cols w:equalWidth="0" w:num="2">
            <w:col w:w="10092" w:space="720"/>
            <w:col w:w="420"/>
          </w:cols>
          <w:pgMar w:left="328" w:top="108" w:right="339" w:bottom="1440" w:gutter="0" w:footer="0" w:header="0"/>
        </w:sectPr>
      </w:pPr>
    </w:p>
    <w:p>
      <w:pPr>
        <w:jc w:val="both"/>
        <w:ind w:left="-8" w:firstLine="8"/>
        <w:spacing w:after="0" w:line="261" w:lineRule="auto"/>
        <w:tabs>
          <w:tab w:leader="none" w:pos="4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and Exhibit 32.2 that accompanies this Quarterly Report on Form 10-Q is not deemed filed with the United States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08"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42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Venus Concept Inc.</w:t>
            </w:r>
          </w:p>
        </w:tc>
        <w:tc>
          <w:tcPr>
            <w:tcW w:w="332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2024</w:t>
            </w:r>
          </w:p>
        </w:tc>
        <w:tc>
          <w:tcPr>
            <w:tcW w:w="442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/s/ Rajiv De Silva</w:t>
            </w:r>
          </w:p>
        </w:tc>
      </w:tr>
      <w:tr>
        <w:trPr>
          <w:trHeight w:val="187"/>
        </w:trPr>
        <w:tc>
          <w:tcPr>
            <w:tcW w:w="35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Rajiv De Silva</w:t>
            </w:r>
          </w:p>
        </w:tc>
      </w:tr>
      <w:tr>
        <w:trPr>
          <w:trHeight w:val="238"/>
        </w:trPr>
        <w:tc>
          <w:tcPr>
            <w:tcW w:w="35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2024</w:t>
            </w:r>
          </w:p>
        </w:tc>
        <w:tc>
          <w:tcPr>
            <w:tcW w:w="442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/s/ Domenic Della Penna</w:t>
            </w:r>
          </w:p>
        </w:tc>
      </w:tr>
      <w:tr>
        <w:trPr>
          <w:trHeight w:val="187"/>
        </w:trPr>
        <w:tc>
          <w:tcPr>
            <w:tcW w:w="35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Domenic Della Penna</w:t>
            </w:r>
          </w:p>
        </w:tc>
      </w:tr>
      <w:tr>
        <w:trPr>
          <w:trHeight w:val="238"/>
        </w:trPr>
        <w:tc>
          <w:tcPr>
            <w:tcW w:w="35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432"/>
        </w:trPr>
        <w:tc>
          <w:tcPr>
            <w:tcW w:w="3500" w:type="dxa"/>
            <w:vAlign w:val="bottom"/>
          </w:tcPr>
          <w:p>
            <w:pPr>
              <w:spacing w:after="0"/>
              <w:rPr>
                <w:sz w:val="24"/>
                <w:szCs w:val="24"/>
                <w:color w:val="auto"/>
              </w:rPr>
            </w:pPr>
          </w:p>
        </w:tc>
        <w:tc>
          <w:tcPr>
            <w:tcW w:w="33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1" w:name="page62"/>
    <w:bookmarkEnd w:id="61"/>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Rajiv De Silva,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Venus Concept Inc.;</w:t>
      </w:r>
    </w:p>
    <w:p>
      <w:pPr>
        <w:spacing w:after="0" w:line="225"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1.Based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3.The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201"/>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360" w:hanging="215"/>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340" w:hanging="201"/>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360" w:hanging="215"/>
        <w:spacing w:after="0" w:line="282"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140" w:hanging="134"/>
        <w:spacing w:after="0" w:line="282" w:lineRule="auto"/>
        <w:rPr>
          <w:sz w:val="20"/>
          <w:szCs w:val="20"/>
          <w:color w:val="auto"/>
        </w:rPr>
      </w:pPr>
      <w:r>
        <w:rPr>
          <w:rFonts w:ascii="Times New Roman" w:cs="Times New Roman" w:eastAsia="Times New Roman" w:hAnsi="Times New Roman"/>
          <w:sz w:val="18"/>
          <w:szCs w:val="18"/>
          <w:color w:val="auto"/>
        </w:rPr>
        <w:t>4.The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20" w:hanging="201"/>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360" w:right="20" w:hanging="215"/>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tabs>
          <w:tab w:leader="none" w:pos="4240" w:val="left"/>
          <w:tab w:leader="none" w:pos="584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2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0079"/>
          </w:cols>
          <w:pgMar w:left="380" w:top="1012" w:right="1440" w:bottom="1440" w:gutter="0" w:footer="0" w:header="0"/>
        </w:sectPr>
      </w:pPr>
    </w:p>
    <w:bookmarkStart w:id="63" w:name="page64"/>
    <w:bookmarkEnd w:id="63"/>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Domenic Della Penna,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quarterly report on Form 10-Q of Venus Concept Inc.;</w:t>
      </w:r>
    </w:p>
    <w:p>
      <w:pPr>
        <w:spacing w:after="0" w:line="225"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201"/>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360" w:hanging="215"/>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340" w:hanging="201"/>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360" w:hanging="215"/>
        <w:spacing w:after="0" w:line="282"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140" w:hanging="134"/>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20" w:hanging="201"/>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360" w:right="20" w:hanging="215"/>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tabs>
          <w:tab w:leader="none" w:pos="4240" w:val="left"/>
          <w:tab w:leader="none" w:pos="558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Name: Domenic Della Penna</w:t>
      </w:r>
    </w:p>
    <w:p>
      <w:pPr>
        <w:spacing w:after="0" w:line="34"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0079"/>
          </w:cols>
          <w:pgMar w:left="380" w:top="1012" w:right="1440" w:bottom="1440" w:gutter="0" w:footer="0" w:header="0"/>
        </w:sectPr>
      </w:pPr>
    </w:p>
    <w:bookmarkStart w:id="65" w:name="page66"/>
    <w:bookmarkEnd w:id="65"/>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Rajiv De Silva, the Chief Executive Officer of Venus Concept Inc. (the “Company”), hereby certify, that, to my knowledge:</w:t>
      </w:r>
    </w:p>
    <w:p>
      <w:pPr>
        <w:spacing w:after="0" w:line="162" w:lineRule="exact"/>
        <w:rPr>
          <w:sz w:val="20"/>
          <w:szCs w:val="20"/>
          <w:color w:val="auto"/>
        </w:rPr>
      </w:pPr>
    </w:p>
    <w:p>
      <w:pPr>
        <w:ind w:left="140" w:right="20" w:hanging="134"/>
        <w:spacing w:after="0" w:line="282" w:lineRule="auto"/>
        <w:rPr>
          <w:sz w:val="20"/>
          <w:szCs w:val="20"/>
          <w:color w:val="auto"/>
        </w:rPr>
      </w:pPr>
      <w:r>
        <w:rPr>
          <w:rFonts w:ascii="Times New Roman" w:cs="Times New Roman" w:eastAsia="Times New Roman" w:hAnsi="Times New Roman"/>
          <w:sz w:val="18"/>
          <w:szCs w:val="18"/>
          <w:color w:val="auto"/>
        </w:rPr>
        <w:t>1.The Quarterly Report on Form 10-Q for the quarter ended March 31, 2024 (the “Report”) of the Company fully complies with the requirements of Section 13(a) of the Securities Exchange Act of 1934;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tabs>
          <w:tab w:leader="none" w:pos="4240" w:val="left"/>
          <w:tab w:leader="none" w:pos="584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2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0079"/>
          </w:cols>
          <w:pgMar w:left="380" w:top="1012" w:right="1440" w:bottom="1440" w:gutter="0" w:footer="0" w:header="0"/>
        </w:sectPr>
      </w:pPr>
    </w:p>
    <w:bookmarkStart w:id="67" w:name="page68"/>
    <w:bookmarkEnd w:id="67"/>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Domenic Della Penna, the Chief Financial Officer of Venus Concept Inc. (the “Company”), hereby certify, that, to my knowledge:</w:t>
      </w:r>
    </w:p>
    <w:p>
      <w:pPr>
        <w:spacing w:after="0" w:line="162" w:lineRule="exact"/>
        <w:rPr>
          <w:sz w:val="20"/>
          <w:szCs w:val="20"/>
          <w:color w:val="auto"/>
        </w:rPr>
      </w:pPr>
    </w:p>
    <w:p>
      <w:pPr>
        <w:ind w:left="140" w:right="20" w:hanging="134"/>
        <w:spacing w:after="0" w:line="282" w:lineRule="auto"/>
        <w:rPr>
          <w:sz w:val="20"/>
          <w:szCs w:val="20"/>
          <w:color w:val="auto"/>
        </w:rPr>
      </w:pPr>
      <w:r>
        <w:rPr>
          <w:rFonts w:ascii="Times New Roman" w:cs="Times New Roman" w:eastAsia="Times New Roman" w:hAnsi="Times New Roman"/>
          <w:sz w:val="18"/>
          <w:szCs w:val="18"/>
          <w:color w:val="auto"/>
        </w:rPr>
        <w:t>1.The Quarterly Report on Form 10-Q for the quarter ended March 31, 2024 (the “Report”) of the Company fully complies with the requirements of Section 13(a) of the Securities Exchange Act of 1934;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tabs>
          <w:tab w:leader="none" w:pos="4240" w:val="left"/>
          <w:tab w:leader="none" w:pos="558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Name: Domenic Della Penna</w:t>
      </w:r>
    </w:p>
    <w:p>
      <w:pPr>
        <w:spacing w:after="0" w:line="34"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0079"/>
      </w:cols>
      <w:pgMar w:left="380" w:top="12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04"/>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71" Type="http://schemas.openxmlformats.org/officeDocument/2006/relationships/hyperlink" Target="http://www.sec.gov/Archives/edgar/data/0001409269/000119312517311810/d448597dex31.htm" TargetMode="External"/><Relationship Id="rId72" Type="http://schemas.openxmlformats.org/officeDocument/2006/relationships/hyperlink" Target="http://www.sec.gov/Archives/edgar/data/0001409269/000119312519286952/d827576dex31.htm" TargetMode="External"/><Relationship Id="rId73" Type="http://schemas.openxmlformats.org/officeDocument/2006/relationships/hyperlink" Target="http://www.sec.gov/Archives/edgar/data/1409269/000114036123024193/brhc20052761_ex3-1.htm" TargetMode="External"/><Relationship Id="rId74" Type="http://schemas.openxmlformats.org/officeDocument/2006/relationships/hyperlink" Target="http://www.sec.gov/Archives/edgar/data/1409269/000114036123031431/brhc20054780_ex3-1.htm" TargetMode="External"/><Relationship Id="rId75" Type="http://schemas.openxmlformats.org/officeDocument/2006/relationships/hyperlink" Target="http://www.sec.gov/Archives/edgar/data/1409269/000114036123047079/ef20011960_ex3-1.htm" TargetMode="External"/><Relationship Id="rId76" Type="http://schemas.openxmlformats.org/officeDocument/2006/relationships/hyperlink" Target="http://www.sec.gov/Archives/edgar/data/0001409269/000119312519286952/d827576dex32.htm" TargetMode="External"/><Relationship Id="rId77" Type="http://schemas.openxmlformats.org/officeDocument/2006/relationships/hyperlink" Target="http://www.sec.gov/ix?doc=/Archives/edgar/data/1409269/000114036124009816/ef20022605_8k.htm" TargetMode="External"/><Relationship Id="rId78" Type="http://schemas.openxmlformats.org/officeDocument/2006/relationships/hyperlink" Target="http://www.sec.gov/ix?doc=/Archives/edgar/data/1409269/000114036124002904/ef20018999_8k.htm" TargetMode="External"/><Relationship Id="rId79" Type="http://schemas.openxmlformats.org/officeDocument/2006/relationships/hyperlink" Target="http://www.sec.gov/ix?doc=/Archives/edgar/data/0001409269/000114036124009816/ef20022605_8k.htm" TargetMode="External"/><Relationship Id="rId80" Type="http://schemas.openxmlformats.org/officeDocument/2006/relationships/hyperlink" Target="http://www.sec.gov/ix?doc=/Archives/edgar/data/1409269/000114036124021708/ef20027539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2024-05-15T06:26:18Z</dcterms:created>
  <dcterms:modified xsi:type="dcterms:W3CDTF">2024-05-15T06:26:18Z</dcterms:modified>
</cp:coreProperties>
</file>