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38735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62230</wp:posOffset>
            </wp:positionV>
            <wp:extent cx="1062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20" w:right="1600" w:hanging="3812"/>
        <w:spacing w:after="0" w:line="490" w:lineRule="auto"/>
        <w:tabs>
          <w:tab w:leader="none" w:pos="50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240" w:right="1580" w:hanging="3232"/>
        <w:spacing w:after="0" w:line="500" w:lineRule="auto"/>
        <w:tabs>
          <w:tab w:leader="none" w:pos="49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 to 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53975</wp:posOffset>
            </wp:positionV>
            <wp:extent cx="1062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Venus Concept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38735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p>
      <w:pPr>
        <w:spacing w:after="0" w:line="107"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06-1681204</w:t>
      </w:r>
    </w:p>
    <w:p>
      <w:pPr>
        <w:spacing w:after="0" w:line="23" w:lineRule="exact"/>
        <w:rPr>
          <w:sz w:val="24"/>
          <w:szCs w:val="24"/>
          <w:color w:val="auto"/>
        </w:rPr>
      </w:pPr>
    </w:p>
    <w:p>
      <w:pPr>
        <w:sectPr>
          <w:pgSz w:w="11900" w:h="16838" w:orient="portrait"/>
          <w:cols w:equalWidth="0" w:num="2">
            <w:col w:w="7280" w:space="720"/>
            <w:col w:w="3240"/>
          </w:cols>
          <w:pgMar w:left="320" w:top="472" w:right="33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 w:lineRule="exact"/>
        <w:rPr>
          <w:sz w:val="24"/>
          <w:szCs w:val="24"/>
          <w:color w:val="auto"/>
        </w:rPr>
      </w:pPr>
    </w:p>
    <w:p>
      <w:pPr>
        <w:sectPr>
          <w:pgSz w:w="11900" w:h="16838" w:orient="portrait"/>
          <w:cols w:equalWidth="0" w:num="2">
            <w:col w:w="7140" w:space="720"/>
            <w:col w:w="3380"/>
          </w:cols>
          <w:pgMar w:left="320" w:top="47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235 Yorkland Blvd., Suite 900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Toronto, Ontario M2J 4Y8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(877) 848-8430</w:t>
      </w:r>
    </w:p>
    <w:p>
      <w:pPr>
        <w:sectPr>
          <w:pgSz w:w="11900" w:h="16838" w:orient="portrait"/>
          <w:cols w:equalWidth="0" w:num="1">
            <w:col w:w="11240"/>
          </w:cols>
          <w:pgMar w:left="320" w:top="472" w:right="33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154940</wp:posOffset>
            </wp:positionV>
            <wp:extent cx="1062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40" w:type="dxa"/>
            <w:vAlign w:val="bottom"/>
          </w:tcPr>
          <w:p>
            <w:pPr>
              <w:spacing w:after="0"/>
              <w:rPr>
                <w:sz w:val="18"/>
                <w:szCs w:val="18"/>
                <w:color w:val="auto"/>
              </w:rPr>
            </w:pP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VERO</w:t>
            </w:r>
          </w:p>
        </w:tc>
        <w:tc>
          <w:tcPr>
            <w:tcW w:w="40" w:type="dxa"/>
            <w:vAlign w:val="bottom"/>
          </w:tcPr>
          <w:p>
            <w:pPr>
              <w:spacing w:after="0"/>
              <w:rPr>
                <w:sz w:val="18"/>
                <w:szCs w:val="18"/>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Capital Market</w:t>
            </w:r>
          </w:p>
        </w:tc>
      </w:tr>
    </w:tbl>
    <w:p>
      <w:pPr>
        <w:spacing w:after="0" w:line="181" w:lineRule="exact"/>
        <w:rPr>
          <w:sz w:val="24"/>
          <w:szCs w:val="24"/>
          <w:color w:val="auto"/>
        </w:rPr>
      </w:pPr>
    </w:p>
    <w:p>
      <w:pPr>
        <w:jc w:val="both"/>
        <w:ind w:firstLine="45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jc w:val="both"/>
        <w:ind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firstLine="45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18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9" w:lineRule="exact"/>
        <w:rPr>
          <w:sz w:val="24"/>
          <w:szCs w:val="24"/>
          <w:color w:val="auto"/>
        </w:rPr>
      </w:pPr>
    </w:p>
    <w:p>
      <w:pPr>
        <w:ind w:right="20"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3" w:lineRule="exact"/>
        <w:rPr>
          <w:sz w:val="24"/>
          <w:szCs w:val="24"/>
          <w:color w:val="auto"/>
        </w:rPr>
      </w:pPr>
    </w:p>
    <w:p>
      <w:pPr>
        <w:ind w:left="460"/>
        <w:spacing w:after="0" w:line="184" w:lineRule="exact"/>
        <w:tabs>
          <w:tab w:leader="none" w:pos="7960" w:val="left"/>
          <w:tab w:leader="none" w:pos="85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5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May 9, 2025 the registrant had 1,424,403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517525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8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2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6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440" w:type="dxa"/>
            <w:vAlign w:val="bottom"/>
            <w:gridSpan w:val="20"/>
            <w:vMerge w:val="continue"/>
          </w:tcPr>
          <w:p>
            <w:pPr>
              <w:spacing w:after="0"/>
              <w:rPr>
                <w:sz w:val="14"/>
                <w:szCs w:val="14"/>
                <w:color w:val="auto"/>
              </w:rPr>
            </w:pPr>
          </w:p>
        </w:tc>
        <w:tc>
          <w:tcPr>
            <w:tcW w:w="660" w:type="dxa"/>
            <w:vAlign w:val="bottom"/>
            <w:tcBorders>
              <w:top w:val="single" w:sz="8" w:color="auto"/>
            </w:tcBorders>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4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Condensed Consolidated Financial Statements (unaudited)</w:t>
            </w:r>
          </w:p>
        </w:tc>
        <w:tc>
          <w:tcPr>
            <w:tcW w:w="4920" w:type="dxa"/>
            <w:vAlign w:val="bottom"/>
            <w:gridSpan w:val="5"/>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1580" w:type="dxa"/>
            <w:vAlign w:val="bottom"/>
            <w:gridSpan w:val="5"/>
          </w:tcPr>
          <w:p>
            <w:pPr>
              <w:spacing w:after="0"/>
              <w:rPr>
                <w:sz w:val="17"/>
                <w:szCs w:val="17"/>
                <w:color w:val="auto"/>
              </w:rPr>
            </w:pPr>
          </w:p>
        </w:tc>
        <w:tc>
          <w:tcPr>
            <w:tcW w:w="4920" w:type="dxa"/>
            <w:vAlign w:val="bottom"/>
            <w:gridSpan w:val="5"/>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w:t>
            </w:r>
          </w:p>
        </w:tc>
        <w:tc>
          <w:tcPr>
            <w:tcW w:w="5780" w:type="dxa"/>
            <w:vAlign w:val="bottom"/>
            <w:gridSpan w:val="9"/>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Comprehensive Loss</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(Deficit</w:t>
            </w:r>
            <w:r>
              <w:rPr>
                <w:rFonts w:ascii="Times New Roman" w:cs="Times New Roman" w:eastAsia="Times New Roman" w:hAnsi="Times New Roman"/>
                <w:sz w:val="18"/>
                <w:szCs w:val="18"/>
                <w:color w:val="000000"/>
              </w:rPr>
              <w:t>)</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1280" w:type="dxa"/>
            <w:vAlign w:val="bottom"/>
            <w:gridSpan w:val="6"/>
          </w:tcPr>
          <w:p>
            <w:pPr>
              <w:spacing w:after="0"/>
              <w:rPr>
                <w:sz w:val="17"/>
                <w:szCs w:val="17"/>
                <w:color w:val="auto"/>
              </w:rPr>
            </w:pPr>
          </w:p>
        </w:tc>
        <w:tc>
          <w:tcPr>
            <w:tcW w:w="4440" w:type="dxa"/>
            <w:vAlign w:val="bottom"/>
            <w:gridSpan w:val="2"/>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2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the Condensed Consolidated Financial Statements</w:t>
            </w:r>
          </w:p>
        </w:tc>
        <w:tc>
          <w:tcPr>
            <w:tcW w:w="5180" w:type="dxa"/>
            <w:vAlign w:val="bottom"/>
            <w:gridSpan w:val="7"/>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1140" w:type="dxa"/>
            <w:vAlign w:val="bottom"/>
            <w:gridSpan w:val="2"/>
            <w:vMerge w:val="continu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68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Management’s Discussion and Analysis of Financial Condition and Results of Operations</w:t>
            </w:r>
          </w:p>
        </w:tc>
        <w:tc>
          <w:tcPr>
            <w:tcW w:w="2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3.</w:t>
            </w: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Quantitative and Qualitative Disclosures About Market Risk</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39</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4.</w:t>
            </w:r>
          </w:p>
        </w:tc>
        <w:tc>
          <w:tcPr>
            <w:tcW w:w="19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Controls and Procedures</w:t>
            </w:r>
          </w:p>
        </w:tc>
        <w:tc>
          <w:tcPr>
            <w:tcW w:w="2740" w:type="dxa"/>
            <w:vAlign w:val="bottom"/>
            <w:tcBorders>
              <w:top w:val="single" w:sz="8" w:color="0000EE"/>
            </w:tcBorders>
            <w:gridSpan w:val="9"/>
          </w:tcPr>
          <w:p>
            <w:pPr>
              <w:spacing w:after="0"/>
              <w:rPr>
                <w:sz w:val="17"/>
                <w:szCs w:val="17"/>
                <w:color w:val="auto"/>
              </w:rPr>
            </w:pPr>
          </w:p>
        </w:tc>
        <w:tc>
          <w:tcPr>
            <w:tcW w:w="478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40</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w:t>
            </w:r>
          </w:p>
        </w:tc>
        <w:tc>
          <w:tcPr>
            <w:tcW w:w="14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Legal Proceedings</w:t>
            </w:r>
          </w:p>
        </w:tc>
        <w:tc>
          <w:tcPr>
            <w:tcW w:w="800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420" w:type="dxa"/>
            <w:vAlign w:val="bottom"/>
            <w:tcBorders>
              <w:top w:val="single" w:sz="8" w:color="0000EE"/>
            </w:tcBorders>
          </w:tcPr>
          <w:p>
            <w:pPr>
              <w:spacing w:after="0"/>
              <w:rPr>
                <w:sz w:val="17"/>
                <w:szCs w:val="17"/>
                <w:color w:val="auto"/>
              </w:rPr>
            </w:pPr>
          </w:p>
        </w:tc>
        <w:tc>
          <w:tcPr>
            <w:tcW w:w="8040" w:type="dxa"/>
            <w:vAlign w:val="bottom"/>
            <w:gridSpan w:val="16"/>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2.</w:t>
            </w: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Unregistered Sales of Equity Securities and Use of Proceeds</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3.</w:t>
            </w:r>
          </w:p>
        </w:tc>
        <w:tc>
          <w:tcPr>
            <w:tcW w:w="45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Defaults Upon Senior Securities</w:t>
            </w:r>
          </w:p>
        </w:tc>
        <w:tc>
          <w:tcPr>
            <w:tcW w:w="488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4.</w:t>
            </w:r>
          </w:p>
        </w:tc>
        <w:tc>
          <w:tcPr>
            <w:tcW w:w="18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Mine Safety Disclosures</w:t>
            </w:r>
          </w:p>
        </w:tc>
        <w:tc>
          <w:tcPr>
            <w:tcW w:w="600" w:type="dxa"/>
            <w:vAlign w:val="bottom"/>
            <w:tcBorders>
              <w:top w:val="single" w:sz="8" w:color="0000EE"/>
            </w:tcBorders>
            <w:gridSpan w:val="2"/>
          </w:tcPr>
          <w:p>
            <w:pPr>
              <w:spacing w:after="0"/>
              <w:rPr>
                <w:sz w:val="17"/>
                <w:szCs w:val="17"/>
                <w:color w:val="auto"/>
              </w:rPr>
            </w:pPr>
          </w:p>
        </w:tc>
        <w:tc>
          <w:tcPr>
            <w:tcW w:w="7000" w:type="dxa"/>
            <w:vAlign w:val="bottom"/>
            <w:gridSpan w:val="11"/>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5.</w:t>
            </w: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42</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6.</w:t>
            </w:r>
          </w:p>
        </w:tc>
        <w:tc>
          <w:tcPr>
            <w:tcW w:w="14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Exhibits</w:t>
            </w:r>
          </w:p>
        </w:tc>
        <w:tc>
          <w:tcPr>
            <w:tcW w:w="800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4,271</w:t>
            </w:r>
          </w:p>
        </w:tc>
      </w:tr>
      <w:tr>
        <w:trPr>
          <w:trHeight w:val="198"/>
        </w:trPr>
        <w:tc>
          <w:tcPr>
            <w:tcW w:w="80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of $2,808 and $3,402 as of March 31, 2025, and December 31,</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 respectively</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18,721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17,561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to suppliers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48,512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Long-term receivables, net of allowance of $244 and $384 as of March 31, 2025 and December 31,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 respectively</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Severance pay funds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right-of-use assets, net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long-term assets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63,460</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68,184</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payables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 payable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Unearned interest income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Warranty accrual</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953</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30,287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31,437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severance pay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Unearned interest income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Warranty accrual</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1,997</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65,346</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(Note 14):</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as of March 31, 2025 and December 31,</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2024; 709,130 and 709,130 issued and outstanding as of March 31, 2025, and December 31, 2024,</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311,238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(321,262)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(308,899)</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63,460</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68,184</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21" w:right="339" w:bottom="835"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35"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3,593</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Products and services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17,479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1,477</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Products and services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11,647</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10,248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(7,760)</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expenses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1,668</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(9,752)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(12,366)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(9,789)</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stockholders of the Company</w:t>
            </w: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(12,363)</w:t>
            </w:r>
          </w:p>
        </w:tc>
        <w:tc>
          <w:tcPr>
            <w:tcW w:w="4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(9,794)</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shares used in per share calculation: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b w:val="1"/>
          <w:bCs w:val="1"/>
          <w:i w:val="1"/>
          <w:i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(12,366)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(9,789)</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Loss attributable to stockholders of the Company</w:t>
            </w:r>
          </w:p>
        </w:tc>
        <w:tc>
          <w:tcPr>
            <w:tcW w:w="920" w:type="dxa"/>
            <w:vAlign w:val="bottom"/>
          </w:tcPr>
          <w:p>
            <w:pPr>
              <w:spacing w:after="0"/>
              <w:rPr>
                <w:sz w:val="17"/>
                <w:szCs w:val="17"/>
                <w:color w:val="auto"/>
              </w:rPr>
            </w:pPr>
          </w:p>
        </w:tc>
        <w:tc>
          <w:tcPr>
            <w:tcW w:w="6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w w:val="97"/>
              </w:rPr>
              <w:t>(12,363)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(9,794)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attributable to non-controlling interest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(12,366)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(9,789)</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5"/>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Multi-</w:t>
            </w:r>
          </w:p>
        </w:tc>
        <w:tc>
          <w:tcPr>
            <w:tcW w:w="7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Tranche</w:t>
            </w:r>
          </w:p>
        </w:tc>
        <w:tc>
          <w:tcPr>
            <w:tcW w:w="100" w:type="dxa"/>
            <w:vAlign w:val="bottom"/>
          </w:tcPr>
          <w:p>
            <w:pPr>
              <w:spacing w:after="0"/>
              <w:rPr>
                <w:sz w:val="12"/>
                <w:szCs w:val="12"/>
                <w:color w:val="auto"/>
              </w:rPr>
            </w:pPr>
          </w:p>
        </w:tc>
        <w:tc>
          <w:tcPr>
            <w:tcW w:w="8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Series X</w:t>
            </w:r>
          </w:p>
        </w:tc>
        <w:tc>
          <w:tcPr>
            <w:tcW w:w="20" w:type="dxa"/>
            <w:vAlign w:val="bottom"/>
          </w:tcPr>
          <w:p>
            <w:pPr>
              <w:spacing w:after="0"/>
              <w:rPr>
                <w:sz w:val="12"/>
                <w:szCs w:val="12"/>
                <w:color w:val="auto"/>
              </w:rPr>
            </w:pPr>
          </w:p>
        </w:tc>
        <w:tc>
          <w:tcPr>
            <w:tcW w:w="88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Series Y</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12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100" w:type="dxa"/>
            <w:vAlign w:val="bottom"/>
          </w:tcPr>
          <w:p>
            <w:pPr>
              <w:spacing w:after="0"/>
              <w:rPr>
                <w:sz w:val="12"/>
                <w:szCs w:val="12"/>
                <w:color w:val="auto"/>
              </w:rPr>
            </w:pPr>
          </w:p>
        </w:tc>
        <w:tc>
          <w:tcPr>
            <w:tcW w:w="8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20" w:type="dxa"/>
            <w:vAlign w:val="bottom"/>
          </w:tcPr>
          <w:p>
            <w:pPr>
              <w:spacing w:after="0"/>
              <w:rPr>
                <w:sz w:val="12"/>
                <w:szCs w:val="12"/>
                <w:color w:val="auto"/>
              </w:rPr>
            </w:pPr>
          </w:p>
        </w:tc>
        <w:tc>
          <w:tcPr>
            <w:tcW w:w="88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10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12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10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0" w:type="dxa"/>
            <w:vAlign w:val="bottom"/>
          </w:tcPr>
          <w:p>
            <w:pPr>
              <w:spacing w:after="0"/>
              <w:rPr>
                <w:sz w:val="12"/>
                <w:szCs w:val="12"/>
                <w:color w:val="auto"/>
              </w:rPr>
            </w:pPr>
          </w:p>
        </w:tc>
        <w:tc>
          <w:tcPr>
            <w:tcW w:w="88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5"/>
            <w:vMerge w:val="continue"/>
          </w:tcPr>
          <w:p>
            <w:pPr>
              <w:spacing w:after="0"/>
              <w:rPr>
                <w:sz w:val="12"/>
                <w:szCs w:val="12"/>
                <w:color w:val="auto"/>
              </w:rPr>
            </w:pPr>
          </w:p>
        </w:tc>
        <w:tc>
          <w:tcPr>
            <w:tcW w:w="80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gridSpan w:val="2"/>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January 1, 2025</w:t>
            </w:r>
          </w:p>
        </w:tc>
        <w:tc>
          <w:tcPr>
            <w:tcW w:w="8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1,835,000</w:t>
            </w:r>
          </w:p>
        </w:tc>
        <w:tc>
          <w:tcPr>
            <w:tcW w:w="920" w:type="dxa"/>
            <w:vAlign w:val="bottom"/>
            <w:gridSpan w:val="5"/>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1,575,810</w:t>
            </w:r>
          </w:p>
        </w:tc>
        <w:tc>
          <w:tcPr>
            <w:tcW w:w="780" w:type="dxa"/>
            <w:vAlign w:val="bottom"/>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289,936</w:t>
            </w:r>
          </w:p>
        </w:tc>
        <w:tc>
          <w:tcPr>
            <w:tcW w:w="20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780,569</w:t>
            </w: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709,130</w:t>
            </w:r>
          </w:p>
        </w:tc>
        <w:tc>
          <w:tcPr>
            <w:tcW w:w="460" w:type="dxa"/>
            <w:vAlign w:val="bottom"/>
            <w:gridSpan w:val="2"/>
            <w:shd w:val="clear" w:color="auto" w:fill="CCEEFF"/>
          </w:tcPr>
          <w:p>
            <w:pPr>
              <w:jc w:val="right"/>
              <w:ind w:right="31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3"/>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200" w:type="dxa"/>
            <w:vAlign w:val="bottom"/>
            <w:gridSpan w:val="3"/>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3"/>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311,238</w:t>
            </w:r>
          </w:p>
        </w:tc>
        <w:tc>
          <w:tcPr>
            <w:tcW w:w="140" w:type="dxa"/>
            <w:vAlign w:val="bottom"/>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shd w:val="clear" w:color="auto" w:fill="CCEEFF"/>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rPr>
              <w:t>(308,899)</w:t>
            </w:r>
          </w:p>
        </w:tc>
        <w:tc>
          <w:tcPr>
            <w:tcW w:w="10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3"/>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469</w:t>
            </w:r>
          </w:p>
        </w:tc>
        <w:tc>
          <w:tcPr>
            <w:tcW w:w="220" w:type="dxa"/>
            <w:vAlign w:val="bottom"/>
            <w:gridSpan w:val="3"/>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2,838</w:t>
            </w:r>
          </w:p>
        </w:tc>
        <w:tc>
          <w:tcPr>
            <w:tcW w:w="0" w:type="dxa"/>
            <w:vAlign w:val="bottom"/>
          </w:tcPr>
          <w:p>
            <w:pPr>
              <w:spacing w:after="0"/>
              <w:rPr>
                <w:sz w:val="1"/>
                <w:szCs w:val="1"/>
                <w:color w:val="auto"/>
              </w:rPr>
            </w:pPr>
          </w:p>
        </w:tc>
      </w:tr>
      <w:tr>
        <w:trPr>
          <w:trHeight w:val="148"/>
        </w:trPr>
        <w:tc>
          <w:tcPr>
            <w:tcW w:w="21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loss — the Company</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8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(12,363)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(12,363)</w:t>
            </w:r>
          </w:p>
        </w:tc>
        <w:tc>
          <w:tcPr>
            <w:tcW w:w="0" w:type="dxa"/>
            <w:vAlign w:val="bottom"/>
          </w:tcPr>
          <w:p>
            <w:pPr>
              <w:spacing w:after="0"/>
              <w:rPr>
                <w:sz w:val="1"/>
                <w:szCs w:val="1"/>
                <w:color w:val="auto"/>
              </w:rPr>
            </w:pPr>
          </w:p>
        </w:tc>
      </w:tr>
      <w:tr>
        <w:trPr>
          <w:trHeight w:val="126"/>
        </w:trPr>
        <w:tc>
          <w:tcPr>
            <w:tcW w:w="2160" w:type="dxa"/>
            <w:vAlign w:val="bottom"/>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rPr>
              <w:t>Net loss — non-controlling</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8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3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w:t>
            </w: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4"/>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4"/>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tcPr>
          <w:p>
            <w:pPr>
              <w:ind w:left="340"/>
              <w:spacing w:after="0" w:line="126" w:lineRule="exact"/>
              <w:rPr>
                <w:sz w:val="20"/>
                <w:szCs w:val="20"/>
                <w:color w:val="auto"/>
              </w:rPr>
            </w:pPr>
            <w:r>
              <w:rPr>
                <w:rFonts w:ascii="Times New Roman" w:cs="Times New Roman" w:eastAsia="Times New Roman" w:hAnsi="Times New Roman"/>
                <w:sz w:val="14"/>
                <w:szCs w:val="14"/>
                <w:color w:val="auto"/>
              </w:rPr>
              <w:t>Exchange of Convertible</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Notes for Series Y Private</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379,311</w:t>
            </w:r>
          </w:p>
        </w:tc>
        <w:tc>
          <w:tcPr>
            <w:tcW w:w="20" w:type="dxa"/>
            <w:vAlign w:val="bottom"/>
          </w:tcPr>
          <w:p>
            <w:pPr>
              <w:spacing w:after="0"/>
              <w:rPr>
                <w:sz w:val="12"/>
                <w:szCs w:val="12"/>
                <w:color w:val="auto"/>
              </w:rPr>
            </w:pPr>
          </w:p>
        </w:tc>
        <w:tc>
          <w:tcPr>
            <w:tcW w:w="8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12,049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12,049</w:t>
            </w:r>
          </w:p>
        </w:tc>
        <w:tc>
          <w:tcPr>
            <w:tcW w:w="0" w:type="dxa"/>
            <w:vAlign w:val="bottom"/>
          </w:tcPr>
          <w:p>
            <w:pPr>
              <w:spacing w:after="0"/>
              <w:rPr>
                <w:sz w:val="1"/>
                <w:szCs w:val="1"/>
                <w:color w:val="auto"/>
              </w:rPr>
            </w:pPr>
          </w:p>
        </w:tc>
      </w:tr>
      <w:tr>
        <w:trPr>
          <w:trHeight w:val="171"/>
        </w:trPr>
        <w:tc>
          <w:tcPr>
            <w:tcW w:w="2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Placement shares</w:t>
            </w: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rPr>
              <w:t>2023 Series X Private</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9,061</w:t>
            </w: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8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3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Placement shares dividends</w:t>
            </w: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4"/>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4"/>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8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82"/>
        </w:trPr>
        <w:tc>
          <w:tcPr>
            <w:tcW w:w="21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March 31, 2025</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1,835,000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1,575,810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298,997</w:t>
            </w: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1,159,880</w:t>
            </w: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709,130</w:t>
            </w: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323,494</w:t>
            </w: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(321,262</w:t>
            </w:r>
          </w:p>
        </w:tc>
        <w:tc>
          <w:tcPr>
            <w:tcW w:w="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466</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2,728</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2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5"/>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2023 Multi-</w:t>
            </w:r>
          </w:p>
        </w:tc>
        <w:tc>
          <w:tcPr>
            <w:tcW w:w="6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Tranche</w:t>
            </w:r>
          </w:p>
        </w:tc>
        <w:tc>
          <w:tcPr>
            <w:tcW w:w="20" w:type="dxa"/>
            <w:vAlign w:val="bottom"/>
          </w:tcPr>
          <w:p>
            <w:pPr>
              <w:spacing w:after="0"/>
              <w:rPr>
                <w:sz w:val="12"/>
                <w:szCs w:val="12"/>
                <w:color w:val="auto"/>
              </w:rPr>
            </w:pPr>
          </w:p>
        </w:tc>
        <w:tc>
          <w:tcPr>
            <w:tcW w:w="88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Series X</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10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20" w:type="dxa"/>
            <w:vAlign w:val="bottom"/>
          </w:tcPr>
          <w:p>
            <w:pPr>
              <w:spacing w:after="0"/>
              <w:rPr>
                <w:sz w:val="12"/>
                <w:szCs w:val="12"/>
                <w:color w:val="auto"/>
              </w:rPr>
            </w:pPr>
          </w:p>
        </w:tc>
        <w:tc>
          <w:tcPr>
            <w:tcW w:w="88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10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98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0" w:type="dxa"/>
            <w:vAlign w:val="bottom"/>
          </w:tcPr>
          <w:p>
            <w:pPr>
              <w:spacing w:after="0"/>
              <w:rPr>
                <w:sz w:val="12"/>
                <w:szCs w:val="12"/>
                <w:color w:val="auto"/>
              </w:rPr>
            </w:pPr>
          </w:p>
        </w:tc>
        <w:tc>
          <w:tcPr>
            <w:tcW w:w="88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gridSpan w:val="2"/>
            <w:vMerge w:val="restart"/>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5"/>
            <w:vMerge w:val="continue"/>
          </w:tcPr>
          <w:p>
            <w:pPr>
              <w:spacing w:after="0"/>
              <w:rPr>
                <w:sz w:val="12"/>
                <w:szCs w:val="12"/>
                <w:color w:val="auto"/>
              </w:rPr>
            </w:pPr>
          </w:p>
        </w:tc>
        <w:tc>
          <w:tcPr>
            <w:tcW w:w="8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gridSpan w:val="3"/>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 January 1, 2024</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3,185,000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1,575,810</w:t>
            </w:r>
          </w:p>
        </w:tc>
        <w:tc>
          <w:tcPr>
            <w:tcW w:w="68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256,356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552,205</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31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2"/>
                <w:szCs w:val="12"/>
                <w:color w:val="auto"/>
              </w:rPr>
            </w:pPr>
          </w:p>
        </w:tc>
        <w:tc>
          <w:tcPr>
            <w:tcW w:w="200" w:type="dxa"/>
            <w:vAlign w:val="bottom"/>
            <w:gridSpan w:val="3"/>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247,854</w:t>
            </w: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(261,903)</w:t>
            </w:r>
          </w:p>
        </w:tc>
        <w:tc>
          <w:tcPr>
            <w:tcW w:w="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1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(13,449)</w:t>
            </w:r>
          </w:p>
        </w:tc>
        <w:tc>
          <w:tcPr>
            <w:tcW w:w="0" w:type="dxa"/>
            <w:vAlign w:val="bottom"/>
          </w:tcPr>
          <w:p>
            <w:pPr>
              <w:spacing w:after="0"/>
              <w:rPr>
                <w:sz w:val="1"/>
                <w:szCs w:val="1"/>
                <w:color w:val="auto"/>
              </w:rPr>
            </w:pPr>
          </w:p>
        </w:tc>
      </w:tr>
      <w:tr>
        <w:trPr>
          <w:trHeight w:val="148"/>
        </w:trPr>
        <w:tc>
          <w:tcPr>
            <w:tcW w:w="21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loss — the Company</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8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(9,794)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(9,794)</w:t>
            </w:r>
          </w:p>
        </w:tc>
        <w:tc>
          <w:tcPr>
            <w:tcW w:w="0" w:type="dxa"/>
            <w:vAlign w:val="bottom"/>
          </w:tcPr>
          <w:p>
            <w:pPr>
              <w:spacing w:after="0"/>
              <w:rPr>
                <w:sz w:val="1"/>
                <w:szCs w:val="1"/>
                <w:color w:val="auto"/>
              </w:rPr>
            </w:pPr>
          </w:p>
        </w:tc>
      </w:tr>
      <w:tr>
        <w:trPr>
          <w:trHeight w:val="149"/>
        </w:trPr>
        <w:tc>
          <w:tcPr>
            <w:tcW w:w="2960" w:type="dxa"/>
            <w:vAlign w:val="bottom"/>
            <w:gridSpan w:val="3"/>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income — non-controlling interest</w:t>
            </w:r>
          </w:p>
        </w:tc>
        <w:tc>
          <w:tcPr>
            <w:tcW w:w="12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21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8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758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26"/>
        </w:trPr>
        <w:tc>
          <w:tcPr>
            <w:tcW w:w="2960" w:type="dxa"/>
            <w:vAlign w:val="bottom"/>
            <w:gridSpan w:val="3"/>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rPr>
              <w:t>2024 Registered Direct Offering shares</w:t>
            </w:r>
          </w:p>
        </w:tc>
        <w:tc>
          <w:tcPr>
            <w:tcW w:w="120" w:type="dxa"/>
            <w:vAlign w:val="bottom"/>
            <w:shd w:val="clear" w:color="auto" w:fill="CCEEFF"/>
          </w:tcPr>
          <w:p>
            <w:pPr>
              <w:spacing w:after="0"/>
              <w:rPr>
                <w:sz w:val="10"/>
                <w:szCs w:val="10"/>
                <w:color w:val="auto"/>
              </w:rPr>
            </w:pPr>
          </w:p>
        </w:tc>
        <w:tc>
          <w:tcPr>
            <w:tcW w:w="80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80" w:type="dxa"/>
            <w:vAlign w:val="bottom"/>
            <w:gridSpan w:val="4"/>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74,342</w:t>
            </w: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3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977</w:t>
            </w: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gridSpan w:val="3"/>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and warrants, net of costs</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4"/>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4"/>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60" w:type="dxa"/>
            <w:vAlign w:val="bottom"/>
            <w:gridSpan w:val="3"/>
          </w:tcPr>
          <w:p>
            <w:pPr>
              <w:ind w:left="340"/>
              <w:spacing w:after="0" w:line="126" w:lineRule="exact"/>
              <w:rPr>
                <w:sz w:val="20"/>
                <w:szCs w:val="20"/>
                <w:color w:val="auto"/>
              </w:rPr>
            </w:pPr>
            <w:r>
              <w:rPr>
                <w:rFonts w:ascii="Times New Roman" w:cs="Times New Roman" w:eastAsia="Times New Roman" w:hAnsi="Times New Roman"/>
                <w:sz w:val="14"/>
                <w:szCs w:val="14"/>
                <w:color w:val="auto"/>
              </w:rPr>
              <w:t>2023 Series X Private Placement shares</w:t>
            </w:r>
          </w:p>
        </w:tc>
        <w:tc>
          <w:tcPr>
            <w:tcW w:w="120" w:type="dxa"/>
            <w:vAlign w:val="bottom"/>
          </w:tcPr>
          <w:p>
            <w:pPr>
              <w:spacing w:after="0"/>
              <w:rPr>
                <w:sz w:val="10"/>
                <w:szCs w:val="10"/>
                <w:color w:val="auto"/>
              </w:rPr>
            </w:pPr>
          </w:p>
        </w:tc>
        <w:tc>
          <w:tcPr>
            <w:tcW w:w="80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8,012</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dividends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2"/>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gridSpan w:val="2"/>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gridSpan w:val="2"/>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gridSpan w:val="2"/>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339</w:t>
            </w: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gridSpan w:val="2"/>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gridSpan w:val="2"/>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339</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 March 31, 2024</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gridSpan w:val="3"/>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3,185,000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1,575,810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264,368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627,305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313"/>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249,180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(271,697</w:t>
            </w:r>
          </w:p>
        </w:tc>
        <w:tc>
          <w:tcPr>
            <w:tcW w:w="22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(21,912)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Presented as $0 due to rounding.</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b w:val="1"/>
          <w:bCs w:val="1"/>
          <w:i w:val="1"/>
          <w:i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(12,366)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(9,789)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expenses and accretion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expense (recovery)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short-term and long-term</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Advances to suppliers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right-of-use assets, net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payables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Severance pay funds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Unearned interest income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(2,878)</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 Registered Direct Offering shares and warrants, net of costs of $222</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 Convertible Notes issued to EW, net of costs of $393</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Short-term Bridge Financing by Madryn, net of costs of $27</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 Beginning of period</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 End of period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5,087</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unless otherwise noted,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Venus Concept Inc. is a global medical technology company that develops, commercializes, and sells minimally invasive and non-invasive medical aesthetic and hair restoration technologies and related services. The Company's systems have been designed on cost-effective, proprietary and flexible platforms that enable it to expand beyond the aesthetic industry’s traditional markets of dermatology and plastic surgery, and into non-traditional markets, including family and general practitioners and aesthetic medical spas. The Company was incorporated in the state of Delaware on November 22, 2002. In these notes to the condensed consolidated financial statements, the “Company,” “Venus Concept,” “our,” and “we,” refer to Venus Concept Inc. and its subsidiaries on a consolidated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of Strategic Alternatives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24, 2024, the Company announced that the Board of Directors of the Company (the “Board”) is evaluating potential strategic alternatives to maximize shareholder value. As part of the process, the Board is considering a full range of strategic alternatives, which may include one or more financings, mergers, reverse mergers, other business combinations, sales of assets, licensings or other transactions.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evaluation of strategic alternatives will result in any transaction, nor can there be any assurance regarding any transaction’s timing or ultimate outcome. The Company has not set a timetable for completion of the process and does not intend to disclose developments related to the process unless and until the Company executes a definitive agreement with respect thereto, or the Board otherwise determines that further disclosure is appropriate or required.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for the foreseeable future, and, as such, the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had recurring net operating losses and negative cash flows from operations. As of March 31, 2025 and December 31, 2024, the Company had an accumulated deficit of $321,262 and $308,899, respectively, though, the Company was in compliance with all required covenants as of March 31, 2025, and December 31, 2024. The Company’s recurring losses from operations and negative cash flows raise substantial doubt about the Company’s ability to continue as a going concern within 12 months from the date that the condensed consolidated financial statements are issued. The global economy, including the financial and credit markets, has recently experienced extreme volatility and disruptions, including increasing inflation rates, rising interest rates, foreign currency impacts, trade disruptions due to tariff rate increases or proposed increases, declines in consumer confidence, and declines in economic growth. All these factors point to uncertainty about economic stability, and the severity and duration of these conditions on our business cannot be predicted, and the Company cannot assure that it will remain in compliance with the financial covenants contained within its credit facilities.</w:t>
      </w:r>
    </w:p>
    <w:p>
      <w:pPr>
        <w:spacing w:after="0" w:line="200" w:lineRule="exact"/>
        <w:rPr>
          <w:sz w:val="20"/>
          <w:szCs w:val="20"/>
          <w:color w:val="auto"/>
        </w:rPr>
      </w:pP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Until the Company generates revenue at a level to support its cost structure, the Company expects to continue to incur substantial operating losses and net cash outflows from operating activities.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the economic uncertainty in U.S. and international markets, the Company cannot anticipate the extent to which the current financial market conditions and trade disruptions will continue to adversely impact the Company’s business and the Company may need additional capital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condensed consolidated financial statements do not include any adjustments relating to the recoverability and classification of recorded asset amounts or amounts and classification of liabilities that might result from the uncertainty. Such adjustments could be material.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for the foreseeable future, and, as such, the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generally accepted accounting principles in the United States (“U.S. GAAP”) and with the instructions to Form 10-Q and Article 10 of Regulation S-X. Accordingly, they do not include all of the information and footnotes required by U.S. GAAP for complete financial statements. These condensed consolidated financial statements should be read in conjunction with the Company’s audited consolidated financial statements included in its Annual Report on Form 10-K for the year ended December 31, 2024, filed with the Securities and Exchange Commission (the “SEC”) on March 31, 2025. In the opinion of management, all adjustments (consisting only of normal recurring adjustments) considered necessary for fair presentation have been included. Operating results for the three months ended March 31, 2025 are not necessarily indicative of the results that may be expected for the year ending December 31, 2025. For further information, refer to the consolidated financial statements and footnotes thereto included in Item 8 of the Company’s most recent Annual Report on Form 10-K.</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these condensed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 The Company assessed certain accounting matters that generally require consideration of forecasted financial information in context with the information reasonably available to the Company as of March 31, 2025 and through the date of this report filing. The accounting matters assessed included, but were not limited to, the allowance for expected credit losses and the carrying value of intangible and long-lived assets.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reported in thousands within this report are computed based on the amounts in U.S. dollars. As a result, the sum of the components reported in thousands may not equal the total amount reported in thousands due to rounding. Certain columns and rows within tables may not add due to the use of rounded numbers. Percentages presented are calculated from the underlying numbers in dollars.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policies the Company follows are set forth in the Company’s audited consolidated financial statements for fiscal year 2024. For further information, refer to the consolidated financial statements and footnotes thereto included in Item 8 of the Company’s most recent Annual Report on Form 10-K. There have been no material changes to these accounting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("ASU 2023-09") Income Taxes (Topic 740): Improvements to Income Tax Disclosures. The guidance requires entities to disclose disaggregated information about their effective tax rate reconciliation as well as information on income taxes paid. The disclosure requirements will be applied on a prospective basis, with the option to apply it retrospectively. This pronouncement is effective for fiscal years beginning after December 15, 2024 and early adoption is permitted. On January 1, 2025, the adoption of ASU 2023-09 did not have a material impact on the Company’s condensed consolidated financial statements or disclosures. The Company will apply this guidance in its annual financial statements for the fiscal year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No. 2023-06 ("ASU 2023-06") Disclosure Improvements: Codification Amendments in Response to the SEC’s Disclosure Update and Simplification Initiative. This ASU was issued to clarify or improve disclosure and presentation requirements of a variety of topics, which will allow users to more easily compare entities subject to the SEC's existing disclosures with those entities that were not previously subject to the requirements, and align the requirements in the FASB accounting standard codification with the SEC's regulations. The ASU will become effective prospectively on the earlier of the date on which the SEC removes its disclosure requirements for the related disclosure or June 30, 2027. The Company is currently evaluating the provisions of the amendments and the impact on its future consolidated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shares of common stock outstanding during the period, without consideration for common stock equivalents. Diluted net loss per share is computed by dividing net loss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loss per share when their effect is dilutive.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and the weighted average number of shares used in computing basic and diluted net loss per share (in thousands,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(12,366)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(9,789)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allocated to stockholders of the Company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(12,363)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(9,794)</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used in computing net loss per share, basic</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used in computing net loss per share, diluted</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(16.92)</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net loss, all the outstanding shares of common stock equivalents were excluded from the calculation of diluted net loss per share attributable to common stockholders for the quarters ended March 31, 2025 and 2024 because including them would have been antidilutive:</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81,506</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11,309,356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815,333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convertible notes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235,788</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Warrants for common stock</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112,690</w:t>
            </w:r>
          </w:p>
        </w:tc>
        <w:tc>
          <w:tcPr>
            <w:tcW w:w="1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176,144</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potential dilutive shares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11,739,340</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1,329,003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and financial liabilities are initially recognized at fair value when the Company becomes a party to the contractual provisions of the financial instrument. Subsequently, all financial instruments are measured at amortized cost using the effective interest method.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financial instruments of the Company consist of cash and cash equivalents, restricted cash, accounts receivable, long-term receivables, lines of credit, trade payables, accrued expenses and other current liabilities, note payable, other long-term liabilities and long-term debt. In view of their nature, the fair value of these financial instruments approximates their carrying amounts.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its financial assets and financial liabilities using the fair value hierarchy. A financial instrument’s classification within the fair value hierarchy is based upon the lowest level of input that is significant to the fair value measurement. The accounting guidance establishes a three-tiered hierarchy, which prioritizes the inputs used in the valuation methodologies in measuring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in markets that are not active, or other inputs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Guaranteed investment certificates are classified within Level 2 as the Company uses alternative pricing sources and models utilizing market observable inputs for valuation.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convertible note (see Note 12) contains an embedded derivative feature that was required to be bifurcated and remeasured to fair value at each reporting period based on significant inputs not observable in the market, and is classified as a Level 3 measurement according to the fair value hierarchy described above. The changes in fair value recognized as a component of finance expenses. The fair value of derivative liability was determined using a probability-weighted expected return method (“PWERM”) using the “With and Without” approach (a form of an income approach). Under this approach various scenarios were considered to trigger the change of control, conversion, and redemption scenarios constituting the embedded derivative. The PWERM analysis contains inherent assumptions related to expected stock price volatility, conversion and redemption timing, and risk-free interest rate. Due to the use of significant unobservable inputs, the overall fair value measurement of the derivative liability is classified as Level 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Level 1, Level 2 and Level 3 financial assets and liabilities within the fair value hierarchy, and there were no transfers between Level 1, Level 2 and Level 3 for the periods presented: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Fair Value Measurements as of March 31, 2025</w:t>
      </w:r>
    </w:p>
    <w:p>
      <w:pPr>
        <w:spacing w:after="0" w:line="31" w:lineRule="exact"/>
        <w:rPr>
          <w:sz w:val="20"/>
          <w:szCs w:val="20"/>
          <w:color w:val="auto"/>
        </w:rPr>
      </w:pPr>
    </w:p>
    <w:tbl>
      <w:tblPr>
        <w:tblLayout w:type="fixed"/>
        <w:tblInd w:w="4320" w:type="dxa"/>
        <w:tblCellMar>
          <w:top w:w="0" w:type="dxa"/>
          <w:left w:w="0" w:type="dxa"/>
          <w:bottom w:w="0" w:type="dxa"/>
          <w:right w:w="0" w:type="dxa"/>
        </w:tblCellMar>
      </w:tblPr>
      <w:tr>
        <w:trPr>
          <w:trHeight w:val="187"/>
        </w:trPr>
        <w:tc>
          <w:tcPr>
            <w:tcW w:w="1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7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700" w:type="dxa"/>
            <w:vAlign w:val="bottom"/>
            <w:tcBorders>
              <w:top w:val="single" w:sz="8" w:color="auto"/>
            </w:tcBorders>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340" w:type="dxa"/>
            <w:vAlign w:val="bottom"/>
            <w:tcBorders>
              <w:top w:val="single" w:sz="8" w:color="auto"/>
            </w:tcBorders>
          </w:tcPr>
          <w:p>
            <w:pPr>
              <w:ind w:left="44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7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340" w:type="dxa"/>
            <w:vAlign w:val="bottom"/>
          </w:tcPr>
          <w:p>
            <w:pPr>
              <w:spacing w:after="0"/>
              <w:rPr>
                <w:sz w:val="20"/>
                <w:szCs w:val="20"/>
                <w:color w:val="auto"/>
              </w:rPr>
            </w:pPr>
          </w:p>
        </w:tc>
      </w:tr>
    </w:tbl>
    <w:p>
      <w:pPr>
        <w:sectPr>
          <w:pgSz w:w="11900" w:h="16838" w:orient="portrait"/>
          <w:cols w:equalWidth="0" w:num="1">
            <w:col w:w="11240"/>
          </w:cols>
          <w:pgMar w:left="320" w:top="121"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using Identical</w:t>
            </w:r>
          </w:p>
        </w:tc>
        <w:tc>
          <w:tcPr>
            <w:tcW w:w="220" w:type="dxa"/>
            <w:vAlign w:val="bottom"/>
          </w:tcPr>
          <w:p>
            <w:pPr>
              <w:spacing w:after="0"/>
              <w:rPr>
                <w:sz w:val="18"/>
                <w:szCs w:val="18"/>
                <w:color w:val="auto"/>
              </w:rPr>
            </w:pPr>
          </w:p>
        </w:tc>
        <w:tc>
          <w:tcPr>
            <w:tcW w:w="15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Inputs (Level 2)</w:t>
            </w:r>
          </w:p>
        </w:tc>
        <w:tc>
          <w:tcPr>
            <w:tcW w:w="80" w:type="dxa"/>
            <w:vAlign w:val="bottom"/>
          </w:tcPr>
          <w:p>
            <w:pPr>
              <w:spacing w:after="0"/>
              <w:rPr>
                <w:sz w:val="18"/>
                <w:szCs w:val="18"/>
                <w:color w:val="auto"/>
              </w:rPr>
            </w:pPr>
          </w:p>
        </w:tc>
        <w:tc>
          <w:tcPr>
            <w:tcW w:w="14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Inputs (Level 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spacing w:after="0"/>
              <w:rPr>
                <w:sz w:val="21"/>
                <w:szCs w:val="21"/>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3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Derivative Liability</w:t>
            </w: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920" w:type="dxa"/>
            <w:vAlign w:val="bottom"/>
            <w:gridSpan w:val="18"/>
          </w:tcPr>
          <w:p>
            <w:pPr>
              <w:ind w:left="16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2024</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Borders>
              <w:top w:val="single" w:sz="8" w:color="auto"/>
            </w:tcBorders>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4"/>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Markets using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80" w:type="dxa"/>
            <w:vAlign w:val="bottom"/>
          </w:tcPr>
          <w:p>
            <w:pPr>
              <w:spacing w:after="0"/>
              <w:rPr>
                <w:sz w:val="18"/>
                <w:szCs w:val="18"/>
                <w:color w:val="auto"/>
              </w:rPr>
            </w:pPr>
          </w:p>
        </w:tc>
        <w:tc>
          <w:tcPr>
            <w:tcW w:w="13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Derivative Liability</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products may be sold under our Venus Prime program and legacy subscription model, with unencumbered title passing to the customer at the end of the lease term, which is generally 36 months. These arrangements are considered to be sales-type leases, where the present value of all cash flows to be received under the agreement is recognized upon shipment to the customer as lease revenue. Venus Prime, launched in January 2024, is a structured in-house financing program which replaces the legacy subscription program for new customers in North America.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financing receivable is a contractual right to receive money, on demand or on fixed or determinable dates, that is recognized as an asset on the Company's condensed consolidated balance sheets. The Company's financing receivables, consisting of sales-type leases, totaled $17,757 and $19,262 as of March 31, 2025 and December 31, 2024, respectively, and are included in accounts receivable and long-term receivables on the condensed consolidated balance sheets. The Company evaluates the credit quality of an obligor at lease inception and monitors credit quality over the term of the underlying transactions.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performed an assessment of the allowance for expected credit losses as of March 31, 2025 and December 31, 2024. Based upon such assessment, the Company recorded an allowance for expected credit losses totaling $3,052 and $3,786 as of March 31, 2025, and December 31, 2024,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Company’s accounts receivables is presented below:</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accounts receivable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28,047</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31,041</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Unearned income</w:t>
            </w:r>
          </w:p>
        </w:tc>
        <w:tc>
          <w:tcPr>
            <w:tcW w:w="2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(1,271)</w:t>
            </w: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(3,786)</w:t>
            </w:r>
          </w:p>
        </w:tc>
      </w:tr>
      <w:tr>
        <w:trPr>
          <w:trHeight w:val="20"/>
        </w:trPr>
        <w:tc>
          <w:tcPr>
            <w:tcW w:w="580" w:type="dxa"/>
            <w:vAlign w:val="bottom"/>
          </w:tcPr>
          <w:p>
            <w:pPr>
              <w:spacing w:after="0" w:line="20" w:lineRule="exact"/>
              <w:rPr>
                <w:sz w:val="1"/>
                <w:szCs w:val="1"/>
                <w:color w:val="auto"/>
              </w:rPr>
            </w:pPr>
          </w:p>
        </w:tc>
        <w:tc>
          <w:tcPr>
            <w:tcW w:w="67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23,826</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25,984</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780" w:type="dxa"/>
            <w:vAlign w:val="bottom"/>
            <w:tcBorders>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Reported as: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trade receivables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unearned interest income</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(907)</w:t>
            </w: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Long-term trade receivables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unearned interest income</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w:t>
            </w:r>
          </w:p>
        </w:tc>
      </w:tr>
      <w:tr>
        <w:trPr>
          <w:trHeight w:val="20"/>
        </w:trPr>
        <w:tc>
          <w:tcPr>
            <w:tcW w:w="580" w:type="dxa"/>
            <w:vAlign w:val="bottom"/>
          </w:tcPr>
          <w:p>
            <w:pPr>
              <w:spacing w:after="0" w:line="20" w:lineRule="exact"/>
              <w:rPr>
                <w:sz w:val="1"/>
                <w:szCs w:val="1"/>
                <w:color w:val="auto"/>
              </w:rPr>
            </w:pPr>
          </w:p>
        </w:tc>
        <w:tc>
          <w:tcPr>
            <w:tcW w:w="67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23,826</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25,984</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 Venus Prime and subscription agreements are reported as part of accounts receivable. The following are the contractual commitments, net of allowance for expected credit losses, to be received by the Company over the next 5 years:</w:t>
      </w:r>
    </w:p>
    <w:p>
      <w:pPr>
        <w:spacing w:after="0" w:line="17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4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0" w:type="dxa"/>
            <w:vAlign w:val="bottom"/>
            <w:tcBorders>
              <w:bottom w:val="single" w:sz="8" w:color="CCEEFF"/>
            </w:tcBorders>
          </w:tcPr>
          <w:p>
            <w:pPr>
              <w:spacing w:after="0"/>
              <w:rPr>
                <w:sz w:val="19"/>
                <w:szCs w:val="19"/>
                <w:color w:val="auto"/>
              </w:rPr>
            </w:pPr>
          </w:p>
        </w:tc>
      </w:tr>
      <w:tr>
        <w:trPr>
          <w:trHeight w:val="178"/>
        </w:trPr>
        <w:tc>
          <w:tcPr>
            <w:tcW w:w="20" w:type="dxa"/>
            <w:vAlign w:val="bottom"/>
          </w:tcPr>
          <w:p>
            <w:pPr>
              <w:spacing w:after="0"/>
              <w:rPr>
                <w:sz w:val="15"/>
                <w:szCs w:val="15"/>
                <w:color w:val="auto"/>
              </w:rPr>
            </w:pPr>
          </w:p>
        </w:tc>
        <w:tc>
          <w:tcPr>
            <w:tcW w:w="34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Current financing receivables, net of allowance</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$558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 financing receivables, net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of $244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33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34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33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from our Venus Prime program bear interest commensurate with the customer's credit risk. Accounts receivable from our legacy subscription model do not bear interest and are typically not collateralized. The Company performs credit evaluations on new and existing customers' financial condition and maintains an allowance for expected credit losses. Uncollectible accounts are charged to expense when deemed uncollectible, and accounts receivable are presented net of an allowance for expected credit losses. Accounts receivable are deemed past due in accordance with the contractual terms of the agreement. Actual losses may differ from the Company’s estimates and could be material to its condensed consolidated balance sheets, results of operations and cash flows.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The allowance for expected credit losses consisted of the following activity:</w:t>
            </w:r>
          </w:p>
        </w:tc>
        <w:tc>
          <w:tcPr>
            <w:tcW w:w="2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264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7,415</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(5,055)</w:t>
            </w:r>
          </w:p>
        </w:tc>
      </w:tr>
      <w:tr>
        <w:trPr>
          <w:trHeight w:val="216"/>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w:t>
            </w:r>
          </w:p>
        </w:tc>
        <w:tc>
          <w:tcPr>
            <w:tcW w:w="2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100" w:type="dxa"/>
            <w:vAlign w:val="bottom"/>
          </w:tcPr>
          <w:p>
            <w:pPr>
              <w:spacing w:after="0"/>
              <w:rPr>
                <w:sz w:val="18"/>
                <w:szCs w:val="18"/>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00" w:type="dxa"/>
            <w:vAlign w:val="bottom"/>
          </w:tcPr>
          <w:p>
            <w:pPr>
              <w:spacing w:after="0"/>
              <w:rPr>
                <w:sz w:val="18"/>
                <w:szCs w:val="18"/>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(1,906)</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2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18"/>
                <w:szCs w:val="18"/>
                <w:color w:val="auto"/>
              </w:rPr>
            </w:pPr>
          </w:p>
        </w:tc>
      </w:tr>
      <w:tr>
        <w:trPr>
          <w:trHeight w:val="249"/>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2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SELECT BALANCE SHEET AND STATEMENT OF OPERATIONS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of the following:</w:t>
      </w:r>
    </w:p>
    <w:p>
      <w:pPr>
        <w:sectPr>
          <w:pgSz w:w="11900" w:h="16900"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Work-in-progress</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Finished goods</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Total inventory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1"/>
        </w:trPr>
        <w:tc>
          <w:tcPr>
            <w:tcW w:w="20" w:type="dxa"/>
            <w:vAlign w:val="bottom"/>
          </w:tcPr>
          <w:p>
            <w:pPr>
              <w:spacing w:after="0"/>
              <w:rPr>
                <w:sz w:val="16"/>
                <w:szCs w:val="16"/>
                <w:color w:val="auto"/>
              </w:rPr>
            </w:pPr>
          </w:p>
        </w:tc>
        <w:tc>
          <w:tcPr>
            <w:tcW w:w="220" w:type="dxa"/>
            <w:vAlign w:val="bottom"/>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1,496</w:t>
            </w:r>
          </w:p>
        </w:tc>
        <w:tc>
          <w:tcPr>
            <w:tcW w:w="18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1,649</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14,411</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14,254</w:t>
            </w:r>
          </w:p>
        </w:tc>
      </w:tr>
      <w:tr>
        <w:trPr>
          <w:trHeight w:val="209"/>
        </w:trPr>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17,633</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17,561</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-582295</wp:posOffset>
            </wp:positionV>
            <wp:extent cx="641223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-307975</wp:posOffset>
            </wp:positionV>
            <wp:extent cx="641223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98" w:lineRule="exact"/>
        <w:rPr>
          <w:sz w:val="20"/>
          <w:szCs w:val="20"/>
          <w:color w:val="auto"/>
        </w:rPr>
      </w:pPr>
    </w:p>
    <w:p>
      <w:pPr>
        <w:sectPr>
          <w:pgSz w:w="11900" w:h="16900" w:orient="portrait"/>
          <w:cols w:equalWidth="0" w:num="2">
            <w:col w:w="6660" w:space="720"/>
            <w:col w:w="3860"/>
          </w:cols>
          <w:pgMar w:left="320" w:top="121" w:right="339" w:bottom="0" w:gutter="0" w:footer="0" w:header="0"/>
          <w:type w:val="continuous"/>
        </w:sect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Additions to inventory are primarily comprised of newly produced units and applicators, refurbishment cost from demonstration units and used equipment which were reacquired during the period from upgraded sales. The Company expensed $4,241 and $5,119 in cost of goods sold in the three months ended March 31, 2025 and 2024, respectively. The balance of cost of goods sold represents the sale of applicators, parts, consumables and warranties.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for excess and obsolete inventories when conditions indicate that the inventory cost is not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March 31, 2025 and December 31, 2024, a provision for obsolescence of $2,417 and $1,977 was taken against inventory,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 tooling and molds</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 – 10</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 – 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up to 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 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Demo units</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5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(6,761)</w:t>
            </w: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(6,659)</w:t>
            </w:r>
          </w:p>
        </w:tc>
      </w:tr>
      <w:tr>
        <w:trPr>
          <w:trHeight w:val="20"/>
        </w:trPr>
        <w:tc>
          <w:tcPr>
            <w:tcW w:w="5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5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5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amounted to $93 and $112 for the three months ended March 31, 2025 and 2024,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68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Government remittances </w:t>
            </w:r>
            <w:r>
              <w:rPr>
                <w:rFonts w:ascii="Times New Roman" w:cs="Times New Roman" w:eastAsia="Times New Roman" w:hAnsi="Times New Roman"/>
                <w:sz w:val="24"/>
                <w:szCs w:val="24"/>
                <w:color w:val="auto"/>
                <w:vertAlign w:val="superscript"/>
              </w:rPr>
              <w:t>(1)</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receivable from subsidiaries sale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Sundry assets and miscellaneous</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Government remittances are receivables from the local tax authorities for refunds of sales taxes and income taxes.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accrual</w:t>
            </w:r>
          </w:p>
        </w:tc>
        <w:tc>
          <w:tcPr>
            <w:tcW w:w="4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Sales and consumption taxes</w:t>
            </w: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Accrual</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the details of the change in the Company’s warranty accrual:</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the beginning of the period</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Warranties issued during the period</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 incurred during the period</w:t>
            </w:r>
          </w:p>
        </w:tc>
        <w:tc>
          <w:tcPr>
            <w:tcW w:w="4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(951)</w:t>
            </w:r>
          </w:p>
        </w:tc>
      </w:tr>
      <w:tr>
        <w:trPr>
          <w:trHeight w:val="20"/>
        </w:trPr>
        <w:tc>
          <w:tcPr>
            <w:tcW w:w="580" w:type="dxa"/>
            <w:vAlign w:val="bottom"/>
          </w:tcPr>
          <w:p>
            <w:pPr>
              <w:spacing w:after="0" w:line="20" w:lineRule="exact"/>
              <w:rPr>
                <w:sz w:val="1"/>
                <w:szCs w:val="1"/>
                <w:color w:val="auto"/>
              </w:rPr>
            </w:pPr>
          </w:p>
        </w:tc>
        <w:tc>
          <w:tcPr>
            <w:tcW w:w="634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580" w:type="dxa"/>
            <w:vAlign w:val="bottom"/>
          </w:tcPr>
          <w:p>
            <w:pPr>
              <w:spacing w:after="0"/>
              <w:rPr>
                <w:sz w:val="11"/>
                <w:szCs w:val="11"/>
                <w:color w:val="auto"/>
              </w:rPr>
            </w:pPr>
          </w:p>
        </w:tc>
        <w:tc>
          <w:tcPr>
            <w:tcW w:w="634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ectPr>
          <w:pgSz w:w="11900" w:h="16900" w:orient="portrait"/>
          <w:cols w:equalWidth="0" w:num="1">
            <w:col w:w="11240"/>
          </w:cols>
          <w:pgMar w:left="320" w:top="121" w:right="339" w:bottom="0" w:gutter="0" w:footer="0" w:header="0"/>
          <w:type w:val="continuous"/>
        </w:sectPr>
      </w:pPr>
    </w:p>
    <w:bookmarkStart w:id="13" w:name="page14"/>
    <w:bookmarkEnd w:id="13"/>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2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w:t>
            </w:r>
          </w:p>
        </w:tc>
        <w:tc>
          <w:tcPr>
            <w:tcW w:w="29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r>
      <w:tr>
        <w:trPr>
          <w:trHeight w:val="229"/>
        </w:trPr>
        <w:tc>
          <w:tcPr>
            <w:tcW w:w="3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36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7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19"/>
                <w:szCs w:val="19"/>
                <w:color w:val="auto"/>
              </w:rPr>
            </w:pPr>
          </w:p>
        </w:tc>
      </w:tr>
      <w:tr>
        <w:trPr>
          <w:trHeight w:val="20"/>
        </w:trPr>
        <w:tc>
          <w:tcPr>
            <w:tcW w:w="384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details of the Company’s finance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2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34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3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on long-term debt and amortization of fees</w:t>
            </w:r>
          </w:p>
        </w:tc>
        <w:tc>
          <w:tcPr>
            <w:tcW w:w="3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finance expenses</w:t>
            </w:r>
          </w:p>
        </w:tc>
        <w:tc>
          <w:tcPr>
            <w:tcW w:w="434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1,570</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32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7. LEASES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presents the various components of lease costs.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information relating to the cash flows arising from lease transactions. Cash payments related to short-term leases are not included in the measurement of operating lease liabilities, and as such, are excluded from the amounts below.</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7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w:t>
            </w: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weighted-average lease term and discount rate for operating leases.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9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At March 31,</w:t>
            </w:r>
          </w:p>
        </w:tc>
        <w:tc>
          <w:tcPr>
            <w:tcW w:w="9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79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20" w:type="dxa"/>
            <w:vAlign w:val="bottom"/>
          </w:tcPr>
          <w:p>
            <w:pPr>
              <w:spacing w:after="0"/>
              <w:rPr>
                <w:sz w:val="18"/>
                <w:szCs w:val="18"/>
                <w:color w:val="auto"/>
              </w:rPr>
            </w:pPr>
          </w:p>
        </w:tc>
        <w:tc>
          <w:tcPr>
            <w:tcW w:w="1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1.60 yrs.</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2.83 yrs.</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r>
    </w:tbl>
    <w:p>
      <w:pPr>
        <w:spacing w:after="0" w:line="198"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maturity analysis of expected undiscounted cash flows for operating leases on an annual basis for the next five years and thereafter.</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0"/>
        </w:trPr>
        <w:tc>
          <w:tcPr>
            <w:tcW w:w="2100" w:type="dxa"/>
            <w:vAlign w:val="bottom"/>
            <w:tcBorders>
              <w:top w:val="single" w:sz="8" w:color="auto"/>
            </w:tcBorders>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2025</w:t>
            </w:r>
          </w:p>
        </w:tc>
        <w:tc>
          <w:tcPr>
            <w:tcW w:w="75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CEEFF"/>
          </w:tcPr>
          <w:p>
            <w:pPr>
              <w:spacing w:after="0"/>
              <w:rPr>
                <w:sz w:val="17"/>
                <w:szCs w:val="17"/>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7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7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9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Imputed Interest </w:t>
            </w:r>
            <w:r>
              <w:rPr>
                <w:rFonts w:ascii="Times New Roman" w:cs="Times New Roman" w:eastAsia="Times New Roman" w:hAnsi="Times New Roman"/>
                <w:sz w:val="25"/>
                <w:szCs w:val="25"/>
                <w:color w:val="auto"/>
                <w:vertAlign w:val="superscript"/>
              </w:rPr>
              <w:t>(1)</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r>
      <w:tr>
        <w:trPr>
          <w:trHeight w:val="210"/>
        </w:trPr>
        <w:tc>
          <w:tcPr>
            <w:tcW w:w="96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tcBorders>
              <w:top w:val="single" w:sz="8" w:color="CCEEFF"/>
            </w:tcBorders>
          </w:tcPr>
          <w:p>
            <w:pPr>
              <w:spacing w:after="0"/>
              <w:rPr>
                <w:sz w:val="18"/>
                <w:szCs w:val="18"/>
                <w:color w:val="auto"/>
              </w:rPr>
            </w:pPr>
          </w:p>
        </w:tc>
      </w:tr>
      <w:tr>
        <w:trPr>
          <w:trHeight w:val="20"/>
        </w:trPr>
        <w:tc>
          <w:tcPr>
            <w:tcW w:w="21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Imputed interest represents the difference between undiscounted cash flows and cash flows.</w:t>
      </w:r>
    </w:p>
    <w:p>
      <w:pPr>
        <w:spacing w:after="0" w:line="9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INTANGIBLE ASSETS</w:t>
      </w:r>
    </w:p>
    <w:p>
      <w:pPr>
        <w:sectPr>
          <w:pgSz w:w="11900" w:h="16838" w:orient="portrait"/>
          <w:cols w:equalWidth="0" w:num="1">
            <w:col w:w="11240"/>
          </w:cols>
          <w:pgMar w:left="320" w:top="121"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Brand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Technology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Supplier agreement</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Brand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Technology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Supplier agreement</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At March 31, 2025</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Amount</w:t>
            </w: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1,400</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(639)</w:t>
            </w:r>
          </w:p>
        </w:tc>
        <w:tc>
          <w:tcPr>
            <w:tcW w:w="18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761</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(1,658)</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(15,247)</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(2,140)</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10"/>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(19,684)</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-719455</wp:posOffset>
            </wp:positionV>
            <wp:extent cx="641223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-445135</wp:posOffset>
            </wp:positionV>
            <wp:extent cx="641223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-162560</wp:posOffset>
            </wp:positionV>
            <wp:extent cx="641223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74"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At 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Amount</w:t>
            </w: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1,400</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(616)</w:t>
            </w:r>
          </w:p>
        </w:tc>
        <w:tc>
          <w:tcPr>
            <w:tcW w:w="18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784</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(1,593)</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(14,553)</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(2,065)</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09"/>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-719455</wp:posOffset>
            </wp:positionV>
            <wp:extent cx="641223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-445135</wp:posOffset>
            </wp:positionV>
            <wp:extent cx="641223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-162560</wp:posOffset>
            </wp:positionV>
            <wp:extent cx="641223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20" w:space="720"/>
            <w:col w:w="56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8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 the three months ended March 31, 2025 and 2024, amortization expense was $855 and $864, respectively.</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Estimated remaining amortization expense for the next five fiscal years and all years thereafter are as follows:</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8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5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9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has non-cancellable purchase orders placed with its contract manufacturers in the amount of $14.1 million. In addition, as of March 31, 2025, the Company had $0.2 million of open purchase orders that can be cancelled with 270 days’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future service and purchase commitments with manufacturers as of March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Purchase and Service</w:t>
            </w:r>
          </w:p>
        </w:tc>
        <w:tc>
          <w:tcPr>
            <w:tcW w:w="560" w:type="dxa"/>
            <w:vAlign w:val="bottom"/>
          </w:tcPr>
          <w:p>
            <w:pPr>
              <w:spacing w:after="0"/>
              <w:rPr>
                <w:sz w:val="18"/>
                <w:szCs w:val="18"/>
                <w:color w:val="auto"/>
              </w:rPr>
            </w:pPr>
          </w:p>
        </w:tc>
      </w:tr>
      <w:tr>
        <w:trPr>
          <w:trHeight w:val="211"/>
        </w:trPr>
        <w:tc>
          <w:tcPr>
            <w:tcW w:w="56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56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2025</w:t>
            </w:r>
          </w:p>
        </w:tc>
        <w:tc>
          <w:tcPr>
            <w:tcW w:w="1440" w:type="dxa"/>
            <w:vAlign w:val="bottom"/>
            <w:shd w:val="clear" w:color="auto" w:fill="CCEEFF"/>
          </w:tcPr>
          <w:p>
            <w:pPr>
              <w:spacing w:after="0"/>
              <w:rPr>
                <w:sz w:val="17"/>
                <w:szCs w:val="17"/>
                <w:color w:val="auto"/>
              </w:rPr>
            </w:pPr>
          </w:p>
        </w:tc>
        <w:tc>
          <w:tcPr>
            <w:tcW w:w="414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13,844</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 and Thereafter</w:t>
            </w:r>
          </w:p>
        </w:tc>
        <w:tc>
          <w:tcPr>
            <w:tcW w:w="3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629"/>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3860" w:type="dxa"/>
            <w:vAlign w:val="bottom"/>
            <w:tcBorders>
              <w:top w:val="single" w:sz="8" w:color="CCEEFF"/>
            </w:tcBorders>
          </w:tcPr>
          <w:p>
            <w:pPr>
              <w:jc w:val="right"/>
              <w:ind w:right="215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MAIN STREET TERM LOAN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8, 2020, the Company executed a loan and security agreement (the "MSLP Loan Agreement"), a promissory note (the "MSLP Note"), and related documents for a loan in the aggregate amount of $50,000 for which City National Bank of Florida (“CNB”) will serve as a lender pursuant to the Main Street Priority Loan Facility as established by the Board of Governors of the Federal Reserve System Section 13(3) of the Federal Reserve Act (the “MSLP Loan”). On December 9, 2020, the MSLP Loan had been funded and the transaction was closed. The MSLP Note has a term of five years and bears interest at a rate per annum equal to 30-day LIBOR plus 3%. On December 8, 2023 and December 8, 2024, the Company must make an annual payment of principal plus accrued but unpaid interest in an amount equal to fifteen percent (15%) of the outstanding principal balance of the MSLP Note (inclusive of accrued but unpaid interest). The entire outstanding principal balance of the MSLP Note at maturity, together with all accrued and unpaid interest was due and payable in full on December 8, 2025. The Company may prepay the MSLP Loan at any time without incurring any prepayment penalties. 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other restricted payments, and to make certain changes to its ownership structure.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4, 2023, the Company, Venus Concept USA Inc. (“Venus USA”), Venus Concept Canada Corp. (“Venus Canada”) and Venus Concept Ltd. (“Venus Ltd.” and, together with Venus USA, Venus Canada and the Company, the "Loan Parties") entered into the Loan Modification Agreement with CNB, which modified certain terms of the MSLP Loan Agreement. The primary modifications of the MSLP Loan Modification were (i) the principal payment in the amount of 15% of the outstanding principal balance of the loan originally due December 31, 2023 is deferred until maturity, (ii) the principal payment in the amount of 15% of the outstanding principal balance of the loan originally due December 31, 2024 is reduced to 7.5% with the remainder deferred until maturity, (iii) the interest rate of the loan is reset from one-month LIBOR plus three percent (3%) to one-month term Secured Overnight Financing Rate (SOFR) plus three and one-quarter percent (3.25%), and (iv) Venus USA has assigned certain of its subscription sales contracts to CNB.</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18, 2024, the Company and the Guarantors entered into a Loan Modification Agreement (the “Loan Modification Agreement”) with CNB and Madryn Health Partners, LP, and certain of its affiliates (collectively, “Madryn”). The Loan Modification Agreement amends the MSLP Loan Agreement to, among other things, satisfy the 2023 Minimum Deposit Requirements (as defined in the Loan Modification Agreement) and defer the testing of the Minimum Deposit Relationship obligations set forth in the MSLP Loan Agreement for the monthly periods ending on January 31, 2024, February 28, 2024 and March 31, 2024 until April 30,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23, 2024, the MSLP Loan was purchased by Madryn for an undisclosed amount from CNB with the consent of the Company. On May 24, 2024, the MSLP Loan was amended by way of a loan amendment and consent agreement (the “MSLP Loan Amendment”) with Madryn. The MSLP Loan Amendment amended the Loan Agreement to, among other things, (i) modify the May 2024 and June 2024 interest payments to be payable-in-kind, (ii) grant certain relief from the Minimum Deposit Relationship obligations through June 7, 2024.</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24, 2024, the Company entered into an Exchange Agreement, by and among the Company, Venus USA, and Madryn (the "2024 Exchange Agreement") whereby the Company exchanged $52,142 in aggregate principal amount outstanding under the MSLP Loan Agreement for $17,142 in aggregate principal of new secured notes (“New Secured Notes”) and 576,986 shares of newly-created convertible preferred stock of the Company, designated as "Series Y Convertible Preferred Stock." The Series Y Convertible Preferred Stock is priced at $60.66 per share, being equal to the product of</w:t>
      </w:r>
    </w:p>
    <w:p>
      <w:pPr>
        <w:spacing w:after="0" w:line="3" w:lineRule="exact"/>
        <w:rPr>
          <w:sz w:val="20"/>
          <w:szCs w:val="20"/>
          <w:color w:val="auto"/>
        </w:rPr>
      </w:pPr>
    </w:p>
    <w:p>
      <w:pPr>
        <w:jc w:val="both"/>
        <w:ind w:firstLine="8"/>
        <w:spacing w:after="0" w:line="255" w:lineRule="auto"/>
        <w:tabs>
          <w:tab w:leader="none" w:pos="2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closing price (as reflected on Nasdaq.com) of the Company's common stock for the five trading days immediately preceding date of the 2024 Exchange Agreement, multiplied by (ii) 100. The New Secured Notes follow the same terms as the MSLP Loan Agreement. As part of the extinguishment of principal, the Company recognized a $10.9 million non-cash loss.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7, 2024, the Loan Parties entered into a consent agreement with Madryn to amend the MSLP Loan Amendment to, among other things, grant certain relief from minimum liquidity requirements under the MSLP Loan Amendment. On June 21, 2024, the Loan Parties entered into an Amendment and Consent Agreement with the Lenders to, among other things, (i) modify the July 2024 interest payment to be payable-in-kind, (ii) grant relief from the Minimum Deposit Relationship obligations through July 8,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8, 2024, the Loan Parties entered into a loan amendment and consent agreement with the Lenders to, among other things, grant relief under the MSLP Loan Agreement, as amended, such that (i) certain minimum liquidity requirements under the MSLP Loan Agreement are waived through August 2, 2024, and (ii) certain operating covenants for the June 30, 2024 measurement period were deleted.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29, 2024, the Loan Parties entered into a consent agreement with the Lenders which granted relief under the MSLP Loan Agreement, such that (i) certain minimum liquidity requirements under the MSLP Loan Agreement are waived through August 30, 2024, and (ii) permit Venus USA to apply the August 8, 2024 cash interest payment due to the respective outstanding principal balance of each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30, 2024, the Loan Parties entered into a consent agreement with the Lenders which granted relief under the MSLP Loan Agreement, such that</w:t>
      </w:r>
    </w:p>
    <w:p>
      <w:pPr>
        <w:spacing w:after="0" w:line="27" w:lineRule="exact"/>
        <w:rPr>
          <w:sz w:val="20"/>
          <w:szCs w:val="20"/>
          <w:color w:val="auto"/>
        </w:rPr>
      </w:pPr>
    </w:p>
    <w:p>
      <w:pPr>
        <w:ind w:right="20" w:firstLine="8"/>
        <w:spacing w:after="0" w:line="260" w:lineRule="auto"/>
        <w:tabs>
          <w:tab w:leader="none" w:pos="2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minimum liquidity requirements under the MSLP Loan Agreement are waived through September 30, 2024, and (ii) permit Venus USA to apply the September 8, 2024 cash interest payment due to the respective outstanding principal balance of each Note.</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on September 26, 2024, the Company entered into the Second 2024 Exchange Agreement whereby the Company exchanged $17,662 of the balance outstanding under the MSLP Loan Agreement for $2,662 in aggregate principal amount outstanding under the MSLP Loan Agreement and 203,583 shares of Series Y Convertible Preferred Stock. As part of the extinguishment of principal, the Company recognized a $0.5 million non-cash loss. Also, on September 26, 2024 the Loan Parties entered into a Third Loan Amendment which, among other things, (i) modify the October 2024 interest payment to be payable-in-kind, (ii) delete the net loss covenant, and (iii) grant relief from minimum liquidity requirements.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31, 2024, the Loan Parties entered into a consent agreement with the Lenders which granted relief under the MSLP Loan Agreement, such that (i) certain minimum liquidity requirements under the MSLP Loan Agreement are waived through November 30, 2024, and (ii) permit Venus USA to apply the November 8, 2024 cash interest payment due to the respective outstanding principal balance of each Note.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26, 2024, the Loan Parties entered into a consent agreement with the Lenders which granted relief under the MSLP Loan Agreement, such that (i) certain minimum liquidity requirements under the MSLP Loan Agreement are waived through December 31, 2024, (ii) permit Venus USA to</w:t>
      </w:r>
    </w:p>
    <w:p>
      <w:pPr>
        <w:sectPr>
          <w:pgSz w:w="11900" w:h="16846" w:orient="portrait"/>
          <w:cols w:equalWidth="0" w:num="1">
            <w:col w:w="11240"/>
          </w:cols>
          <w:pgMar w:left="320" w:top="121" w:right="339" w:bottom="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apply the December 8, 2024 cash interest payment due to the respective outstanding principal balance of each Note, and (iii) defer the previously scheduled December 2024 principal payment to maturity.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31, 2024, the Loan Parties entered into a consent agreement with the Lenders which granted relief under the MSLP Loan Agreement, such that (i) certain minimum liquidity requirements under the MSLP Loan Agreement are waived through January 31, 2025, and (ii) permit Venus USA to apply the January 8, 2025 cash interest payment due to the respective outstanding principal balance of each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28, 2025, the Loan Parties entered into a consent agreement with the Lenders which granted relief under the MSLP Loan Agreement, such that</w:t>
      </w:r>
    </w:p>
    <w:p>
      <w:pPr>
        <w:spacing w:after="0" w:line="27" w:lineRule="exact"/>
        <w:rPr>
          <w:sz w:val="20"/>
          <w:szCs w:val="20"/>
          <w:color w:val="auto"/>
        </w:rPr>
      </w:pPr>
    </w:p>
    <w:p>
      <w:pPr>
        <w:ind w:right="20" w:firstLine="8"/>
        <w:spacing w:after="0" w:line="260" w:lineRule="auto"/>
        <w:tabs>
          <w:tab w:leader="none" w:pos="2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minimum liquidity requirements under the MSLP Loan Agreement are waived through February 28, 2025, and (ii) to permit Venus USA to apply the February 8, 2025 cash interest payment due to the respective outstanding principal balance of each Note.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Amendment and Consent Agreement also granted relief under the MSLP Loan Agreement, such that (i) certain minimum liquidity requirements under the MSLP Loan Agreement are waived through March 31, 2025, and (ii) permit Venus USA to apply the March 8, 2025 cash interest payment due under each Note (as defined in the Amendment and Consent Agreement) to the respective outstanding principal balance of each Note.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28, 2025, the Loan Parties entered into an Amendment and Consent Agreement with the Lenders (the “Amendment and Consent Agreement”), to extend the maturity date of the MSLP Loan Agreement from December 8, 2025 to December 8, 2026.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27, 2025, the Loan Parties entered into a Consent Agreement with the Lenders (the “March 2025 Consent Agreement”). The March 2025 Consent Agreement granted relief under the MSLP Loan Agreement, such that (i) certain minimum liquidity requirements under the MSLP Loan Agreement are waived through April 30, 2025, and (ii) permit Venus USA to apply the April 8, 2025 cash interest payment due under each Note (as defined in the Consent Agreement) to the respective outstanding principal balance of each Note.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the Company was in compliance with all required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payments, inclusive of principal and estimated interest, on the outstanding borrowings as of March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100" w:type="dxa"/>
            <w:vAlign w:val="bottom"/>
          </w:tcPr>
          <w:p>
            <w:pPr>
              <w:spacing w:after="0"/>
              <w:rPr>
                <w:sz w:val="20"/>
                <w:szCs w:val="20"/>
                <w:color w:val="auto"/>
              </w:rPr>
            </w:pPr>
          </w:p>
        </w:tc>
      </w:tr>
      <w:tr>
        <w:trPr>
          <w:trHeight w:val="209"/>
        </w:trPr>
        <w:tc>
          <w:tcPr>
            <w:tcW w:w="4540" w:type="dxa"/>
            <w:vAlign w:val="bottom"/>
            <w:shd w:val="clear" w:color="auto" w:fill="CCEEFF"/>
          </w:tcPr>
          <w:p>
            <w:pPr>
              <w:jc w:val="right"/>
              <w:ind w:right="4090"/>
              <w:spacing w:after="0"/>
              <w:rPr>
                <w:sz w:val="20"/>
                <w:szCs w:val="20"/>
                <w:color w:val="auto"/>
              </w:rPr>
            </w:pPr>
            <w:r>
              <w:rPr>
                <w:rFonts w:ascii="Times New Roman" w:cs="Times New Roman" w:eastAsia="Times New Roman" w:hAnsi="Times New Roman"/>
                <w:sz w:val="18"/>
                <w:szCs w:val="18"/>
                <w:color w:val="auto"/>
                <w:w w:val="94"/>
              </w:rPr>
              <w:t>2025</w:t>
            </w:r>
          </w:p>
        </w:tc>
        <w:tc>
          <w:tcPr>
            <w:tcW w:w="45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4540" w:type="dxa"/>
            <w:vAlign w:val="bottom"/>
          </w:tcPr>
          <w:p>
            <w:pPr>
              <w:jc w:val="right"/>
              <w:ind w:right="4090"/>
              <w:spacing w:after="0"/>
              <w:rPr>
                <w:sz w:val="20"/>
                <w:szCs w:val="20"/>
                <w:color w:val="auto"/>
              </w:rPr>
            </w:pPr>
            <w:r>
              <w:rPr>
                <w:rFonts w:ascii="Times New Roman" w:cs="Times New Roman" w:eastAsia="Times New Roman" w:hAnsi="Times New Roman"/>
                <w:sz w:val="18"/>
                <w:szCs w:val="18"/>
                <w:color w:val="auto"/>
                <w:w w:val="94"/>
              </w:rPr>
              <w:t>2026</w:t>
            </w:r>
          </w:p>
        </w:tc>
        <w:tc>
          <w:tcPr>
            <w:tcW w:w="40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tcPr>
          <w:p>
            <w:pPr>
              <w:spacing w:after="0"/>
              <w:rPr>
                <w:sz w:val="18"/>
                <w:szCs w:val="18"/>
                <w:color w:val="auto"/>
              </w:rPr>
            </w:pPr>
          </w:p>
        </w:tc>
      </w:tr>
      <w:tr>
        <w:trPr>
          <w:trHeight w:val="230"/>
        </w:trPr>
        <w:tc>
          <w:tcPr>
            <w:tcW w:w="4540" w:type="dxa"/>
            <w:vAlign w:val="bottom"/>
            <w:shd w:val="clear" w:color="auto" w:fill="CCEEFF"/>
          </w:tcPr>
          <w:p>
            <w:pPr>
              <w:jc w:val="right"/>
              <w:ind w:right="3910"/>
              <w:spacing w:after="0"/>
              <w:rPr>
                <w:sz w:val="20"/>
                <w:szCs w:val="20"/>
                <w:color w:val="auto"/>
              </w:rPr>
            </w:pPr>
            <w:r>
              <w:rPr>
                <w:rFonts w:ascii="Times New Roman" w:cs="Times New Roman" w:eastAsia="Times New Roman" w:hAnsi="Times New Roman"/>
                <w:sz w:val="18"/>
                <w:szCs w:val="18"/>
                <w:color w:val="auto"/>
              </w:rPr>
              <w:t>Total</w:t>
            </w:r>
          </w:p>
        </w:tc>
        <w:tc>
          <w:tcPr>
            <w:tcW w:w="45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3,130</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MADRYN DEBT AND CONVERTIBLE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11, 2016, Venus Ltd. entered into a credit agreement as a guarantor with Madryn, as amended (the “Madryn Credit Agreement”), pursuant to which Madryn agreed to make certain loans to certain of Venus Concept’s subsidiaries.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9, 2020, contemporaneously with the MSLP Loan Agreement (Note 10), the Company and its subsidiaries, Venus USA, Venus Ltd., Venus Canada, and the Madryn Noteholders (as defined below), entered into a securities exchange agreement (the "Exchange Agreement") dated as of December 8, 2020, pursuant to which the Company on December 9, 2020 (i) repaid $42.5 million aggregate principal amount owed under the Madryn Credit Agreement, and (ii) issued to Madryn Health Partners (Cayman Master), LP and Madryn Health Partners, LP (together, the "Madryn Noteholders") secured subordinated convertible notes in the aggregate principal amount of $26.7 million (the "Notes"). The Madryn Credit Agreement was terminated effective December 9, 2020 upon the funding and closing of the MSLP Loan and the issuance of the Notes.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4, 2023, the Company entered into a securities exchange agreement (the "2023 Exchange Agreement") with the Madryn Noteholders. Pursuant to the 2023 Exchange Agreement, the Madryn Noteholders agreed to exchange (the "Exchange") $26.695 million in aggregate principal amount of outstanding secured convertible notes of the Company for (i) secured subordinated convertible notes in aggregate principal amount of $22.792 million (the “New Convertible Notes”) and (ii) 248,755 shares of newly-created convertible preferred stock of the Company, par value $0.0001 per share designated as "Series X Convertible Preferred Stock" (the "Series X Preferred Stock"). The Series X Preferred Stock is priced at $20.10 per share, being equal to the "Minimum Price" as set forth in Nasdaq Listing Rule 5635(d), multiplied by ten. The New Convertible Notes accrue interest at a rate of 3-month adjusted term Secured Overnight Financing Rate (SOFR) plus 8.50% per annum. In the case of an event of default under the New Convertible Notes, the then-applicable interest rate will increase by four percent (4.00%) per annum. Interest is payable in kind in arrears on the last business day of each calendar quarter of each year after the original issuance date, beginning on December 31, 2023. The New Convertible Notes mature on December 9, 2025, unless earlier redeemed or converted. As part of the extinguishment of principal, the Company recognized a $2.0 million loss.</w:t>
      </w:r>
    </w:p>
    <w:p>
      <w:pPr>
        <w:spacing w:after="0" w:line="1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May 24, 2024, as required by the 2024 Exchange Agreement (Note 10), the New Convertible Notes were amended to, among other things, align the covenant protections in favor of the Madryn Noteholders with the MSLP Loan Agreement, as amended by the MSLP Loan Amendment.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28, 2025, the Loan Parties and Holders entered into an Amendment to Secured Subordinated Convertible Notes agreement (the “Madryn Note Amendment”). The Madryn Note Amendment amended the New Notes to extend the maturity date of the New Notes from December 9, 2025 to December 9, 2026.</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31, 2025, the Company entered into an Exchange Agreement (the "2025 Exchange Agreement"), by and among the Company and the Madryn Noteholders whereby the Company exchanged $28,016 in aggregate principal amount outstanding under the New Secured Notes and 379,311 shares of Series Y Preferred Stock. The Series Y Preferred Stock is priced at $29.00 per share, being equal to the product of (i) the average closing price (as reflected on Nasdaq.com) of the Company's common stock for the five trading days immediately preceding date of the 2025 Exchange Agreement, multiplied by (ii) 9.0909. The New Secured Notes follow the same terms as the existing New Notes. As part of the extinguishment of principal, the Company recognized a $1,049 non-cash loss.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approximately $17,016 principal and interest of convertible notes outstanding that were issued pursuant to the 2025 Exchange Agreement.</w:t>
      </w:r>
    </w:p>
    <w:p>
      <w:pPr>
        <w:sectPr>
          <w:pgSz w:w="11900" w:h="16838" w:orient="portrait"/>
          <w:cols w:equalWidth="0" w:num="1">
            <w:col w:w="11240"/>
          </w:cols>
          <w:pgMar w:left="320" w:top="121" w:right="339" w:bottom="19"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New Convertible Notes and Notes, the Company recognized interest expense of $915 and $834 during the three months ended March 31, 2025 and 2024, respectively. The conversion feature, providing the Madryn Noteholders with a right to receive the Company’s shares upon conversion of the New Convertible Notes and Notes, was qualified for a scope exception in ASC 815-10-15 and did not require bifurcation. The New Convertible Notes and Notes also contained embedded redemption features that provided multiple redemption alternatives. Certain redemption features provided the Madryn Noteholders with a right to receive cash and a variable number of shares upon change of control and an event of default (as defined in the New Notes and Notes). The Company evaluated redemption upon change of control and an event of default under ASC 815, Derivatives and Hedging, and determined that these two redemption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condensed consolidated statements of operations.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scheduled payments, inclusive of principal and interest, on the outstanding borrowings of the Notes and New Convertible Notes as of March 31, 2025 totals $21,365 and are due in 2026. For the three months ended March 31, 2025, the Company did not make any principal repayments.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Bridge Financing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23, 2024, the Company entered into a Loan and Security Agreement (the “Loan and Security Agreement”), by and among Venus USA, (the “Bridge Borrower”), Venus Canada, Venus Ltd. (Venus Ltd., together with the Company and Venus Canada, the “2024 Guarantors,” and together with the Bridge Borrower, the “Bridge Financing Loan Parties”) and, each lender party thereto (collectively, the “2024 Lenders”) and Madryn Health Partners, LP, as administrative agent. Pursuant to the Loan and Security Agreement, the 2024 Lenders agreed to provide the Bridge Borrower with bridge financing in the form of a term loan in the original principal amount of $2,238 and one or more delayed draw term loans of up to an additional principal amount of $2,762 (the “Bridge Financing”). The Bridge Financing originally had a maturity date of May 26, 2024. Pursuant to the Loan and Security Agreement, each of the 2024 Guarantors, jointly and severally, guarantee, that the Obligations (as defined in the Loan and Security Agreement) will be performed and paid in full when due and payable.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Loan and Security Agreement will bear interest at a rate per annum equal to 12%, due at maturity. The Loan and Security Agreement also provides that all present and future indebtedness and the obligations of the Bridge Borrower to Madryn Health Partners, LP shall be secured by a priority security interest in all real and personal property collateral of the Bridge Financing Loan Parties.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Loan and Security Agreement contains customary representations, warranties and affirmative and negative covenants. In addition, the Loan and Security Agreement contains customary events of default that entitle Madryn Health Partners, LP to cause the Bridge Borrower’s indebtedness under the Loan and Security Agreement to become immediately due and payable, and to exercise remedies against the Bridge Financing Loan Parties and the collateral securing the Bridge Financing. Under the Loan and Security Agreement, an event of default will occur if, among other things, any of the Bridge Financing Loan Parties fails to make payments under the Loan and Security Agreement, any of the Bridge Financing Loan Parties breaches any of the covenants under the Loan and Security Agreement, a Change of Control (as defined in the Loan and Security Agreement) occurs, any of the Bridge Financing Loan Parties, or its assets, become subject to certain legal proceedings, such as bankruptcy proceedings. Upon the occurrence and for the duration of an event of default, a default interest rate equal to 15.0% per annum will apply to all obligations owed under the Loan and Security Agreement.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24, 2024, the Loan and Security Agreement was amended to extend the maturity date from May 26, 2024 to June 7, 2024. On June 7, 2024, the Loan Parties entered into a Second Bridge Loan Amendment Agreement which further extended the maturity date of the Bridge Financing from June 7, 2024 to June 21, 2024. On June 21, 2024, the Bridge Financing Loan Parties entered into a Third Bridge Loan Amendment Agreement with the 2024 Lenders which further extended the maturity date of the Bridge Financing from June 21, 2024 to July 8,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8, 2024, the Bridge Financing Loan Parties entered into a Fourth Bridge Loan Amendment Agreement (the “Fourth Bridge Loan Amendment”). The Fourth Bridge Loan Amendment amended the Loan and Security Agreement to extend the maturity date of the bridge loan from July 8, 2024 to August 2,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26, 2024, the 2024 Lenders agreed to provide the Bridge Borrower with a subsequent drawdown under the Loan and Security Agreement in the principal amount of $1,000 (the “July Drawdown”). The July Drawdown was fully funded on July 26, 2024.</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July 29, 2024, the Bridge Financing Loan Parties entered into a Fifth Bridge Loan Amendment Agreement (the “Fifth Bridge Loan Amendment”). The Fifth Bridge Loan Amendment amended the Loan and Security Agreement to, among other things, (i) modify the availability period for subsequent drawdowns under the Bridge Financing from ten days to two days prior to the maturity date, (ii) increase the Delayed Draw Commitment, as defined in the Loan and Security Agreement, from $2,762 to $3,000, and (iii) extend the maturity date of the Bridge Financing from August 2, 2024 to August 30,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30, 2024 the Bridge Financing Loan Parties entered into a Sixth Bridge Loan Amendment Agreement which extended the maturity date of the Bridge Financing from August 30, 2024 to September 30,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11, 2024, the 2024 Lenders agreed to provide the Bridge Borrower with a subsequent drawdown under the Loan and Security Agreement in the principal amount of $1,000, which was fully funded on September 11,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26, 2024, the Bridge Financing Loan Parties entered into a Seventh Bridge Loan Amendment Agreement which extended the maturity date of the Bridge Financing from September 30, 2024 to October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30, 2024, the 2024 Lenders agreed to provide the Bridge Borrower with a subsequent drawdown under the Loan and Security Agreement in the principal amount of $1,000, which was fully funded on November 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31, 2024, the Bridge Financing Loan Parties entered into an Eighth Bridge Loan Amendment Agreement which extended the maturity date of the Bridge Financing from October 31, 2024 to November 30,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26, 2024, the Bridge Financing Loan Parties entered into a Ninth Bridge Loan Amendment Agreement which (i) increased the Delayed Draw Commitment from $3,000 to $6,000, and (ii) extended the maturity date of the Bridge Financing from November 30, 2024 to December 31, 2024. The 2024 Lenders also agreed to provide the Bridge Borrower with a subsequent drawdown under the Loan and Security Agreement in the principal amount of $1,200, which was fully funded on November 26,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5, 2024, the 2024 Lenders agreed to provide the Bridge Borrower with a subsequent drawdown under the Loan and Security Agreement in the principal amount of $1,500, which was fully funded on December 9, 2024.</w:t>
      </w:r>
    </w:p>
    <w:p>
      <w:pPr>
        <w:sectPr>
          <w:pgSz w:w="11900" w:h="16838" w:orient="portrait"/>
          <w:cols w:equalWidth="0" w:num="1">
            <w:col w:w="11240"/>
          </w:cols>
          <w:pgMar w:left="320" w:top="121" w:right="339" w:bottom="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31, 2024, the Bridge Financing Loan Parties entered into a Tenth Bridge Loan Amendment Agreement which extended the maturity date of the Bridge Financing from December 31, 2024 to January 31,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27, 2025, the 2024 Lenders agreed to provide the Bridge Borrower with a subsequent drawdown under the Loan and Security Agreement in the principal amount of $3,000 (the “Sixth Delayed Drawdown”). The Sixth Delayed Drawdown was fully funded on January 28, 2024 following the effectiveness of the Eleventh Bridge Loan Amendment.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28, 2025, the Bridge Financing Loan Parties entered into an Eleventh Bridge Loan Amendment Agreement which (i) increased the Delayed Draw Commitment, as defined in the Loan and Security Agreement, from $6,000 to $11,000 and (ii) extend the maturity date of the Bridge Financing from January 31, 2025 to February 28, 2025.</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21, 2025, the 2024 Lenders agreed to provide the Bridge Borrower with a subsequent drawdown under the Loan and Security Agreement in the principal amount of $2,300 (the “Seventh Delayed Drawdown”). The Seventh Delayed Drawdown was partially funded on February 21, 2025 in the amount of $2,000 with the remainder funded on March 25,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28, 2025, the Bridge Financing Loan Parties entered into a Twelfth Bridge Loan Amendment Agreement which extended the maturity date of the Bridge Financing from February 28, 2025 to March 31,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27, 2025, the Bridge Financing Loan Parties entered into a Thirteenth Bridge Loan Amendment Agreement which (i) extended the maturity date of the Bridge Financing from March 31, 2025 to April 30, 2025 and (ii) increase the Delayed Draw Commitment, as defined in the Loan and Security Agreement, from $11,000 to $21,000.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payments, inclusive of principal and interest of $14,194 million will be paid at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the Company did not make any principal payments.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EW CONVERTIBLE NOTES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18, 2024, the Company, Venus USA, Venus Canada and Venus Ltd (the “Guarantors”) entered into a Note Purchase and Registration Rights Agreement (the “Note Purchase Agreement”) with EW Healthcare Partners, L.P. (“EW”) and EW Healthcare Partners-A, L.P. (“EW-A,” and together with EW, the “EW Investors”). Pursuant to the Note Purchase Agreement, the Company issued and sold to the EW Investors $2.0 million in aggregate principal amount of secured subordinated convertible notes (the “2024 Notes").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2024 Notes accrue interest at a rate equal to the 90-day adjusted term Secured Overnight Financing Rate (SOFR) plus 8.50% per annum; provided, however, that if there is an Event of Default (as defined below), the then-applicable interest rate will increase by 4.00% per annum. Interest is payable in kind in arrears on the last business day of each calendar quarter of each year after the original issuance date, beginning on March 31, 2024. The 2024 Notes mature on December 9, 2025, unless earlier redeemed or converted, at which time all outstanding principal and interest is payable in cash, except as described below. At any time prior to the maturity date, a holder may convert the 2024 Notes at their option into shares of common stock at the then-applicable conversion rate. The initial conversion rate is 72.6691 shares of common stock per one-thousand principal amount of 2024 Notes, which represents an initial conversion price of approximately $13.761 per share of common stock. The conversion rate is subject to customary anti-dilution adjustments. The 2024 Notes are redeemable, in whole and not in part, at the Company’s option at any time, at a redemption price equal to the principal amount of the 2024 Notes to be redeemed, plus accrued and unpaid interest, if any, to, the redemption date, plus a redemption premium. The Company’s redemption option is subject to satisfaction of the conditions set forth in the 2024 Notes, including that a registration statement covering the resale of the shares of common stock issuable upon conversion of the 2024 Notes is effective and available for use.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2024 Notes have customary provisions relating to the occurrence of “Events of Default,” as defined in the 2024 Notes. If an Event of Default occurs, then the EW Investors may, subject to the terms of the CNB Subordination Agreement (as defined below), (i) declare the outstanding principal amount of the 2024 Notes, all accrued and unpaid interest and all other amounts owing under the 2024 Notes and other transaction documents entered into in connection therewith to be immediately become due and payable, without any further action or notice by any person, and (ii) exercise all rights and remedies available to them under the 2024 Notes, the EW Security Agreement (as defined below) and any other document entered into in connection with the foregoing. The 2024 Notes constitute the Company’s secured, subordinated obligations and are (i) equal in right of payment with the Company’s existing and future senior unsecured indebtedness; (ii) senior in right of payment to the Company’s existing and future indebtedness that is expressly subordinated to the 2024 Notes; and (iii) subordinated to the Company’s existing secured indebtedness in a manner consistent with the Existing Subordination Agreements (as defined below).</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18, 2024, the Company and the Guarantors entered into a Guaranty and Security Agreement (the “EW Security Agreement”) with EW, as collateral agent. Pursuant to the EW Security Agreement, the Guarantors jointly and severally guaranteed to the EW Investors the prompt payment of all outstanding amounts under the 2024 Notes when due. The Guarantors also granted to the EW Investors a security interest in substantially all of their assets to secure the obligations under the 2024 Notes.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EW Security Agreement, during the continuance of an Event of Default under the 2024 Notes, if the Company is unable to repay all outstanding amounts under the 2024 Notes, the EW Investors may, subject to the terms of the CNB Subordination Agreement (as defined below), foreclose on the collateral to collateralize such indebtedness. Any such foreclosure could significantly affect the Company’s ability to operate its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EW Security Agreement contains various covenants that limit the Company’s ability to engage in specified types of transactions. Subject to limited exceptions, these covenants include restrictions on the Company’s ability, to incur, create or permit to exist additional indebtedness, or liens, and to make certain changes to its ownership structure, in each case without the Investor’s consent.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18, 2024, the Company and the Guarantors entered into a Subordination of Debt Agreement (the “CNB Subordination Agreement”) with CNB and the EW Investors. The CNB Subordination Agreement provides that the 2024 Notes are subordinated to the Company’s existing secured indebtedness with CNB, in a manner consistent with the subordination of the Secured Subordinated Convertible Notes, dated October 4, 2023 (the “Madryn Notes”), issued to Madryn pursuant to those certain existing Subordination of Debt Agreements, dated as of December 8, 2020 entered into by the Company and the Guarantors, CNB, and Madryn (the “Existing Subordination Agreements”). The 2024 Notes and the Madryn Notes are secured by the same collateral, except that the 2024 Notes also receive a first priority perfected security interest and lien on the Company’s right to receive certain amounts from the Internal Revenue Service in respect of certain employee retention credits claimed by the Company (defined in the Notes as the “ERC Claim”).</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28, 2025, Guarantors and EW Investors entered into an Amendment to Secured Subordinated Convertible Notes agreement (the “EW Note Amendment”). The EW Note Amendment amends the EW Notes to extend the maturity date of the EW Notes from December 9, 2025 to December 9, 2026.</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approximately $2.4 million principal and interest of the 2024 convertible notes outstanding that were issued pursuant to the Note Purchase Agreement (as defined below).</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2024 Notes, the Company recognized interest expense of $78,000 and $57,000 during the three months ended March 31, 2025, respectively. The 2024 Notes contained a conversion option, redemption right upon an event of default, change of control scenario, and interest rate penalty upon an event of default which were evaluated under ASC 815, Derivatives and Hedging, and determined that these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condensed consolidated statements of operations. The fair value of the embedded derivative liability at issuance and as of March 31, 2025 were $0.9 million and $0.3 million,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was in compliance with all required covenants. The scheduled payments, inclusive of principal and interest of $2,965 are due in 2026. For the three months ended March 31, 2025, the Company did not make any principal payments.</w:t>
      </w:r>
    </w:p>
    <w:p>
      <w:pPr>
        <w:sectPr>
          <w:pgSz w:w="11900" w:h="16838" w:orient="portrait"/>
          <w:cols w:equalWidth="0" w:num="1">
            <w:col w:w="11240"/>
          </w:cols>
          <w:pgMar w:left="320" w:top="121" w:right="339" w:bottom="555"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55" w:gutter="0" w:footer="0" w:header="0"/>
          <w:type w:val="continuous"/>
        </w:sectPr>
      </w:pPr>
    </w:p>
    <w:bookmarkStart w:id="21" w:name="page22"/>
    <w:bookmarkEnd w:id="21"/>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COMMON STOCK RESERVED FOR ISSUANCE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required to reserve and keep available out of its authorized but unissued shares of common stock a number of shares sufficient to affect the exercise of all classes of preferred stock, convertible promissory notes, options granted and available for grant under the incentive plans and warrants to purchase common stock.</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0"/>
                <w:szCs w:val="20"/>
                <w:color w:val="auto"/>
              </w:rPr>
            </w:pPr>
          </w:p>
        </w:tc>
        <w:tc>
          <w:tcPr>
            <w:tcW w:w="1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common stock warrants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112,690</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 and RSUs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81,506</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11,309,356</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7,852,840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conversion of future voting preferred share issuance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492,498</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500,735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future option grants and RSUs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65,268</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Madryn Noteholders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118,182</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118,182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EW Noteholders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190,910</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190,910</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12,370,410</w:t>
            </w:r>
          </w:p>
        </w:tc>
        <w:tc>
          <w:tcPr>
            <w:tcW w:w="200" w:type="dxa"/>
            <w:vAlign w:val="bottom"/>
          </w:tcPr>
          <w:p>
            <w:pPr>
              <w:spacing w:after="0"/>
              <w:rPr>
                <w:sz w:val="18"/>
                <w:szCs w:val="18"/>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8,934,233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confers upon its holders the following rights:</w:t>
      </w:r>
    </w:p>
    <w:p>
      <w:pPr>
        <w:spacing w:after="0" w:line="225" w:lineRule="exact"/>
        <w:rPr>
          <w:sz w:val="20"/>
          <w:szCs w:val="20"/>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participate and vote in the Company’s stockholder meetings, whether annual or special. Each share will entitle its holder, when attending and participating in the voting in person or via proxy, to one vote;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share in the distribution of dividends, whether in cash or in the form of bonus shares, the distribution of assets or any other distribution pro rata to the par value of the shares held by them;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share in the distribution of the Company’s excess assets upon liquidation pro rata to the par value of the shares held by them.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special meeting of the Company’s shareholders held on February 14, 2025, the Company’s shareholders granted the Company’s Board discretionary authority to implement a reverse stock split and to fix the specific consolidation ratio within a range of one-for-five (1-for-5) to one-for-sixteen (1 for 16). On February 28, 2025, the Company filed an amendment to the Company’s Certificate of Incorporation to implement a 1-for-11 reverse stock split (the "Reverse Stock Split") consolidation ratio on March 3, 2025. The Company’s common shares began trading on the Nasdaq Capital Market on a reverse split-adjusted basis under the Company’s existing trade symbol “VERO” at the opening of the market on March 4,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Purchase Agreement with Lincoln Park</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16, 2020, the Company entered into a purchase agreement (the “Equity Purchase Agreement”) with Lincoln Park Capital Fund LLC (“Lincoln Park”), which provides that, upon the terms and subject to the conditions and limitations set forth therein, the Company may sell to Lincoln Park up to $31,000 worth of shares of its common stock, par value $0.0001 per share, pursuant to its shelf registration statement. The purchase price of shares of common stock related to a future sale will be based on the then prevailing market prices of such shares at the time of sales as described in the Equity Purchase Agreement. The aggregate number of shares that the Company can sell to Lincoln Park under the Equity Purchase Agreement may in no case exceed 47,050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no longer apply, or (ii) with Equity Purchase Agreement equals or exceeds $655.9575 per share (subject to adjustment) (which represents the minimum price, as defined under Nasdaq Stock Market LLC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the Company’s issued and outstanding common stock. Concurrently with entering into the Equity Purchase Agreement, the Company also entered into a registration rights agreement with Lincoln Park, pursuant to which it agreed to provide Lincoln Park with certain registration rights related to the shares of common stock issued under the Equity Purchase Agreement (the “Registration Rights Agreement”).</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commencement to expiry on July 1, 2022, the Company issued and sold to Lincoln Park 20,831 shares of its common stock at an average price of $445.50 per share, and 1,271 of these shares were issued to Lincoln Park as a commitment fee in connection with entering into the Equity Purchase Agreement (the “Commitment Shares”). The total value of the Commitment Shares of $620 together with the issuance costs of $123 were recorded as deferred issuance costs in the consolidated balance sheet at inception and were amortized into consolidated statements of stockholders’ equity proportionally based on proceeds received during the term of the Equity Purchase Agreement. In 2022, the Company issued 2,425 shares of its common stock and the proceeds from common stock issuances as of December 31, 2022 were $272, with no issuance costs. The proceeds in the amount of $272 were recorded in the condensed consolidated statements of cash flows as net cash proceeds from issuance of common stock. The Equity Purchase Agreement expired on July 1, 2022, and was replaced with the 2022 LPC Purchase Agreement discussed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LPC Purchase Agreement with Lincoln Park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12, 2022, the Company entered into a purchase agreement (the “2022 LPC Purchase Agreement”) with Lincoln Park, as the Equity Purchase Agreement expired on July 1, 2022. The 2022 LPC Purchase Agreement provides that, upon the terms and subject to the conditions and limitations set forth therein, the Company may sell to Lincoln Park up to $11,000 of shares (the “Purchase Shares”) of its common stock, par value $0.0001 per share. Concurrently with entering into the 2022 LPC Purchase Agreement, the Company also entered into a registration rights agreement (the “2022 LPC</w:t>
      </w:r>
    </w:p>
    <w:p>
      <w:pPr>
        <w:sectPr>
          <w:pgSz w:w="11900" w:h="16923" w:orient="portrait"/>
          <w:cols w:equalWidth="0" w:num="1">
            <w:col w:w="11240"/>
          </w:cols>
          <w:pgMar w:left="320" w:top="121" w:right="339" w:bottom="0" w:gutter="0" w:footer="0" w:header="0"/>
        </w:sectPr>
      </w:pPr>
    </w:p>
    <w:bookmarkStart w:id="22" w:name="page23"/>
    <w:bookmarkEnd w:id="22"/>
    <w:p>
      <w:pPr>
        <w:jc w:val="both"/>
        <w:spacing w:after="0" w:line="252" w:lineRule="auto"/>
        <w:rPr>
          <w:sz w:val="20"/>
          <w:szCs w:val="20"/>
          <w:color w:val="auto"/>
        </w:rPr>
      </w:pPr>
      <w:r>
        <w:rPr>
          <w:rFonts w:ascii="Times New Roman" w:cs="Times New Roman" w:eastAsia="Times New Roman" w:hAnsi="Times New Roman"/>
          <w:sz w:val="18"/>
          <w:szCs w:val="18"/>
          <w:color w:val="auto"/>
        </w:rPr>
        <w:t>Registration Rights Agreement”) with Lincoln Park, pursuant to which it agreed to provide Lincoln Park with certain registration rights related to the shares issued under the 2022 LPC Purchase Agreement. The aggregate number of shares that the Company can issue to Lincoln Park under the 2022 LPC Purchase Agreement may not exceed 78,020 shares of common stock, which is equal to 19.99% of the shares of common stock outstanding immediately prior to the execution of the 2022 LPC Purchase Agreement (the “2022 Exchange Cap”), unless (i) stockholder approval is obtained to issue shares of common stock in excess of the 2022 Exchange Cap, in which case the 2022 Exchange Cap will no longer apply, or (ii) the average price of all applicable sales of common stock to Lincoln Park under the 2022 LPC Purchase Agreement equals or exceeds the lower of (i) the Nasdaq official closing price immediately preceding the execution of the 2022 LPC Purchase Agreement or (ii) the arithmetic average of the five Nasdaq official closing prices for the common stock immediately preceding the execution of the 2022 LPC Purchase Agreement, plus an incremental amount to take into account the issuance of the Commitment Shares to Lincoln Park under the 2022 LPC Purchase Agreement, such that the transactions contemplated by the 2022 LPC Purchase Agreement are exempt from the 2022 Exchange Cap limitation under applicable Nasdaq rules. In all instances, the Company may not sell shares of its common stock to Lincoln Park under the 2022 LPC Purchase Agreement if it would result in Lincoln Park beneficially owning more than 9.99% of the outstanding shares of common stock. Upon execution of the 2022 LPC Purchase Agreement, the Company issued 4,155 shares of common stock to Lincoln Park as a commitment fee in connection with entering into the 2022 LPC Purchase Agreement at the total amount of $330. Through December 31, 2023 the Company issued an additional 70,587 shares of common stock to Lincoln Park at an average price of $43.626 per share for a total value of $3,080. During the year ended December 31, 2024, the Company issued an additional 758 shares of common stock to Lincoln Park at an average price of $12.76 per share, for a total value of $10. The 2022 LPC Purchase Agreement expired on August 1, 2024.</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2022 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2022, we entered into a securities purchase agreement with certain investors (collectively, the "2022 Investors") pursuant to which the Company issued and sold to the 2022 Investors an aggregate of 10,608 shares of common stock, par value $0.0001 per share, and 3,185,000 shares of voting convertible preferred stock, par value $0.0001 per share (the "Voting Preferred Stock"), which are convertible into 193,014 shares of common stock upon receipt of a valid conversion notice from a 2022 Investor or at the option of the Company within 30 days following the occurrence of certain events (the "2022 Private Placement"). The 2022 Private Placement was completed on November 18, 2022. The gross proceeds from the securities sold in the 2022 Private Placement was $6,720 before offering expenses. The costs incurred with respect to the 2022 Private Placement totaled $202 and were recorded as a reduction of the 2022 Private Placement proceeds in the consolidated statements of stockholders' 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Preferred Stock issued in November 2022</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in November 2022, the Company issued and sold to certain 2022 Investors an aggregate of 3,185,000 shares of Voting Preferred Stock. The terms of the Voting Preferred Stock are governed by a Certificate of Designation filed by the Company with the Secretary of State of the State of Delaware on November 17, 2022. The following is a summary of the material terms of the Voting Preferred Stock:</w:t>
      </w:r>
    </w:p>
    <w:p>
      <w:pPr>
        <w:spacing w:after="0" w:line="174"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Voting Preferred Stock votes with the common stock on an as-converted basis.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Voting Preferred Stock carries a liquidation preference, senior to the common stock in an amount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greater of (a) $30.00 (being the issuance price) and (b) the amount that would be distributed in respect of such share of Voting Preferred Stock if it were converted into common stock and participated in such liquidating distribution with the other shares of common stock.</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Voting Preferred Stock will convert into shares of common stock on a one for 0.0606 basis (i) at the option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Investor upon delivery of a valid conversion notice to the Company or (ii) at the option of the Company within 30 days following the earlier to occur of (a) the date on which the volume-weighted average price of the common stock has been greater than or equal to $206.25 for 30 consecutive trading days and (b) the date on which the Company has reported two consecutive fiscal quarters of positive cash flow.</w:t>
      </w:r>
    </w:p>
    <w:p>
      <w:pPr>
        <w:spacing w:after="0" w:line="179"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Each share of Voting Preferred Stock is entitled to participate in dividends and other non-liquidating distributions (if, as and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the Board of the Company) on an as-converted basis, pari passu with the common stock.</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Voting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Voting Preferred Stock shall be perpetual unless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2023 Multi-Tranche 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2023, we entered into a securities purchase agreement (the "2023 Multi-Tranche Private Placement Stock Purchase Agreement") with certain investors (collectively, the "2023 Investors") pursuant to which the Company may issue and sell to the 2023 Investors up to $9,000,000 in shares (the "2023 Multi-Tranche Private Placement") of newly-created senior convertible preferred stock, par value $0.0001 per share (the “Senior Preferred Stock”), in multiple tranches from time to time until December 31, 2025, subject to a minimum aggregate purchase amount of $0.5 million in each tranche. The initial sale in the 2023 Multi-Tranche Private Placement occurred on May 15, 2023, under which the Company sold the 2023 Investors 280,899 shares of Senior Preferred Stock for an aggregate purchase price of $2.0 million (the "Initial Placement"). The Company used the proceeds of the Initial Placement, after the payment of transaction expenses, for general working capital purposes. The following is a summary of the material terms of the Senior Preferred Stock:</w:t>
      </w:r>
    </w:p>
    <w:p>
      <w:pPr>
        <w:spacing w:after="0" w:line="187" w:lineRule="exact"/>
        <w:rPr>
          <w:sz w:val="20"/>
          <w:szCs w:val="20"/>
          <w:color w:val="auto"/>
        </w:rPr>
      </w:pPr>
    </w:p>
    <w:p>
      <w:pPr>
        <w:jc w:val="both"/>
        <w:ind w:left="980" w:hanging="324"/>
        <w:spacing w:after="0" w:line="257"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Senior Preferred Stock has aggregate number of votes equal to the product of (a) the quotient of (i) the aggregate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paid under the Stock Purchase Agreement for all shares of Senior Preferred Stock issued and outstanding as of such time, divided by (ii) the highest purchase price paid by a holder for a share of Senior Preferred Stock prior to or as of such time, multiplied by (b) two. Such formula ensures that no share of senior preferred stock will ever have more than two votes per share, with such number of votes subject to reduction (but not increase) depending on the pricing of future sales of Senior Preferred Stock in the Private Placement. The Senior Preferred Stock votes with the Company’s common stock on all matters submitted to holders of common stock and does not vote as a separate class.</w:t>
      </w:r>
    </w:p>
    <w:p>
      <w:pPr>
        <w:spacing w:after="0" w:line="182"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Senior Preferred Stock carries a liquidation preference, senior to the common stock and Voting Preferred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amount equal to the product of the Purchase Price for such share, multiplied by 2.50.</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Senior Preferred Stock will convert into shares of common stock on a one for 0.2424 basis at the option of (a) the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any time or (b) the Company within 30 days following the date on which the 30-day volume-weighted average price of the common stock exceeds the product of (i) the Purchase Price for the shares of senior preferred stock to be converted, multiplied by (ii) 2.75.</w:t>
      </w:r>
    </w:p>
    <w:p>
      <w:pPr>
        <w:spacing w:after="0" w:line="173"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Each share of Senior Preferred Stock is entitled to participate in dividends and other non-liquidating distributions (if, as and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the Board of the Company) on an as-converted basis, pari passu with the common stock and Voting Preferred Stock.</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Senior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Senior Preferred Stock shall be perpetual unless converted.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6, 2023, the Company and the 2023 Investors entered into an amendment to the 2023 Multi-Tranche Private Placement Stock Purchase Agreement (the “Multi-Tranche Amendment”). The Multi-Tranche Amendment (a) clarifies the appropriate date pursuant to which the purchase price for each share of Senior Preferred Stock to be sold in the Private Placement is determined (such that the purchase price shall be equal to the “Minimum Price” as set forth in Nasdaq Listing Rule 5635(d)) and (b) permits the Company to specify a desired closing date (subject to approval by the 2023 Investors) for each sale in the 2023 Multi-Tranche Private Placement.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12, 2023, the Company and the 2023 Investors consummated the second tranche in the 2023 Multi-Tranche Private Placement, under which the Company sold the 2023 Investors 500,000 shares of Senior Preferred Stock for an aggregate purchase price of $2.0 million (the “Second Placement”). The Company used the proceeds of the Second Placement, after the payment of transaction expenses, for general working capital purposes.</w:t>
      </w:r>
    </w:p>
    <w:p>
      <w:pPr>
        <w:sectPr>
          <w:pgSz w:w="11900" w:h="16838" w:orient="portrait"/>
          <w:cols w:equalWidth="0" w:num="1">
            <w:col w:w="11240"/>
          </w:cols>
          <w:pgMar w:left="320" w:top="121" w:right="339" w:bottom="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8, 2023, the Company and the 2023 Investors consummated the third tranche in the 2023 Multi-Tranche Private Placement, under which the Company sold the 2023 Investors 292,398 shares of Senior Preferred Stock for an aggregate purchase price of $1.0 million (the "Third Placement," and together with the First Placement and Second Placement, the "Placements"). The Company used the proceeds of the Third Placement, after the payment of transaction expenses, for general working capital purposes.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20, 2023, the Company and the 2023 Investors consummated the fourth tranche in the 2023 Multi-Tranche Private Placement, under which the Company sold the 2023 Investors 502,513 shares of Senior Preferred Stock for an aggregate purchase price of $2.0 million (the “Fourth Placement”). The Company used the proceeds of the Fourth Placement, after the payment of transaction expenses, for general working capital purposes.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X Convertible Preferred Stock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4, 2023, the Company filed a Certificate of Designations with respect to the Series X Preferred Stock with the Secretary of State of the State of Delaware, thereby creating the Series X Preferred Stock. The Certificate of Designations authorizes the issuance of up to 400,000 shares of Series X Preferred Stock. The Series X Preferred Stock is convertible into shares of common stock on a one-for-0.9091 basis, in whole or in part, at the option of the holder at any time upon delivery of a valid conversion notice of the Company; provided, however, that the Series X Preferred Stock is subject to limitations on convertibility to the extent necessary to comply with the rules and regulations of the Nasdaq. The following is a summary of the material terms of the Series X Preferred Stock:</w:t>
      </w:r>
    </w:p>
    <w:p>
      <w:pPr>
        <w:spacing w:after="0" w:line="185" w:lineRule="exact"/>
        <w:rPr>
          <w:sz w:val="20"/>
          <w:szCs w:val="20"/>
          <w:color w:val="auto"/>
        </w:rPr>
      </w:pPr>
    </w:p>
    <w:p>
      <w:pPr>
        <w:jc w:val="both"/>
        <w:ind w:left="980" w:hanging="324"/>
        <w:spacing w:after="0" w:line="26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the Series X Preferred Stock shall be entitled to vote on all matters on which holders of common stock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vote, and shall be entitled to a number of votes equal to the Converted Stock Equivalent, which is 0.9091 common shares per 1 Series X Preferred stock.</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Series X Preferred Stock carries a liquidation preference, senior to the common stock and Voting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 amount equal to the Unpaid Liquidation Preference (as defined in the Certificate of Designations with respect to the Series X Preferred Stock) at that time.</w:t>
      </w:r>
    </w:p>
    <w:p>
      <w:pPr>
        <w:spacing w:after="0" w:line="173"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Series X Preferred Stock will convert into shares of common stock on a 1-for-0.9091 basis at the option of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X Preferred Stock at any time.</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Series X Preferred Stock accrues a dividend at a rate of 12.5% per annum, payable on a quarterly basis in cash 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Series X Preferred Stock, at the Company’s election. In addition, each share of Series X Preferred Stock is entitled to participate in dividends and other non-liquidating distributions, if, as and when declared by the Board, on a pari passu basis with the common stock, Senior Preferred Stock and Junior Preferred Stock.</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Series X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Series X Preferred Stock shall be perpetual unless converted, however dividends will stop accruing on December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Y Convertible Preferred Stock</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24, 2024, the Company filed a Certificate of Designations with respect to the Series Y Preferred Stock with the Secretary of State of the State of Delaware, thereby creating the Series Y Preferred Stock. The Certificate of Designations authorizes the issuance of up to 600,000 shares of Series Y Preferred Stock. The Series Y Preferred Stock is convertible into shares of common stock on a 1-for-9.0909 basis, at the option of the holder, in whole or in part, at any time upon delivery of a valid conversion notice of the Company; or (ii) automatically upon the Company completing an equity financing for common stock (or convertible preferred stock, provided that under such circumstances such financing will not be deemed completed until such preferred stock has been fully converted into common stock) that raises no less than $30.0 million in gross proceeds, among other requirements as set forth in the Certificate of Designations. Notwithstanding the foregoing, the Series Y Preferred Stock is subject to limitations on convertibility to the extent necessary to comply with the rules and regulations of Nasdaq. On September 26, 2024 the Company filed a Certificate of Amendment which increased the authorized number of shares of Series Y Preferred Stock from 600,000 shares to 900,000 shares. The following is a summary of the material terms of the Series Y Preferred Stock:</w:t>
      </w:r>
    </w:p>
    <w:p>
      <w:pPr>
        <w:spacing w:after="0" w:line="192" w:lineRule="exact"/>
        <w:rPr>
          <w:sz w:val="20"/>
          <w:szCs w:val="20"/>
          <w:color w:val="auto"/>
        </w:rPr>
      </w:pPr>
    </w:p>
    <w:p>
      <w:pPr>
        <w:ind w:left="980" w:hanging="324"/>
        <w:spacing w:after="0" w:line="284"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the Series Y Preferred Stock shall not be entitled to vote on any matter on which holders of common stock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entitled to vote.</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Series Y Preferred Stock carries a liquidation preference, senior to the common stock, Series X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Preferred Stock, and Junior Preferred Stock, in an amount equal to the Unpaid Liquidation Preference (as defined in the Certificate of Designations with respect to the Series Y Preferred Stock) at that time.</w:t>
      </w:r>
    </w:p>
    <w:p>
      <w:pPr>
        <w:spacing w:after="0" w:line="173"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Series Y Preferred Stock will convert into shares of common stock on a 1-for-9.0909 basis at the option of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Y Preferred Stock at any time, or automatically subject to certain conditions.</w:t>
      </w:r>
    </w:p>
    <w:p>
      <w:pPr>
        <w:spacing w:after="0" w:line="158"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Each share of Series Y Preferred Stock is entitled to participate in dividends and other non-liquidating distributions, if, as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declared by the Board, on a pari passu basis with the common stock, Senior Preferred Stock and Junior Preferred Stock.</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Series Y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Series Y Preferred Stock shall be perpetual unless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22, 2024, the Company, entered into a securities purchase agreement (the “SPA”) with certain institutional investors (each, a “2024 Investor”), pursuant to which the Company agreed to issue and sell to the 2024 Investors (i) in a registered direct offering, an aggregate of 74,342 shares of the Company’s common stock, at a price of $16.115 per share and (ii) in a concurrent private placement, warrants to acquire up to an aggregate of 74,342 shares of common stock (the “2024 Investor Warrants”), at an initial exercise price of $14.74 per share (the “Offering”).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were offered at-the-market under Nasdaq rules and pursuant to the Company’s shelf registration statement on Form S-3 initially filed by the Company with the SEC under the Securities Act, on October 15, 2021 and declared effective on October 25, 2021.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Investor Warrants (and the shares of common stock issuable upon the exercise of the 2024 Investor Warrants) were not registered under the Securities Act and were offered pursuant to an exemption from the registration requirements provided under Section 4(a)(2) of the Securities Act. The 2024 Investor Warrants are exercisable upon issuance and will expire five years from the issuance date, and in certain circumstances may be exercised on a cashless basis. If the Company fails for any reason to deliver shares of common stock upon the valid exercise of the 2024 Investor Warrants within the</w:t>
      </w:r>
    </w:p>
    <w:p>
      <w:pPr>
        <w:sectPr>
          <w:pgSz w:w="11900" w:h="16838" w:orient="portrait"/>
          <w:cols w:equalWidth="0" w:num="1">
            <w:col w:w="11240"/>
          </w:cols>
          <w:pgMar w:left="320" w:top="121" w:right="339" w:bottom="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prescribed period set forth in the 2024 Investor Warrants, the Company is required to pay the applicable holder liquidated damages in cash as set forth in the 2024 Investor Warrants.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holder is not entitled to exercise any portion of a 2024 Investor Warrant, if, after giving effect to such exercise, the aggregate number of shares of common stock beneficially owned by the holder (together with its affiliates and any other persons) whose beneficial ownership of common stock would or could be aggregated with the holder’s for purposes of Section 13(d) or Section 16 of the Exchange Act would exceed 4.99%, or at the election of a 2024 Investor 9.99%, of the common stock outstanding after giving effect to the exercise. Such 4.99% limitation may be increased at the holder’s election upon 61 days’ notice to the Company, provided that such percentage may not exceed 9.99%.</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27, 2024, the Company closed the Offering, raising gross proceeds of approximately $1.2 million before deducting placement agent fees and other offering expenses payable by the Company. The proceeds received in the Offering were allocated to each instrument on a relative fair value basis.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SPA, no later than March 8, 2024, the Company was required to file a registration statement on Form S-3 (or other appropriate form if the Company is not then S-3 eligible) registering the resale of the shares of common stock issued or issuable upon exercise of the 2024 Investor Warrants. The Company was required to use commercially reasonable efforts to cause such registration to become effective within 45 days of the closing date of the Offering (or within 75 days following the closing of the Offering in case of “full review” of the registration statement by the SEC), and to keep the registration statement effective at all times until no 2024 Investor owns any 2024 Investor Warrants or shares issuable upon exercise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SPA contains customary representations, warranties and covenants by the Company, among other customary provisions.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H.C. Wainwright &amp; Co., LLC (“HCW”) acted as the Company’s placement agent in connection with Offering. The Company paid HCW consideration consisting of (i) a cash fee equal to 7.0% of the aggregate gross proceeds in the Offering, (ii) a management fee equal to 1.0% of the aggregate gross proceeds in the Offering, (iii) reimbursement of certain expenses and (iv) warrants to acquire up to an aggregate of 5,204 shares of common stock (the “Placement Agent Warrants”). The Placement Agent Warrants are similar to the 2024 Investor Warrants, except that the initial exercise price of the Placement Agent Warrants is $20.1438 per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2010 Share Option Plan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2010, the Board adopted a share option plan (the “2010 Share Option Plan”) pursuant to which shares of the Company’s common stock are reserved for issuance upon the exercise of options to be granted to directors, officers, employees and consultants of the Company. The 2010 Share Option Plan is administered by the Board, which designates the options and dates of grant. Options granted vest over a period determined by the Board, originally had a contractual life of seven years, which was extended to ten years in November 2017 and are non-assignable except by the laws of descent. The Board has the authority to prescribe, amend and rescind rules and regulations relating to the 2010 Share Option Plan, provided that any such amendment or rescindment that would adversely affect the rights of an optionee that has received or been granted an option shall not be made without the optionee’s written consent. As of March 31, 2025, the number of shares of the Company’s common stock reserved for issuance and available for grant under the 2010 Share Option Plan was 5,722 (3,155 as of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Incentive Award Plan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2019 Incentive Award Plan (the “2019 Plan”) was originally established under the name Restoration Robotics, Inc., as the 2017 Incentive Award Plan. It was adopted by the Board on September 12, 2017 and approved by the Company’s stockholders on September 14, 2017. The 2017 Incentive Award Plan was amended, restated, and renamed as set forth above, and was approved by the Company’s stockholders on October 4, 2019.</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2019 Plan, 2,728 shares of common stock were initially reserved for issuance pursuant to a variety of stock-based compensation awards, including stock options, stock appreciation rights, performance stock awards, performance stock unit awards, restricted stock awards, restricted stock unit awards and other stock-based awards, plus the number of shares remaining available for future awards under the 2019 Plan as of the date we completed our business combination with Venus Ltd. and the business of Venus Ltd. became the primary business of the Company (the “Merger”). As of March 31, 2025, there were 56,629 shares of common stock available under the 2019 Plan (25,939 as of December 31, 2024). The 2019 Plan contains an “evergreen” provision, pursuant to which the number of shares of common stock reserved for issuance pursuant to awards under such plan shall be increased on the first day of each year from 2020 and ending in 2029 equal to the lesser of (A) four percent (4.00%) of the shares of stock outstanding on the last day of the immediately preceding fiscal year and (B) such smaller number of shares of stock as determined by the Board.</w:t>
      </w:r>
    </w:p>
    <w:p>
      <w:pPr>
        <w:spacing w:after="0" w:line="1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for its employees and non-employees in the accompanying condensed consolidated statements of operations as follows: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4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36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24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36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each option is estimated at the date of grant using the Black-Scholes option pricing formula with the following assumptions:</w:t>
      </w:r>
    </w:p>
    <w:p>
      <w:pPr>
        <w:spacing w:after="0" w:line="221"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560" w:type="dxa"/>
        <w:tblCellMar>
          <w:top w:w="0" w:type="dxa"/>
          <w:left w:w="0" w:type="dxa"/>
          <w:bottom w:w="0" w:type="dxa"/>
          <w:right w:w="0" w:type="dxa"/>
        </w:tblCellMar>
      </w:tblPr>
      <w:tr>
        <w:trPr>
          <w:trHeight w:val="209"/>
        </w:trPr>
        <w:tc>
          <w:tcPr>
            <w:tcW w:w="6760" w:type="dxa"/>
            <w:vAlign w:val="bottom"/>
            <w:gridSpan w:val="2"/>
          </w:tcPr>
          <w:p>
            <w:pPr>
              <w:spacing w:after="0"/>
              <w:rPr>
                <w:sz w:val="18"/>
                <w:szCs w:val="18"/>
                <w:color w:val="auto"/>
              </w:rPr>
            </w:pPr>
          </w:p>
        </w:tc>
        <w:tc>
          <w:tcPr>
            <w:tcW w:w="11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43.06%</w:t>
            </w:r>
          </w:p>
        </w:tc>
      </w:tr>
      <w:tr>
        <w:trPr>
          <w:trHeight w:val="234"/>
        </w:trPr>
        <w:tc>
          <w:tcPr>
            <w:tcW w:w="20" w:type="dxa"/>
            <w:vAlign w:val="bottom"/>
          </w:tcPr>
          <w:p>
            <w:pPr>
              <w:spacing w:after="0"/>
              <w:rPr>
                <w:sz w:val="20"/>
                <w:szCs w:val="20"/>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management’s best estimate for the options to be exercised by option holders.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—Since the Company does not have a trading history for its common stock, the expected volatility was derived from the historical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volatilities of comparable peer public companies within its industry that are considered to be comparable to the Company’s business over a period equivalent to the expected term of the stock-based awards.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yield curve in effect at the date of grant for zero-coupon U.S.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with maturities approximately equal to the stock-based awards’ expected term.</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—The expected dividend is zero as the Company has not paid nor does it anticipate paying any dividends on its common stock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Prior to the Merger, Venus Ltd. used the price per share in its latest sale of securities as an estimate of the fair value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After the closing of the Merger, the fair value of the Company’s common stock is used to estimate the fair value of the stock-based awards at grant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Company’s stock option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1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Price per Share, $</w:t>
            </w:r>
          </w:p>
        </w:tc>
        <w:tc>
          <w:tcPr>
            <w:tcW w:w="18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80" w:type="dxa"/>
            <w:vAlign w:val="bottom"/>
          </w:tcPr>
          <w:p>
            <w:pPr>
              <w:spacing w:after="0"/>
              <w:rPr>
                <w:sz w:val="20"/>
                <w:szCs w:val="20"/>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January 1,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89,325</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 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Options 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 forfeited/cancelled</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March 31,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185.23</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420" w:type="dxa"/>
            <w:vAlign w:val="bottom"/>
            <w:gridSpan w:val="2"/>
          </w:tcPr>
          <w:p>
            <w:pPr>
              <w:ind w:left="560"/>
              <w:spacing w:after="0" w:line="196" w:lineRule="exact"/>
              <w:rPr>
                <w:sz w:val="20"/>
                <w:szCs w:val="20"/>
                <w:color w:val="auto"/>
              </w:rPr>
            </w:pPr>
            <w:r>
              <w:rPr>
                <w:rFonts w:ascii="Times New Roman" w:cs="Times New Roman" w:eastAsia="Times New Roman" w:hAnsi="Times New Roman"/>
                <w:sz w:val="18"/>
                <w:szCs w:val="18"/>
                <w:color w:val="auto"/>
              </w:rPr>
              <w:t>Exercisable – March 31, 2025</w:t>
            </w: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53,830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249.52</w:t>
            </w:r>
          </w:p>
        </w:tc>
        <w:tc>
          <w:tcPr>
            <w:tcW w:w="1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5.80</w:t>
            </w: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Expected to vest – after March 31, 2025</w:t>
            </w:r>
          </w:p>
        </w:tc>
        <w:tc>
          <w:tcPr>
            <w:tcW w:w="14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27,676</w:t>
            </w:r>
          </w:p>
        </w:tc>
        <w:tc>
          <w:tcPr>
            <w:tcW w:w="1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60.19</w:t>
            </w:r>
          </w:p>
        </w:tc>
        <w:tc>
          <w:tcPr>
            <w:tcW w:w="16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7.84</w:t>
            </w:r>
          </w:p>
        </w:tc>
        <w:tc>
          <w:tcPr>
            <w:tcW w:w="3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r>
      <w:tr>
        <w:trPr>
          <w:trHeight w:val="413"/>
        </w:trPr>
        <w:tc>
          <w:tcPr>
            <w:tcW w:w="580" w:type="dxa"/>
            <w:vAlign w:val="bottom"/>
          </w:tcPr>
          <w:p>
            <w:pPr>
              <w:spacing w:after="0"/>
              <w:rPr>
                <w:sz w:val="24"/>
                <w:szCs w:val="24"/>
                <w:color w:val="auto"/>
              </w:rPr>
            </w:pPr>
          </w:p>
        </w:tc>
        <w:tc>
          <w:tcPr>
            <w:tcW w:w="3840" w:type="dxa"/>
            <w:vAlign w:val="bottom"/>
            <w:tcBorders>
              <w:top w:val="single" w:sz="8" w:color="CCEEFF"/>
            </w:tcBorders>
          </w:tcPr>
          <w:p>
            <w:pPr>
              <w:spacing w:after="0"/>
              <w:rPr>
                <w:sz w:val="24"/>
                <w:szCs w:val="24"/>
                <w:color w:val="auto"/>
              </w:rPr>
            </w:pPr>
          </w:p>
        </w:tc>
        <w:tc>
          <w:tcPr>
            <w:tcW w:w="14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7900" w:type="dxa"/>
            <w:vAlign w:val="bottom"/>
            <w:gridSpan w:val="1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1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following tables summarize information about stock options outstanding and exercisable at March 31, 2025: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Options Exercisable</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328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Exercise Price Range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term (years)</w:t>
            </w:r>
          </w:p>
        </w:tc>
        <w:tc>
          <w:tcPr>
            <w:tcW w:w="20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term (years)</w:t>
            </w:r>
          </w:p>
        </w:tc>
        <w:tc>
          <w:tcPr>
            <w:tcW w:w="200" w:type="dxa"/>
            <w:vAlign w:val="bottom"/>
          </w:tcPr>
          <w:p>
            <w:pPr>
              <w:spacing w:after="0"/>
              <w:rPr>
                <w:sz w:val="20"/>
                <w:szCs w:val="20"/>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$7.75 - $600.60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78,074</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$702.90 - $1,311.75</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1,086.53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$2,054.25</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$4,207.50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3,041.31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$4,455.00</w:t>
            </w: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$4,826.25</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4,475.63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$7,152.75</w:t>
            </w:r>
          </w:p>
        </w:tc>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$10,543.50</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8,044.67</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53,830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 $nil and $nil for the three months ended March 31, 2025 and 2024,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$nil and $7.7561 per share for the three months ended March 31, 2025 and 2024, respectively. The fair value of options vested during the three months ended March 31, 2025 and 2024 was $229 and $355, respectively.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generated a loss and recognized $338 of tax expense for the three months ended March 31, 2025, and $37 of tax expense for the three months ended March 31, 2024, respectively. A reconciliation of income tax expense is as follows: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332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(12,028)</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Theoretical tax expense at the statutory rate (21% in 2025 and 2024)</w:t>
            </w: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Differences in jurisdictional tax rates</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(12,366)</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is recognized based on the actual loss incurred during the three months ended March 31, 2025 and 2024,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AND GEOGRAPHIC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not assess the performance of individual product lines on measures of profit or loss, or asset-based metrics. Therefore, the information below is presented only for revenues by geography and type.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location, which is based on the product shipped to location, is summarized as follows: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3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82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8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382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2025, long-lived assets in the amount of $4,255 were located in the United States and $712 were located in foreign locations. As of December 31, 2024, long-lived assets in the amount of $5,133 were located in the United States and $776 were located in foreign locations.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by type is a key indicator for providing management with an understanding of the Company’s financial performance, which is organized into four different categories:</w:t>
      </w:r>
    </w:p>
    <w:p>
      <w:pPr>
        <w:spacing w:after="0" w:line="162"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revenue – includes all system sales with typical lease terms of 36 months.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revenue – includes all systems sales with payment terms within 12 months.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 includes skincare, hair and other consumables payable upon receipt.</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 includes extended warranty sales.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revenue by type:</w:t>
            </w:r>
          </w:p>
        </w:tc>
        <w:tc>
          <w:tcPr>
            <w:tcW w:w="2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3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5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revenue</w:t>
            </w:r>
          </w:p>
        </w:tc>
        <w:tc>
          <w:tcPr>
            <w:tcW w:w="302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System revenue</w:t>
            </w:r>
          </w:p>
        </w:tc>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8"/>
                <w:szCs w:val="18"/>
                <w:color w:val="auto"/>
              </w:rPr>
            </w:pPr>
          </w:p>
        </w:tc>
      </w:tr>
      <w:tr>
        <w:trPr>
          <w:trHeight w:val="236"/>
        </w:trPr>
        <w:tc>
          <w:tcPr>
            <w:tcW w:w="580" w:type="dxa"/>
            <w:vAlign w:val="bottom"/>
          </w:tcPr>
          <w:p>
            <w:pPr>
              <w:spacing w:after="0"/>
              <w:rPr>
                <w:sz w:val="20"/>
                <w:szCs w:val="20"/>
                <w:color w:val="auto"/>
              </w:rPr>
            </w:pPr>
          </w:p>
        </w:tc>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302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100" w:type="dxa"/>
            <w:vAlign w:val="bottom"/>
            <w:shd w:val="clear" w:color="auto" w:fill="CCEEFF"/>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related party transactions for the three months ended March 31, 2025 and March 31, 2024,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Eighth Delayed Drawdown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4, 2025, the Lenders agreed to provide the Borrower with a subsequent drawdown under the Loan and Security Agreement in the principal amount of $2,000,000 (the "Eighth Delayed Drawdown"). The Eighth Delayed Drawdown was funded on April 4,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Registered Direct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9, 2025, the Company entered into a securities purchase agreement (the “April 9 SPA”) with certain institutional investors (each, an “April 9 Investor”), pursuant to which the Company agreed to issue and sell to the April 9 Investors in a registered direct offering an aggregate of 328,573 shares (the “April 9 Shares”) of the Company’s common stock, par value $0.0001 per share at a price of $3.50 per share (the “April 9 Offering”).</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closed the April 9 Offering on April 10, 2025, raising gross proceeds of approximately $1.1 million before deducting placement agent fees and other expenses payable by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11, 2025, the Company entered into a securities purchase agreement (the “April 11 SPA”) with certain institutional investors (each, an “April 11 Investor”), pursuant to which the Company agreed to issue and sell to the April 11 Investors in a registered direct offering an aggregate of 386,700 shares (the “April 11 Shares”) of the Company’s common stock, par value $0.0001 per share at a price of $4.06 per share (the “April 11 Offering”).</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closed the April 11 Offering on April 14, 2025, raising gross proceeds of approximately $1.6 million before deducting placement agent fees and other expenses payable by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April 9 Shares and April 11 Shares were offered at-the-market under Nasdaq rules and pursuant to the Company’s shelf registration statement on Form S-3 (File 333-282811), initially filed by the Company with the SEC under the Securities Act on October 24, 2024 and declared effective on November 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April 9 SPA and April 11 SPA contain customary representations, warranties and covenants by the Company, among other customary provisions.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HCW acted as the Company’s placement agent in connection with the April 9 Offering and the April 11 Offering. For each offering, the Company paid HCW consideration consisting of (i) a cash fee equal to 7.0% of the gross proceeds in the respective offering, (ii) a management fee equal to 1.0% of the aggregate gross proceeds in the respective offering, (iii) reimbursement of certain expenses and (iv) warrants to acquire up to an aggregate of (i) 23,000 shares of common stock in the April 9 Offering and (ii) 27,069 shares of common stock in the April 11 Offering (together, the “Placement Agent Warrants”).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Placement Agent Warrants (and the shares of common stock issuable upon the exercise of the Placement Agent Warrants) were offered pursuant to an exemption from the registration requirements of the Securities Act provided under Section 4(a)(2) of the Securities Act. The Placement Agent Warrants have an initial exercise price of $4.375 per share for the April 9 Offering and $$5.075 per share for the April 11 Offering, are immediately exercisable and expire five years from the issuance date, and in certain circumstances may be exercised on a cashless basis. A holder is not entitled to exercise any portion of a Placement Agent Warrant, if, after giving effect to such exercise, the aggregate number of shares of common stock beneficially owned by the holder (together with its affiliates and any other persons whose beneficial ownership of common stock would or could be aggregated with the holder’s for purposes of Section 13(d) or Section 16 of the Exchange Act) would exceed 4.99%, or at the election of the April 9 Investor 9.99%, of the common stock outstanding after giving effect to the exercise. Such 4.99% limitation may be increased at the holder’s election upon 61 days’ notice to the Company, provided that such percentage may not exceed 9.99%.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MSLP Consent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30, 2025, the Loan Parties entered into a Consent Agreement with the Lenders (the “April 2025 MSLP Consent Agreement”). The April 2025 MSLP Consent Agreement granted relief under the MSLP Loan Agreement, such that (i) certain minimum liquidity requirements under the MSLP Loan Agreement are waived through May 31, 2025, and (ii) permit Venus USA to apply the May 8, 2025 cash interest payment due under each Note (as defined in the April 2025 MSLP Consent Agreement) to the respective outstanding principal balance of each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Fourteenth Bridge Loan Amendment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30, 2025, the Loan Parties entered into a Fourteenth Bridge Loan Amendment Agreement with the Lenders (the “Fourteenth Bridge Loan Amendment”). The Fourteenth Bridge Loan Amendment amended the Loan and Security Agreement to extend the maturity date of the Bridge Financing from April 30, 2025 to May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 Consent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30, 2025, the Loan Parties entered into a Consent Agreement with and Lenders (the “Note Consent Agreement). The Note Consent Agreement granted relief under the New Secured Notes, such that certain minimum liquidity requirements under New Secured Notes are waived through May 31, 2025.</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United States Private Securities Litigation Reform Act of 1995 that reflect our plans, estimates and beliefs and involve numerous risks and uncertainties, including but not limited to those described in in Part I, Item IA “Risk Factors” of our Annual Report on Form 10-K. Any statements contained in this Quarterly Report on Form 10-Q that are not historical facts may be deemed to be forward-looking statements. In some cases, you can identify these statements by words such as such as “anticipates,” “believes,” “plans,” “expects,” “projects,” “future,” “intends,” “may,” “should,” “could,” “estimates,” “predicts,” “potential,” “continue,” “guidance,” and other similar expressions that are predictions of or indicate future events and future trends.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factors which we currently believe could have a material adverse effect on our business operations and financial performance and condition include, but are not limited to, the following risks and uncertainties:</w:t>
      </w:r>
    </w:p>
    <w:p>
      <w:pPr>
        <w:spacing w:after="0" w:line="162" w:lineRule="exact"/>
        <w:rPr>
          <w:sz w:val="20"/>
          <w:szCs w:val="20"/>
          <w:color w:val="auto"/>
        </w:rPr>
      </w:pPr>
    </w:p>
    <w:p>
      <w:pPr>
        <w:ind w:right="20" w:firstLine="8"/>
        <w:spacing w:after="0" w:line="282" w:lineRule="auto"/>
        <w:tabs>
          <w:tab w:leader="none" w:pos="29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our internal lease programs, which exposes us to the credit risk of our customers over the life of each subscription and/or Venus Prime agreement;</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failure to make payments under their subscription or Venus Prime agreements;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secure third party financing due to tightened credit markets and higher interest rates;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obtain, maintain and enforce our intellectual property rights;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governmental regulation and oversight in the countries in which we operate and our ability to comply with the applicable requirements;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systems may cause or contribute to adverse medical events that could harm our reputation,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9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operations are located in Israel and therefore our business, financial condition and results of operations may be adversely affected by political, economic and military conditions there;</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come into, and remain in, compliance with the listing requirements of the Nasdaq Capital Market;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price;</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one major contract manufacturer in Israel exposes us to supply disruptions should that facility be subject to a strike, shutdown, fire flood or other natural disaster;</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expertise and retention of management;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and/or obtain credit on favorable terms;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currency fluctuations and currency exchange rates;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disruptions;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and uncertainties, including but not limited to the Russia-Ukraine and Israel-Hamas conflicts.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are urged to consider these factors carefully in evaluating the forward-looking statements and are cautioned not to place undue reliance on these statements. The forward-looking statements are based on information available to us as of the filing date of this Quarterly Report on Form 10-Q. Unless required by law, we do not intend to publicly update or revise any forward-looking statements to reflect new information or future events or otherwise. You should, however, review the factors and risks we describe in the reports we will file from time to time with the SEC after the date of this Quarterly Report on Form 10-Q.</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contains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our financial condition and results of operations and should be read together with the condensed consolidated financial statements and the notes thereto included elsewhere in this Quarterly Report on Form 10-Q for the quarter ended </w:t>
      </w:r>
      <w:r>
        <w:rPr>
          <w:rFonts w:ascii="Times New Roman" w:cs="Times New Roman" w:eastAsia="Times New Roman" w:hAnsi="Times New Roman"/>
          <w:sz w:val="18"/>
          <w:szCs w:val="18"/>
          <w:color w:val="auto"/>
        </w:rPr>
        <w:t>March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 10-Q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 our audited consolidated financial statements and notes thereto in our Annual Report on Form 10-K for the year ended </w:t>
      </w:r>
      <w:r>
        <w:rPr>
          <w:rFonts w:ascii="Times New Roman" w:cs="Times New Roman" w:eastAsia="Times New Roman" w:hAnsi="Times New Roman"/>
          <w:sz w:val="18"/>
          <w:szCs w:val="18"/>
          <w:color w:val="auto"/>
        </w:rPr>
        <w:t>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 10-K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and other filings we have made with the SEC.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innovative global medical technology company that develops, commercializes and delivers minimally invasive and non-invasive medical aesthetic and hair restoration technologies and related services. Our systems have been designed on cost-effective, proprietary and flexible platforms that enable us to expand beyond the aesthetic industry’s traditional markets of dermatology and plastic surgery, and into non-traditional markets, including family medicine, and general practitioners and aesthetic medical spas. In the three months ended March 31, 2025 and 2024, respectively, a substantial majority of our systems delivered in North America were in non-traditional markets. As we grow our ARTAS hair restoration business and expand robotics offerings through the AI.ME™ platform we expect our penetration into the core practices of dermatology and plastic surgery to increase.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had recurring net operating losses and negative cash flows from operations. As of March 31, 2025 and December 31, 2024, we had an accumulated deficit of $321.3 million and $308.9 million, respectively. Until we generate revenue at a level to support our cost structure, we expect to continue to incur substantial operating losses and negative cash flows from operations. In order to continue our operations, we must achieve profitability and/or obtain additional equity investment or debt financing. Until we achieve profitability, we plan to fund our operations and capital expenditures with cash on hand, borrowings and issuances of capital stock. As of March 31, 2025 and December 31, 2024, we had cash and cash equivalents of $3.2 million and $4.3 million, respectively.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has recently experienced extreme volatility and disruption, including increases to inflation rates, rising interest rates, foreign currency impacts, trade disruptions due to tariff rate increases or proposed increases, declines in consumer confidence, and declines in economic growth. All these factors point to uncertainty about economic stability, and the severity and duration of these conditions on our business cannot be predicted.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24, 2024, the Company announced that the Board has authorized the review of the strategic alternatives with a goal of enhancing stockholder value. There is no set timetable for the strategic review process and there can be no assurance that such review will result in any transaction or other alternative or the terms and conditions of any transaction or other alternative.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Venus Viva®, Venus Viva® MD, Venus Legacy®, Venus Concept®, Venus Versa®, Venus Fiore®, Venus Freedom™, Venus Bliss™, Venus Bliss Max™, NeoGraft®, Venus Glow™, ARTAS®, ARTAS iX®, and AI.ME™, are trademarks of the Company and its subsidiaries. Our logo and our other trade names, trademarks and service marks appearing in this document are our property. Other trade names, trademarks and service marks appearing in this document are the property of their respective owners. Solely for convenience, our trademarks and trade names referred to in this document appear without the TM or the ® symbol, but those references are not intended to indicate, in any way, that we will not assert, to the fullest extent under applicable law, our rights, or the rights of the applicable licensor to these trademarks and trade names.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 with Lincoln Park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16, 2020, we entered into the Equity Purchase Agreement with Lincoln Park which provided that, upon the terms and subject to the conditions and limitations set forth therein, we may sell to Lincoln Park up to $31.0 million of shares of our common stock pursuant to our shelf registration statement. The purchase price of shares of common stock related to a future sale was based on the then prevailing market prices of such shares at the time of sales as described in the Equity Purchase Agreement. Concurrently with entering into the Equity Purchase Agreement, we also entered into the Registration Rights Agreement. During the year ended December 31, 2022, we sold to Lincoln Park 0.003 million shares of our common stock under the Equity Purchase Agreement, at which point this agreement expired. The net cash proceeds from shares issuance as of December 31, 2022 were $0.3 million. The Equity Purchase Agreement expired on July 1, 2022.</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12, 2022, we entered into the 2022 LPC Purchase Agreement with Lincoln Park, and we issued and sold to Lincoln Park 0.004 million shares of our common stock as a commitment fee in connection with entering into the 2022 LPC Purchase Agreement, with the total value of $0.3 million. Subsequent to execution of the 2022 LPC Purchase Agreement the Company issued approximately 39.5 thousand shares of common stock to Lincoln Park at an average price of $49.94 per share, for a total value of $1.97 million through December 31, 2022. During the twelve months ended December 31, 2023, the Company issued an additional 31.1 thousand shares of common stock to Lincoln Park at an average price of $35.53 per share, for a total value of $1.1 million. During 2024, the Company issued an additional 758 shares of common stock to Lincoln Park at an average price of $12.76 per share, for a total value of $10. The 2022 LPC Purchase Agreement expired on August 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Private Placement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2022, we entered into a securities purchase agreement pursuant to which we issued and sold to the 2022 Investors an aggregate of 10,608 shares of our common stock, par value $0.0001 per share, and 3,185,000 shares of our voting convertible preferred stock, par value $0.0001 per share (the "Voting Preferred Stock"), which are convertible into 193,014 shares of common stock upon receipt of a valid conversion notice from a 2022 Investor or at the option of the Company within 30 days following the occurrence of certain events (the "2022 Private Placement"). The 2022 Private Placement was completed on November 18, 2022.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The accounting effects of the 2022 Private Placement transaction are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condensed consolidated financial statements included elsewhere in this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2023 Multi-Tranche Private Placement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2023, the Company entered into the 2023 Multi-Tranche Private Placement Stock Purchase Agreement with the 2023 Investors pursuant to which the Company may issue and sell to the 2023 Investors up to $9.0 million in shares of the Senior Preferred Stock in multiple tranches from time to time until</w:t>
      </w:r>
    </w:p>
    <w:p>
      <w:pPr>
        <w:sectPr>
          <w:pgSz w:w="11900" w:h="16838" w:orient="portrait"/>
          <w:cols w:equalWidth="0" w:num="1">
            <w:col w:w="11240"/>
          </w:cols>
          <w:pgMar w:left="320" w:top="121" w:right="339" w:bottom="0" w:gutter="0" w:footer="0" w:header="0"/>
        </w:sectPr>
      </w:pPr>
    </w:p>
    <w:bookmarkStart w:id="34" w:name="page35"/>
    <w:bookmarkEnd w:id="3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December 31, 2025, subject to a minimum aggregate purchase amount of $0.5 million in each tranche. The Initial Placement occurred on May 15, 2023, under which the Company sold the 2023 Investors 280,899 shares of Senior Preferred Stock for an aggregate purchase price of $2.0 million.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6, 2023, the Company and the 2023 Investors entered into the Multi-Tranche Amendment. The Multi-Tranche Amendment (a) clarifies the appropriate date pursuant to which the purchase price for each share of Senior Preferred Stock to be sold in the Private Placement is determined (such that the purchase price shall be equal to the “Minimum Price” as set forth in Nasdaq Listing Rule 5635(d)) and (b) permits the Company to specify a desired closing date (subject to approval by the 2023 Investors) for each sale in the 2023 Multi-Tranche Private Placement.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12, 2023, the Company and the 2023 Investors consummated the Second Placement under the 2023 Multi-Tranche Private Placement, under which the Company sold the 2023 Investors 500,000 shares of Senior Preferred Stock for an aggregate purchase price of $2.0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8, 2023, the Company and the 2023 Investors consummated the Third Placement under the 2023 Multi-Tranche Private Placement, under which the Company sold the 2023 Investors 292,398 shares of Senior Preferred Stock for an aggregate purchase price of $1.0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20, 2023, the Company and the 2023 Investors consummated the Fourth Placement under the 2023 Multi-Tranche Private Placement, under which the Company sold the 2023 Investors 502,513 shares of Senior Preferred Stock for an aggregate purchase price of $2.0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used the proceeds of the Placements, after the payment of transaction expenses, for general working capital purposes. The accounting effects of the 2023 Multi-Tranche Private Placement transaction are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condensed consolidated financial statements included elsewhere in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X Convertible 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October 4, 2023, the Company entered into the 2023 Exchange Agreement with the Madryn Noteholders, pursuant to which the Madryn Noteholders agreed to exchange $26.7 million in aggregate principal amount outstanding under the Notes for (i) $22.8 in aggregate principal amount of new secured convertible notes of the Company and (ii) 248,755 shares of newly-created convertible preferred stock of the Company, par value $0.0001 per share designated as "Series X Convertible Preferred Stock." The transaction is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condensed consolidated financial statements included elsewhere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February 22, 2024, the Company, entered into the SPA with the 2024 Investors, pursuant to which the Company agreed to issue and sell to the 2024 Investors (i) in a registered direct offering, an aggregate of 74,342 shares of the Company’s common stock, at a price of $16.115 per share and (ii) in a concurrent private placement, the 2024 Investor Warrants at an initial exercise price of $14.74 per share. The transaction is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condensed consolidated financial statements included elsewhere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Madryn Loan and Security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23, 2024, the Company entered into the Loan and Security Agreement, by and among the Bridge Borrower, the 2024 Guarantors, the 2024 Lenders and Madryn Health Partners, LP, as administrative agent. Pursuant to the Loan and Security Agreement, the 2024 Lenders have agreed to provide the Bridge Borrower with Bridge Financing in the form of a term loan in the original principal amount of $2.2 million and one or more delayed draw term loans of up to an additional principal amount of $2.8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26, 2024 and February 21, 2025 additional delayed draws in the amounts of $5.3 million were made, respectively. On November 26, 2024, an additional delayed draw of $1.2 million was made, and on December 9, 2024, an additional delayed draw of $1.5 million was made, for a total drawdown as of December 31, 2024 of $7.9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From May 24, 2024 through March 27, 2025 the Loan Parties entered into Bridge Financing Amendments Two through Thirteen, which among other things, extended the maturity date to April 30, 2025, increased the delayed draw commitment from $2.8 million to $21.0 million, made interest payments payable-in-kind, deleted the net loss covenant, and granted relief from minimum liquidity requirements. These amendments are discussed in Note 11 </w:t>
      </w:r>
      <w:r>
        <w:rPr>
          <w:rFonts w:ascii="Times New Roman" w:cs="Times New Roman" w:eastAsia="Times New Roman" w:hAnsi="Times New Roman"/>
          <w:sz w:val="18"/>
          <w:szCs w:val="18"/>
          <w:i w:val="1"/>
          <w:iCs w:val="1"/>
          <w:color w:val="auto"/>
        </w:rPr>
        <w:t>"Madryn Debt and Convertible Notes"</w:t>
      </w:r>
      <w:r>
        <w:rPr>
          <w:rFonts w:ascii="Times New Roman" w:cs="Times New Roman" w:eastAsia="Times New Roman" w:hAnsi="Times New Roman"/>
          <w:sz w:val="18"/>
          <w:szCs w:val="18"/>
          <w:color w:val="auto"/>
        </w:rPr>
        <w:t xml:space="preserve"> in the notes to our condensed consolidated financial statements included elsewhere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Exchange Agreements, 2025 Exchange Agreement and Series Y Convertible Preferred Stock Issuance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24, 2024, the Company entered into the 2024 Exchange Agreement with the Madryn Noteholders, pursuant to which the Madryn Noteholders agreed to exchange $52,142 million in aggregate principal amount outstanding under the Main Street Priority Loan, dated December 8, 2020, for (i) $17,142 million in aggregate principal amount of new secured convertible notes of the Company and (ii) 576,986 shares of newly-created convertible preferred stock of the Company, designated as "Series Y Convertible Preferred Stock." As part of the extinguishment of principal, the Company recognized a $10.9 million non-cash loss.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26, 2024, the Company entered into the Second 2024 Exchange Agreement whereby the Company exchanged $17,662 of the balance outstanding under the MSLP Loan Agreement for $2,662 in aggregate principal amount outstanding under the MSLP Loan Agreement and 203,583 shares of Series Y Convertible Preferred Stock. As part of the extinguishment of principal, the Company recognized a $0.5 million non-cash loss.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2025, the Company entered into the 2025 Exchange Agreement whereby the Company exchanged $28,016 in aggregate principal amount outstanding under the New Notes for $17,016 in aggregate principal of New Secured Notes and 379,311 shares of Series Y Preferred Stock. As part of the extinguishment of principal, the Company recognized a $1.0 million non-cash loss.</w:t>
      </w:r>
    </w:p>
    <w:p>
      <w:pPr>
        <w:spacing w:after="0" w:line="1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transactions are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condensed consolidated financial statements included elsewhere in this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derive revenue from the sale of products and services. Product revenue includes revenue from the following:</w:t>
      </w:r>
    </w:p>
    <w:p>
      <w:pPr>
        <w:spacing w:after="0" w:line="22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the sale, including traditional sales, Venus Prime and legacy subscription-based sales, of systems, inclusive of the main console and</w:t>
      </w:r>
    </w:p>
    <w:p>
      <w:pPr>
        <w:sectPr>
          <w:pgSz w:w="11900" w:h="16838" w:orient="portrait"/>
          <w:cols w:equalWidth="0" w:num="1">
            <w:col w:w="11240"/>
          </w:cols>
          <w:pgMar w:left="320" w:top="121" w:right="339" w:bottom="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applicators/handpieces (referred to as system revenue);</w:t>
      </w:r>
    </w:p>
    <w:p>
      <w:pPr>
        <w:spacing w:after="0" w:line="225" w:lineRule="exact"/>
        <w:rPr>
          <w:sz w:val="20"/>
          <w:szCs w:val="20"/>
          <w:color w:val="auto"/>
        </w:rPr>
      </w:pPr>
    </w:p>
    <w:p>
      <w:pPr>
        <w:ind w:left="660" w:hanging="31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supplies and kits;</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consumables and disposables;</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and</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applicators/handpieces.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revenue includes revenue derived from our extended warranty service contracts provided to our existing customers.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Systems are sold through traditional sales contracts, through our internal financing programs and through distributors. In the third quarter of 2022 we commenced an initiative to reduce our reliance on system sales sold under subscription agreements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generate revenue from traditional system sales and from sales under our internal lease programs, which are available to customers in North America and select international markets. Approximately 25% of our aesthetic system revenues were derived from our internal lease programs in the three months ended March 31, 2025 and March 31, 2024, respectively. We currently do not offer the ARTAS iX system under our internal lease programs. For additional details related to our internal lease programs, see </w:t>
      </w:r>
      <w:r>
        <w:rPr>
          <w:rFonts w:ascii="Times New Roman" w:cs="Times New Roman" w:eastAsia="Times New Roman" w:hAnsi="Times New Roman"/>
          <w:sz w:val="18"/>
          <w:szCs w:val="18"/>
          <w:i w:val="1"/>
          <w:iCs w:val="1"/>
          <w:color w:val="auto"/>
        </w:rPr>
        <w:t>Part 1, Item 1. Business</w:t>
      </w:r>
      <w:r>
        <w:rPr>
          <w:rFonts w:ascii="Times New Roman" w:cs="Times New Roman" w:eastAsia="Times New Roman" w:hAnsi="Times New Roman"/>
          <w:sz w:val="18"/>
          <w:szCs w:val="18"/>
          <w:color w:val="auto"/>
        </w:rPr>
        <w:t xml:space="preserve"> as filed in our Form 10-K for the year ended December 31,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2024, the Company launched its new Venus Prime program which is a structured in-house financing program replacing its legacy subscription program for customers in North America. Under our Venus Prime program, select customers can qualify for competitive financing rates and continue to benefit from the payment flexibility afforded by our previous subscription financing program when purchasing our aesthetic medical devices, as well as a seamless technology upgrade program made available to our customers in years 2 and 3 of ownership.</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Like our legacy subscription model, Venus Prime includes an up-front fee and a monthly payment schedule, typically over a period of 36 months, with approximately 40% to 45% of total contract payments collected in the first year. To ensure that each monthly payment is made on time and that the customer’s system is serviced in accordance with the terms of the warranty, every product purchased under Venus Prime requires a monthly activation code, which we provide to the customer upon receipt of the monthly payment. These recurring monthly payments provide our customers with enhanced financial transparency and predictability. This structure can provide greater flexibility than traditional equipment leases secured through financing companies. We work closely with our customers to provide business recommendations that improve the quality-of-service outcomes, build patient traffic and improve financial returns for the customer’s business.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developed and received regulatory clearance for twelve novel aesthetic technology platforms, including our ARTAS and NeoGraft systems. We believe our ARTAS and NeoGraft systems are complementary and give us a hair restoration product offering that can serve a broad segment of the market. Our medical aesthetic technology platforms have received regulatory clearance for a variety of indications, including treatment of facial wrinkles in certain skin types, temporary reduction of appearance of cellulite, non-invasive fat reduction (lipolysis) in the abdomen and flanks for certain body types and relief of minor muscle aches and pains in jurisdictions around the world. In addition, our technology pipeline is heavily focused on improving and enhancing our current technologies, products, and services and the development of robotically assisted minimally invasive solutions for aesthetic procedures that are primarily treated by surgical intervention, including the AI.ME platform for which we received FDA 510(k) clearance for fractional skin resurfacing in December 2022.</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the United States, we have obtained 510(k) clearance from the FDA for our Venus Viva, Venus Viva MD, Venus Legacy, Venus Versa, Venus Versa Pro, Venus Velocity, Venus Bliss, Venus Bliss Max, Venus Epileve, Venus Fiore, ARTAS, ARTAS iX and AI.ME systems.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we operated directly in 11 international markets through our 9 direct offices in the United States, Canada, Mexico, Spain, Germany, Australia, China, Hong Kong, and Israel.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for the three months ended March 31, 2025, and 2024 were $13.6 million and $17.5 million, respectively. We had a net loss attributable to the Company of $12.4 million and $9.8 million in the three months ended March 31, 2025, and 2024, respectively. We had an Adjusted EBITDA loss of $8.3 million and $5.1 million for the three months ended March 31, 2025, and 2024,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is a non-GAAP measure defined as net income (loss) before foreign exchange (gain) loss, financial expenses, income tax expense (benefit),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non-cash charges, the assets being depreciated will often have to be replaced in the future, and Adjusted EBITDA does not reflect any cash requirements for such replacements.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reconciliation of net loss to Adjusted EBITDA for the periods presented:</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4"/>
                <w:szCs w:val="24"/>
                <w:color w:val="auto"/>
              </w:rPr>
            </w:pPr>
          </w:p>
        </w:tc>
        <w:tc>
          <w:tcPr>
            <w:tcW w:w="32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adjusted EBITDA</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(12,366)</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(9,789)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92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1,570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80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CEWS </w:t>
            </w:r>
            <w:r>
              <w:rPr>
                <w:rFonts w:ascii="Times New Roman" w:cs="Times New Roman" w:eastAsia="Times New Roman" w:hAnsi="Times New Roman"/>
                <w:sz w:val="25"/>
                <w:szCs w:val="25"/>
                <w:color w:val="auto"/>
                <w:vertAlign w:val="superscript"/>
              </w:rPr>
              <w:t>(1)</w:t>
            </w:r>
          </w:p>
        </w:tc>
        <w:tc>
          <w:tcPr>
            <w:tcW w:w="92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Other adjustments </w:t>
            </w:r>
            <w:r>
              <w:rPr>
                <w:rFonts w:ascii="Times New Roman" w:cs="Times New Roman" w:eastAsia="Times New Roman" w:hAnsi="Times New Roman"/>
                <w:sz w:val="25"/>
                <w:szCs w:val="25"/>
                <w:color w:val="auto"/>
                <w:vertAlign w:val="superscript"/>
              </w:rPr>
              <w:t>(2)</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spacing w:after="0" w:line="255" w:lineRule="auto"/>
        <w:tabs>
          <w:tab w:leader="none" w:pos="12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the Canada Revenue Agency (“CRA”) initiated an audit of the Canada Emergency Wage Subsidy Claim (“CEWS”) that the Company filed between 2020-2021. The CRA has currently assessed a denial of CEWS claims made by the Company in 2020 and requesting repayment of $418. The Company disputes the CRA assessment and intends to challenge this matter through the Tax Court or Judicial Review.</w:t>
      </w:r>
    </w:p>
    <w:p>
      <w:pPr>
        <w:spacing w:after="0" w:line="2" w:lineRule="exact"/>
        <w:rPr>
          <w:rFonts w:ascii="Times New Roman" w:cs="Times New Roman" w:eastAsia="Times New Roman" w:hAnsi="Times New Roman"/>
          <w:sz w:val="18"/>
          <w:szCs w:val="18"/>
          <w:color w:val="auto"/>
        </w:rPr>
      </w:pPr>
    </w:p>
    <w:p>
      <w:pPr>
        <w:ind w:left="980"/>
        <w:spacing w:after="0" w:line="260" w:lineRule="auto"/>
        <w:tabs>
          <w:tab w:leader="none" w:pos="123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2025 and March 31, 2024 the other adjustments are represented by restructuring activities designed to improve the Company's operations and cost structure.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Impacting Our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are impacted by several factors, but we consider the following to be particularly significant to our business: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Number of systems delivered. </w:t>
      </w:r>
      <w:r>
        <w:rPr>
          <w:rFonts w:ascii="Times New Roman" w:cs="Times New Roman" w:eastAsia="Times New Roman" w:hAnsi="Times New Roman"/>
          <w:sz w:val="18"/>
          <w:szCs w:val="18"/>
          <w:color w:val="auto"/>
        </w:rPr>
        <w:t>The majority of our revenue is generated from the delivery of systems, both under traditional sales contracts and internal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financing programs. The following table sets forth the number of systems we have delivered in the geographic regions indicated:</w:t>
      </w:r>
    </w:p>
    <w:p>
      <w:pPr>
        <w:spacing w:after="0" w:line="155"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560" w:type="dxa"/>
        <w:tblCellMar>
          <w:top w:w="0" w:type="dxa"/>
          <w:left w:w="0" w:type="dxa"/>
          <w:bottom w:w="0" w:type="dxa"/>
          <w:right w:w="0" w:type="dxa"/>
        </w:tblCellMar>
      </w:tblPr>
      <w:tr>
        <w:trPr>
          <w:trHeight w:val="209"/>
        </w:trPr>
        <w:tc>
          <w:tcPr>
            <w:tcW w:w="6800" w:type="dxa"/>
            <w:vAlign w:val="bottom"/>
            <w:gridSpan w:val="2"/>
          </w:tcPr>
          <w:p>
            <w:pPr>
              <w:spacing w:after="0"/>
              <w:rPr>
                <w:sz w:val="18"/>
                <w:szCs w:val="18"/>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systems delivered</w:t>
            </w:r>
          </w:p>
        </w:tc>
        <w:tc>
          <w:tcPr>
            <w:tcW w:w="10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Mix between traditional sales, distributor sales, and sales made under our internal financing programs. </w:t>
      </w:r>
      <w:r>
        <w:rPr>
          <w:rFonts w:ascii="Times New Roman" w:cs="Times New Roman" w:eastAsia="Times New Roman" w:hAnsi="Times New Roman"/>
          <w:sz w:val="18"/>
          <w:szCs w:val="18"/>
          <w:color w:val="auto"/>
        </w:rPr>
        <w:t>We deliver systems through (1) traditional direct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sales contracts to customers, (2) our internal financing programs, and (3) system sales through distribution agreements. Unit deliveries under direct system sales contracts and internally financed sales have higher per unit revenues and gross margins, while revenues and gross margins on systems sold through distributors are lower. However, distributor sales do not require significant sales and marketing support as these expenses are borne by the distributors. In addition, while traditional system sales and internally financed sales have similar gross margins, cash collections on sales financed under our internal financing programs generally occur over a three-year period, with approximately 40% to 45% collected in the first year and the balance collected evenly over the remaining two years of the agreement. In the third quarter of 2022 we commenced an initiative to reduce our reliance on system sales sold under our internal financing programs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Sales, Marketing and Operations. </w:t>
      </w:r>
      <w:r>
        <w:rPr>
          <w:rFonts w:ascii="Times New Roman" w:cs="Times New Roman" w:eastAsia="Times New Roman" w:hAnsi="Times New Roman"/>
          <w:sz w:val="18"/>
          <w:szCs w:val="18"/>
          <w:color w:val="auto"/>
        </w:rPr>
        <w:t>In previous years, we made a strategic decision to penetrate the global market by investing in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expenses across all geographic segments. This included the opening of direct offices and hiring experienced sales, marketing, and operational staff. While we generated incremental product sales in these new markets, these revenues and the related margins did not fully offset the startup investments made in certain countries. We continue to evaluate our profitability and growth prospects in these countries and have taken and will continue to take steps to exit countries which we do not believe will produce sustainable results. Since June 2020 we have ceased direct sales operations in 14 countries across Europe, Asia Pacific, Latin America and Africa and have increased our investment in, and focus on, the United States market.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2025, and 2024, respectively, we di</w:t>
      </w:r>
      <w:r>
        <w:rPr>
          <w:rFonts w:ascii="Times New Roman" w:cs="Times New Roman" w:eastAsia="Times New Roman" w:hAnsi="Times New Roman"/>
          <w:sz w:val="18"/>
          <w:szCs w:val="18"/>
          <w:color w:val="333333"/>
        </w:rPr>
        <w:t>d not open an</w:t>
      </w:r>
      <w:r>
        <w:rPr>
          <w:rFonts w:ascii="Times New Roman" w:cs="Times New Roman" w:eastAsia="Times New Roman" w:hAnsi="Times New Roman"/>
          <w:sz w:val="18"/>
          <w:szCs w:val="18"/>
          <w:color w:val="auto"/>
        </w:rPr>
        <w:t>y direct sales offices.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Bad Debt Expense. </w:t>
      </w:r>
      <w:r>
        <w:rPr>
          <w:rFonts w:ascii="Times New Roman" w:cs="Times New Roman" w:eastAsia="Times New Roman" w:hAnsi="Times New Roman"/>
          <w:sz w:val="18"/>
          <w:szCs w:val="18"/>
          <w:color w:val="auto"/>
        </w:rPr>
        <w:t>We maintain an allowance for expected credit losses for estimated losses that may primarily arise from customers who purchased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under our internal financing programs who are unable to make the remaining payments required under their agreements. We continue to focus our selling efforts on cash sales and internal financing customers with a stronger credit profile, with the goal of reducing our exposure to credit losses. We incurred a bad debt expense of $1.2 million during the three months ended March 31, 2025. This compares to $0.2 million for the three months ended March 31, 2024. As of March 31, 2025, our allowance for expected credit losses was $3.1 million which represented approximately 11% of the gross outstanding accounts receivable as of this date. As of March 31, 2024 our allowance for expected credit losses was $5.3 million which represented approximately 13% of the gross outstanding accounts receivable as of this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has recently experienced extreme volatility and disruption, including increases to inflation rates, rising interest rates, foreign currency impacts, declines in consumer confidence, and a challenging growth environment. In addition, we face uncertainty with respect to both the quantum and duration of tariffs the new U.S. Federal administration will levy on goods imported from China, Mexico, Europe, Canada and other international jurisdictions. These actions have prompted retaliatory tariffs and other measures by a number of countries. The U.S. Federal administration recently increased tariffs on goods imported from Israel to 10% (reduced from an initial increase of 17%). As the majority of our systems are sourced from Israel, our cost of goods will increase and we will experience modest margin erosion. All these factors point to potential recessionary impacts, and the severity and duration of these conditions on our business cannot be predicted. The bulk of the first quarter revenue decline was due to a significant tightening in credit markets in the U.S. and international markets due to higher interest rates and economic uncertainty impacting our customers' ability and/or desire to secure capital equipment financing. In addition, our international results were negatively affected by our international strategy to wind down underperforming countries as we continued to transition to third party distributors. On a positive note, the Federal Reserve Board (Fed), the Bank of England, the European Central Bank, the Swiss National Bank and the Bank of Canada all recently reduced interest rates in an effort to reduce the degree of restrictiveness in monetary policy. We remain focused on adapting to the challenges presented by the current macro-economic environment, as well as the opportunities presented by an easing of monetary policy.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Israel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Hamas conflict</w:t>
      </w:r>
      <w:r>
        <w:rPr>
          <w:rFonts w:ascii="Times New Roman" w:cs="Times New Roman" w:eastAsia="Times New Roman" w:hAnsi="Times New Roman"/>
          <w:sz w:val="18"/>
          <w:szCs w:val="18"/>
          <w:color w:val="auto"/>
        </w:rPr>
        <w:t>. Following the October 7, 2023 attack by Hamas on Israeli citizens and the declaration of war that followed, we have taken steps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mitigate exposure to risks related to our Israeli operations, the risks of which are further described in Item 1A. Risk Factors in this Quarterly Report on Form 10-Q. These efforts include but are not limited to, working with our contract manufacturers to accelerate inventory build, contingency planning with respect to alternative manufacturing sites within their network, and relocating larger amounts of finished goods to warehouses in North America to protect our ability to distribute products. Alongside the Company's continuity plan, we maintain regular contact with our employees in Israel and have instituted a wellness program designed to provide access to healthcare practitioners/consultants for short term counselling for colleagues and family members in order to provide assistance during the conflict.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chain. </w:t>
      </w:r>
      <w:r>
        <w:rPr>
          <w:rFonts w:ascii="Times New Roman" w:cs="Times New Roman" w:eastAsia="Times New Roman" w:hAnsi="Times New Roman"/>
          <w:sz w:val="18"/>
          <w:szCs w:val="18"/>
          <w:color w:val="auto"/>
        </w:rPr>
        <w:t>We did not experience significant supply issues during the three months ended March 31, 2025 as we continue to actively work with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suppliers and third-party manufacturers to mitigate supply issues and build inventory of key component parts. We anticipate some supply challenges during the balance of 2025, due to geopolitical disruption in the middle east impacting shipping lanes, deliveries of materials and component parts, impacting production lead times that may impact our ability to manufacture the number of systems required to meet customer demand. In addition, since the second quarter of 2021 we have experienced significant inflationary pressures throughout our supply chain, which may continue throughout the rest of 2025. We also face uncertainty with respect to the quantum and duration of tariffs the new U.S. Federal administration will levy on goods imported from China, Mexico, Europe, Canada and other international jurisdictions. These actions have prompted retaliatory tariffs and other measures by a number of countries. The U.S. Federal administration recently increased tariffs on goods imported from Israel to 10% (reduced from initial increase of 17%). As the majority of our systems are sourced from Israel, our cost of goods will increase and we will experience modest margin erosion. We continue to mitigate such pressures, where possible, through price increases and margin management.</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economic conditions. </w:t>
      </w:r>
      <w:r>
        <w:rPr>
          <w:rFonts w:ascii="Times New Roman" w:cs="Times New Roman" w:eastAsia="Times New Roman" w:hAnsi="Times New Roman"/>
          <w:sz w:val="18"/>
          <w:szCs w:val="18"/>
          <w:color w:val="auto"/>
        </w:rPr>
        <w:t>General global economic downturns and macroeconomic trends, including heightened inflation, capital markets volatility,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rate and currency rate fluctuations, protectionist trade policies and retaliatory measures, economic slowdowns, have resulted and may continue to result in unfavorable conditions and recessionary impacts that negatively affect demand for our products and exacerbate some of the other risks that affect our business, financial condition and results of operations. Both domestic and international markets experienced significant inflationary pressures in fiscal year 2024. While inflation rates in the U.S., as well as in other countries in which we operate, are showing signs of moderation, the impact of such successive increases on cost structures remains, affecting governments, corporations and small businesses alike. Our customers have also been affected by higher inflation and higher interest rates, impacting their ability to secure third party financing or causing many of them to delay capital purchases due to high interest rates. As noted above, the Federal Reserve in the U.S. and other central banks in various countries have commenced a cycle of interest rate reductions in response to concerns about stagnant growth, and protectionist trade policies.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markets. </w:t>
      </w:r>
      <w:r>
        <w:rPr>
          <w:rFonts w:ascii="Times New Roman" w:cs="Times New Roman" w:eastAsia="Times New Roman" w:hAnsi="Times New Roman"/>
          <w:sz w:val="18"/>
          <w:szCs w:val="18"/>
          <w:color w:val="auto"/>
        </w:rPr>
        <w:t>We are a global business, having established a commercial presence in more than 60 countries during our history. While the continued post-pandemic recovery remains challenging due to the challenging global economic conditions noted above, we continue to evaluate our direct operations, particularly those outside of North America.</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collections. </w:t>
      </w:r>
      <w:r>
        <w:rPr>
          <w:rFonts w:ascii="Times New Roman" w:cs="Times New Roman" w:eastAsia="Times New Roman" w:hAnsi="Times New Roman"/>
          <w:sz w:val="18"/>
          <w:szCs w:val="18"/>
          <w:color w:val="auto"/>
        </w:rPr>
        <w:t>We remain fully focused on our revised credit screening practices with the goal of reducing bad debt expenses.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2025, our allowance for expected credit losses stands at $3.1 million, which represents 11% of the gross outstanding accounts receivable as of that date. This represents a decrease of $0.7 million or 18% from our December 31, 2024 allowance for expected credit losses balance of $3.8 million.</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fluctuations. </w:t>
      </w:r>
      <w:r>
        <w:rPr>
          <w:rFonts w:ascii="Times New Roman" w:cs="Times New Roman" w:eastAsia="Times New Roman" w:hAnsi="Times New Roman"/>
          <w:sz w:val="18"/>
          <w:szCs w:val="18"/>
          <w:color w:val="auto"/>
        </w:rPr>
        <w:t>We are primarily exposed to foreign exchange risk with respect to revenues generated outside of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denominated in New Israeli Shekels, Euros, Canadian dollars, Australian dollars, Hong Kong dollars, and Mexican pesos. We manage our foreign currency exposures on a consolidated basis, which allows us to net exposures and take advantage of any natural offsets. We do not hedge our entire foreign exchange exposure and are still subject to earnings and stockholders' equity volatility relating to foreign exchange risk. Financial market and currency volatility may limit our ability to cost-effectively hedge these exposures.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revenue from (1) sales of systems through our internal financing programs, traditional system sales to customers and distributors, (2) other product revenues from the sale of ARTAS kits, Viva tips, other consumables, marketing supplies, and (3) service revenue from our extended warranty service contracts provided to existing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System Revenue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months ended March 31, 2025, approximately 25% of our total system revenues were derived from our internal financing programs (Venus Prime and our legacy subscription model). For the three months ended March 31, 2024, approximately 25% of our total system revenues were derived from our internal financing programs. Lease program revenues in the first three months of 2025 have declined compared to the same period in 2024, partially due to our strategy to prioritize cash deals over internal financing program deals in order to improve cash generation and preserve liquidity. The decline is also attributable to uncertainty about economic stability, and a significant tightening in credit markets in the U.S. and international markets due to higher interest rates, impacting our customers' ability and/or desire to secure capital equipment financing. Our internal financing programs are designed to provide a low barrier to ownership of our systems and includes an up-front fee followed by monthly payments, typically over a 36-month period. The up-front fee serves as a down payment. For accounting purposes, our internal financing programs are considered to be sales-type finance leases, where the present value of all cash flows to be received under the agreement is recognized as revenue upon shipment to the customer and achievement of the required revenue recognition criteria.</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and 2024 approximately 68% and 62%, respectively, of our total system revenues were derived from traditional sales. We continue to focus on traditional sales in line with our strategy to prioritize cash deals over internal lease program deals in order to improve cash generation and preserve liquidity.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generally demand higher discounts in connection with traditional sales. We recognize revenues from products sold to customers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grant rights of return or early termination rights to our customers under either our traditional sales or internal lease programs. These traditional sales are generally made through our sales team in the countries in which the team operates.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and 2024, approximately 7% and 13%, respectively, of our total system revenues were derived from distributor sales. The decline is attributable to uncertainty about economic stability, and a significant tightening in international credit markets.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and are accounted for using the sell-in method.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Procedure Based Revenue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generate revenue from the harvesting, site making, and implantation procedures performed with our ARTAS system. The harvesting procedure, as the name suggests, is the act of harvesting hair follicles from the patient’s scalp for implantation in the prescribed areas. To perform these procedures, a disposable clinical kit is required. These kits can be large (with an unlimited number of harvests) or small (with a maximum of 1,100 harvests). The customer must place an online order with us for the number and type of kits desired and make a payment. Upon receipt of the order and the related payment, we ship the kit(s), and the customer must scan the barcode on the kit label in order to perform the procedure. Once the kits are exhausted, the customer must purchase additional kits. The site making procedure uses the ARTAS system to create a recipient site (i.e., site making) in the patient’s scalp affected by androgenic alopecia (or male pattern baldness). The site making procedure also requires a disposable site making kit. The site making kits are sold to customers in the same manner as the kits for harvesting procedures. The implantation procedure utilizes the same disposal kit that is used for site making and involves immediately implanting follicles into the created recipient site. The implantation kits are sold to customers in the same manner as the harvesting and site making kits.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Product 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generate revenue from our customer base by selling Viva tips, Glide (a cooling/conductive gel which is required for use with many of our systems), marketing supplies and kits, various consumables and disposables, replacement applicators and handpieces, and ARTAS system training.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Service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ancillary revenue from our existing customers by selling additional services including extended warranty service contracts.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and Marketing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sell our products and services using direct sales representatives in North America and in select international markets. Our sales costs primarily consist of salaries, commissions, benefits, incentive compensation and stock-based compensation. Costs also include expenses for travel and other promotional and sales-related activities as well as clinical training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marketing costs primarily consist of salaries, benefits, incentive compensation and stock-based compensation. They also include expenses for travel, trade shows, and other promotional and marketing activities, including direct and online marketing. As the business environment improves, we expect sales and marketing expenses to continue to increase, but at a rate slightly below our rate of revenue growth.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general and administrative costs primarily consist of expenses associated with our executive, accounting and finance, information technology, legal, regulatory affairs, quality assurance and human resource departments, direct office rent/facilities costs, and intellectual property portfolio management. These expenses consist of personnel-related expenses (primarily salaries, benefits, incentive compensation and stock-based compensation), audit fees, legal fees, consultants, travel, insurance, and expected credit losses. During the normal course of operations, we may incur expected credit losses on accounts receivable balances that are deemed to be uncollectible.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costs primarily consist of personnel-related costs (primarily salaries, benefits, incentive compensation, and stock-based compensation), material costs, amortization of intangible assets, clinical costs, and facilities costs in our Yokneam, Israel and San Jose, California research centers. Our ongoing research and development activities are primarily focused on improving and enhancing our current technologies, products, and services, and on expanding our current product offering with the introduction of new products and expanded indications.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We expect our research and development expenses to increase in absolute dollars as we continue to invest in research, clinical studies, and development activities, but to decline as a percentage of revenue as our revenue increases over time.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Finance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Finance expenses consist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rates on our long-term debt were 7.5% for the MSLP Loan (now owned by Madryn), 13.5% for the Madryn Notes, and 13.6% for the 2024 Notes as of March 31, 2025 and 7.7% for the MSLP Loan, 13.5% for the Madryn Notes, and 13.6% for the 2024 Notes as of December 31, 2024 .</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(Gain) Loss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Foreign currency exchange loss changes reflect foreign exchange gains or losses related to the change in value of assets and liabilities denominated in currencies other than the U.S. dollar.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Loss on Debt Extinguishment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on Debt Extinguishment is due to the March 2025 exchange of $28.0 million in aggregate principal amount outstanding under the New Notes for $17.0 million in aggregate principal of New Secured Notes and 379,311 shares of its Series Y preferred stock. As part of the March 2025 extinguishment of principal, the Company recognized a $1.0 million non-cash 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Expense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In certain jurisdictions, only the payments invoiced in the current period are subject to tax, but for accounting purposes, the discounted value of the total subscription contract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 Income tax expense is recognized based on the actual taxable income or loss incurred during the three months ended March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Non-Controlling Interests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minority shareholders in one jurisdiction in which we have direct operations. For accounting purposes, these minority partners are referred to as non-controlling interests, and we record the non-controlling interests’ share of earnings in our subsidiaries as a separate balance within stockholders’ equity in the consolidated balance sheets and consolidated statements of stockholders’ equity (deficit).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consolidated results of operations in U.S. dollars and as a percentage of revenues for the periods indicated:</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Loss:</w:t>
            </w:r>
          </w:p>
        </w:tc>
        <w:tc>
          <w:tcPr>
            <w:tcW w:w="20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Leases</w:t>
            </w:r>
          </w:p>
        </w:tc>
        <w:tc>
          <w:tcPr>
            <w:tcW w:w="2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Products and services</w:t>
            </w:r>
          </w:p>
        </w:tc>
        <w:tc>
          <w:tcPr>
            <w:tcW w:w="20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Products and services</w:t>
            </w:r>
          </w:p>
        </w:tc>
        <w:tc>
          <w:tcPr>
            <w:tcW w:w="20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11,647</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Selling and marketing</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6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1" w:right="339" w:bottom="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(9,528)</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(7,760)</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5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1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Finance expenses</w:t>
            </w:r>
          </w:p>
        </w:tc>
        <w:tc>
          <w:tcPr>
            <w:tcW w:w="2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(12,028)</w:t>
            </w:r>
          </w:p>
        </w:tc>
        <w:tc>
          <w:tcPr>
            <w:tcW w:w="5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(9,752)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08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(12,366)</w:t>
            </w: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(9,789)</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4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stockholders of the Company</w:t>
            </w:r>
          </w:p>
        </w:tc>
        <w:tc>
          <w:tcPr>
            <w:tcW w:w="2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(12,363)</w:t>
            </w:r>
          </w:p>
        </w:tc>
        <w:tc>
          <w:tcPr>
            <w:tcW w:w="5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(9,794)</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2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4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a % of revenue:</w:t>
            </w:r>
          </w:p>
        </w:tc>
        <w:tc>
          <w:tcPr>
            <w:tcW w:w="2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(69.8)</w:t>
            </w:r>
          </w:p>
        </w:tc>
        <w:tc>
          <w:tcPr>
            <w:tcW w:w="5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(0.9)</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2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(88.2)</w:t>
            </w:r>
          </w:p>
        </w:tc>
        <w:tc>
          <w:tcPr>
            <w:tcW w:w="5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(55.8)</w:t>
            </w:r>
          </w:p>
        </w:tc>
        <w:tc>
          <w:tcPr>
            <w:tcW w:w="56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18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0" w:right="339" w:bottom="1440" w:gutter="0" w:footer="0" w:header="0"/>
        </w:sectPr>
      </w:pPr>
    </w:p>
    <w:bookmarkStart w:id="44" w:name="page45"/>
    <w:bookmarkEnd w:id="4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tables set forth our revenue by region and by product type for the periods indicated:</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(dollars in</w:t>
            </w: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thousands)</w:t>
            </w: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by region:</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(dollars in</w:t>
            </w: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thousands)</w:t>
            </w: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by product:</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Venus Prime / Subscription—Systems</w:t>
            </w:r>
          </w:p>
        </w:tc>
        <w:tc>
          <w:tcPr>
            <w:tcW w:w="10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Products—Systems</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Products—Other </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tcBorders>
              <w:bottom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Services </w:t>
            </w:r>
            <w:r>
              <w:rPr>
                <w:rFonts w:ascii="Times New Roman" w:cs="Times New Roman" w:eastAsia="Times New Roman" w:hAnsi="Times New Roman"/>
                <w:sz w:val="25"/>
                <w:szCs w:val="25"/>
                <w:color w:val="auto"/>
                <w:vertAlign w:val="superscript"/>
              </w:rPr>
              <w:t>(2)</w:t>
            </w:r>
          </w:p>
        </w:tc>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Products-Other include ARTAS procedure kits, Viva tips, Glide and other consumables.</w:t>
      </w:r>
    </w:p>
    <w:p>
      <w:pPr>
        <w:ind w:left="780"/>
        <w:spacing w:after="0"/>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Services include extended warranty sales.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9"/>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Venus Prime / Subscription—Systems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(882)</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Products—Systems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(2,632)</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Products—Other</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17,479</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(3,836)</w:t>
            </w:r>
          </w:p>
        </w:tc>
        <w:tc>
          <w:tcPr>
            <w:tcW w:w="30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 decreased by $3.8 million, or 21.9%, to $13.6 million for the three months ended March 31, 2025 from $17.5 million for the three months ended March 31, 2024. The decrease in revenue is primarily attributed to the effects of customer uncertainty about economic stability, tighter third-party lending practices which negatively impacted capital equipment sales in the U.S. and the exiting of unprofitable direct markets. This revenue decline is the primary reason driving cash used in operations $3.4 million higher than the same period in 2024.</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sold an aggregate of 196 systems in the three months ended March 31, 2025 compared to 314 systems in the three months ended March 31, 2024. The percentage of systems revenue derived from our internal lease programs was approximately 25% and 25% during the three months ended March 31, 2025 and 2024, respectively. The continuing low percentage is in line with our strategy to prioritize cash deals over internal financing program deals in order to improve cash generation and preserve liquidity. Specific to the U.S. market, systems revenue derived from our internal lease programs was approximately 20% and 25% during the three months ended March 31, 2025 and 2024, respectively. The Company remains steadfast in ensuring that its in-house financing program accepts only qualified customers with the goal to reduce future credit losses, often at the expense of topline revenue.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product revenue was $2.4 million in the three months ended March 31, 2025 a 5.4% decrease compared to product revenue of $2.6 million in the three months ended March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Services revenue was $0.7 million in the three months ended March 31, 2025, compared to $0.9 million in the three months ended March 31, 2024. The decrease is primarily due to the overall decline in device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Goods Sold and Gross Profit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goods sold decreased by $0.9 million, or 16%, to $4.9 million in the three months ended March 31, 2025, compared to $5.8 million in the three months ended March 31, 2024. Gross profit decreased by $2.9 million, or 24.8%, to $8.8 million in the three months ended March 31, 2025, compared to $11.6 million in the three months ended March 31, 2024. The decrease in gross profit is primarily due to the effects of tighter third party lending practices which negatively impacted capital equipment sales in the U.S., and a decrease in revenue in our international markets driven by the accelerated exit from unprofitable direct markets. Gross margin was 64.2% of revenue in the three months ended March 31, 2025, compared to 66.6% of revenue in the three months ended March 31, 2024. The decrease in gross margin is primarily attributable to higher device system costs of goods sold tracing to manufacturing overheads spread over a lower volume base, and to a lesser extent, product mix.</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5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20" w:type="dxa"/>
            <w:vAlign w:val="bottom"/>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2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2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294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08" w:right="339" w:bottom="0" w:gutter="0" w:footer="0" w:header="0"/>
        </w:sectPr>
      </w:pPr>
    </w:p>
    <w:bookmarkStart w:id="45" w:name="page46"/>
    <w:bookmarkEnd w:id="45"/>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and marketing</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(382)</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(513)</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2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(1,124)</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2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and Marketing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and marketing expenses decreased by $0.4 million or 5.2% in the three months ended March 31, 2025 compared to the three months ended March 31, 2024. This decrease is largely due to lower revenues and reduced activities as we exited unprofitable direct markets, and the effects of tighter third party lending practices which negatively impacted capital equipment sales in the U.S. As a percentage of total revenues, our selling and marketing expenses increased by 9.0%, from 42.2% in the three months ended March 31, 2024 to 51.2% in the three months ended March 31, 2025. As the business environment improves, we expect sales and marketing expenses to increase in absolute terms, but at a rate slightly below our rate of revenue growth.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$0.5 million or 5.0% in the three months ended March 31, 2025 compared to the three months ended March 31, 2024, primarily due to savings from exiting certain unprofitable direct markets and lower restructuring costs, partially offset by inflationary pressures associated with salaries and other cost elements, and higher bad debt expense. As a percentage of total revenues, our general and administrative expenses increased by 12.8%, from 58.6% in the three months ended March 31, 2024, to 71.4% in the three months ended March 31, 2025, primarily due to the decrease in year over year total revenues.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$0.2 million or 12.8% in the three months ended March 31, 2025 compared to the three months ended March 31, 2024. We experienced cost savings through the consolidation of activities between our Israel and United States sites, partially offset by a reinvestment in research and development efforts directed at scaling our robotic technology across other aesthetic platforms. As a percentage of total revenues, our research and development expenses increased by 1.2%, from 10.2% in the three months ended March 31, 2024, to 11.4% in the three months ended March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(Gain) Loss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$0.1 million of foreign exchange gain in the three months ended March 31, 2025 and foreign exchange loss of $0.3 million in the three months ended March 31, 2024 a favorable variance of $0.4 million year over year. Changes in foreign exchange are driven mainly by the effect of foreign exchange on accounts receivable balances denominated in currencies other than the U.S. dollar. We do not currently hedge against foreign currency risk.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Finance expenses decreased by $0.1 million or 5.8%, from $1.7 million in the three months ended March 31, 2024, compared to $1.6 million for the three months ended March 31, 2025, primarily due to significantly lower debt levels year over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Expense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an income tax expense of $0.3 million in the three months ended March 31, 2025 compared to a $0.04 million income tax expense in the three months ended March 31, 2024. The tax provision is driven by profitable sales and the actual effective tax rates where the sale took place or losses were incurred. In 2025, we had changes in timing of deductible expenses, tax accrual reversals and recognized tax losses in specific judications, which resulted in $0.3 million of income tax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had $3.2 million and $4.3 million of cash and cash equivalents as of March 31, 2025, and December 31, 2024, respectively. We have funded our operations with cash generated from operating activities, through the sale of equity securities and through debt financing. We had total debt obligations of approximately $35.5 million as of March 31, 2025, including the MSLP Loan of $2.8 million, convertible notes of $18.8 million, and a note payable (bridge financing) of $13.9 million compared to total debt obligations of approximately $39.7 million as of December 31, 2024. Cash used in operating activities during the three months ended March 31, 2025 was $6.3 million, representing a $3.4 million increase compared to the three months ended March 31, 2024. Working capital is primarily impacted by the ratio of our internal lease program sales (Venus Prime sales and legacy subscription-based sales) to traditional cash sales. Our shift to prioritize traditional cash sales over internal lease program sales is designed to improve liquidity and reduce working capital requirements over time. Our expanding product portfolio may require higher inventory levels to meet demand and to accommodate the increased number of technology platforms offered. We had a split of lease program revenue to traditional sales revenue at a ratio of approximately 25:75 in the three months ended March 31, 2025, compared to 25:75 in the three months ended March 31, 2024. We expect the ratio of lease program sales to traditional sales for the balance of 2025 and beyond to approximate a 30:70 split. We expect inventory to remain relatively flat in the short term but increase at a lower rate than the rate of revenue growth over the longer term.</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require modest funding for capital expenditures. Our capital expenditures relate primarily to our research and development facilities in Yokneam, Israel and San Jose, California. In addition, our capital investments have included improvements and expansion of our subsidiaries’ operations to support our growth, but do not expect to incur such costs over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Secured Subordinated Convertible Notes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Contemporaneously with the MSLP Loan Agreement, on December 9, 2020, we issued $26.7 million aggregate principal amount of the Notes to the Madryn Noteholders pursuant to the terms of the Exchange Agreement. The Notes accrued interest at a rate of 8.0% per annum from the date of original issuance of the Notes to the third anniversary date of the original issuance and thereafter interest accrued at a rate of 6.0% per annum. In connection with the Exchange Agreement, we also entered into (i) the Madryn Loan and Security Agreement, pursuant to which we agreed to grant Madryn a security interest, in substantially all of our assets, to secure the obligations under the Notes and (ii) the CNB Subordination Agreement. The Notes were convertible at any time into shares of our common stock at an initial conversion price of $536.25 per share, subject to adjustment. For additional information regarding the Notes, Exchange Agreement, Madryn Loan and Security Agreement and CNB Subordination Agreement, see Note 11 “Madryn Long-Term Debt and Convertible Notes” to our consolidated financial statements included elsewhere in this report. On October 4, 2023, the Company entered into the 2023 Exchange Agreement with the Madryn Noteholders, pursuant to which the Madryn Noteholders agreed to exchange $26.7 million in aggregate principal amount outstanding under the Notes for (i) $22.8 million in the New Notes, and (ii) 248,755 shares of Series X Convertible Preferred Stock. The New Notes accrued interest, payable in kind on a quarterly basis, at an annual rate of 90-day Adjusted SOFR + 8.5% and are convertible at any time into shares of our common stock at an initial conversion price of $264 per share, subject to adjustment. On March 31, 2025, the Company entered into the 2025 Exchange Agreement, pursuant to which the Madryn Noteholders agreed to exchange $28.0 million in aggregate principal amount outstanding under the New Notes for (i)$17.0 million in New Secured Notes and (ii) 379,311 shares of Series Y Preferred Stock. The New Secured Notes follow the same terms as the previous New Notes.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 Street Priority Lending Program Term Loan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8, 2020, we executed the MSLP Loan Agreement, MSLP Note, and related documents for a loan in the aggregate amount of $50.0 million for which CNB will serve as a lender pursuant to the Main Street Priority Loan Facility as established by the Board of Governors of the Federal Reserve System Section 13(3) of the Federal Reserve Act. On October 4, 2023, the Company, Venus USA, Venus Canada, and Venus Ltd. entered into the MSLP Loan Modification, which modified certain terms of the MSLP Loan Agreement. On April 23, 2024, the MSLP Loan was purchased by Madryn for an undisclosed amount from CNB with the consent of the Company. On May 24, 2024, the Lenders agreed to exchange $52.1 million in aggregate principal amount outstanding for $17.1 million in aggregate principal amount of new secured notes and 576,986 shares of newly-created Series Y Convertible Preferred Stock. On September 26, 2024, the Lenders agreed to another exchange of $17.7 million in aggregate principal amount outstanding for $2.7 million in aggregate principal of remaining secured notes and 203,583 shares of Series Y Convertible Preferred Stock. From June 21, 2024 through September 26, 2024, the Company entered into multiple Amendment and Consent Agreements with Madryn to, among other things, modify interest</w:t>
      </w:r>
    </w:p>
    <w:p>
      <w:pPr>
        <w:sectPr>
          <w:pgSz w:w="11900" w:h="16838" w:orient="portrait"/>
          <w:cols w:equalWidth="0" w:num="1">
            <w:col w:w="11240"/>
          </w:cols>
          <w:pgMar w:left="320" w:top="121" w:right="339" w:bottom="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payments to be payable-in-kind, grant relief from the Minimum Deposit Relationship obligations and minimum liquidity requirements, and delete the net loss covenant. See Note 11 </w:t>
      </w:r>
      <w:r>
        <w:rPr>
          <w:rFonts w:ascii="Times New Roman" w:cs="Times New Roman" w:eastAsia="Times New Roman" w:hAnsi="Times New Roman"/>
          <w:sz w:val="18"/>
          <w:szCs w:val="18"/>
          <w:i w:val="1"/>
          <w:iCs w:val="1"/>
          <w:color w:val="auto"/>
        </w:rPr>
        <w:t>"Madryn Debt and Convertible Notes"</w:t>
      </w:r>
      <w:r>
        <w:rPr>
          <w:rFonts w:ascii="Times New Roman" w:cs="Times New Roman" w:eastAsia="Times New Roman" w:hAnsi="Times New Roman"/>
          <w:sz w:val="18"/>
          <w:szCs w:val="18"/>
          <w:color w:val="auto"/>
        </w:rPr>
        <w:t xml:space="preserve"> to our condensed consolidated financial statements included elsewhere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EW Convertible Note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18, 2024, the Company, Venus USA, Venus Canada and Venus Ltd. entered into the Note Purchase Agreement with the EW Investors. Pursuant to the Note Purchase Agreement, the Company issued and sold to the EW Investors $2.0 million aggregate principal value of the 2024 Notes. The 2024 Notes accrue interest at a rate equal to the 90-day adjusted term Secured Overnight Financing Rate (SOFR) plus 8.50% per annum; provided, however, that if there is an Event of Default (as defined below), the then-applicable interest rate will increase by 4.00% per annum. In connection with the Note Purchase Agreement, the Company entered into the EW Security Agreement pursuant to which, the Company granted to the EW Investors a security interest in substantially all of their assets to secure the obligations under the 2024 Notes. The 2024 Notes were convertible at any time into shares of our common stock at an initial conversion price of $13.761 per share, subject to adjustment.</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additional information regarding the 2024 Notes, Note Purchase Agreement, and EW Security Agreement, see Note 12 “</w:t>
      </w:r>
      <w:r>
        <w:rPr>
          <w:rFonts w:ascii="Times New Roman" w:cs="Times New Roman" w:eastAsia="Times New Roman" w:hAnsi="Times New Roman"/>
          <w:sz w:val="18"/>
          <w:szCs w:val="18"/>
          <w:i w:val="1"/>
          <w:iCs w:val="1"/>
          <w:color w:val="auto"/>
        </w:rPr>
        <w:t>EW Convertible Notes</w:t>
      </w:r>
      <w:r>
        <w:rPr>
          <w:rFonts w:ascii="Times New Roman" w:cs="Times New Roman" w:eastAsia="Times New Roman" w:hAnsi="Times New Roman"/>
          <w:sz w:val="18"/>
          <w:szCs w:val="18"/>
          <w:color w:val="auto"/>
        </w:rPr>
        <w:t>” to our condensed consolidated financial statements included elsewhere in this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Madryn Loan and Security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April 23, 2024, the Company entered into the Loan and Security Agreement, by and among the Bridge Borrower, the 2024 Guarantors, the 2024 Lenders and Madryn Health Partners, LP, as administrative agent. Pursuant to the Loan and Security Agreement, the 2024 Lenders have agreed to provide the Bridge Borrower with Bridge Financing in the form of a term loan in the original principal amount of $2.2 million and one or more delayed draw term loans of up to an additional principal amount of $2.8 million. The transaction is discussed in Note 11 </w:t>
      </w:r>
      <w:r>
        <w:rPr>
          <w:rFonts w:ascii="Times New Roman" w:cs="Times New Roman" w:eastAsia="Times New Roman" w:hAnsi="Times New Roman"/>
          <w:sz w:val="18"/>
          <w:szCs w:val="18"/>
          <w:i w:val="1"/>
          <w:iCs w:val="1"/>
          <w:color w:val="auto"/>
        </w:rPr>
        <w:t>"Madryn Debt and Convertible Notes"</w:t>
      </w:r>
      <w:r>
        <w:rPr>
          <w:rFonts w:ascii="Times New Roman" w:cs="Times New Roman" w:eastAsia="Times New Roman" w:hAnsi="Times New Roman"/>
          <w:sz w:val="18"/>
          <w:szCs w:val="18"/>
          <w:color w:val="auto"/>
        </w:rPr>
        <w:t xml:space="preserve"> in the notes to our condensed consolidated financial statements included elsewhere in this report.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 with Lincoln Park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16, 2020, we entered into the Equity Purchase Agreement with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The aggregate number of shares that we can sell to Lincoln Park under the Equity Purchase Agreement may in no case exceed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$59.6325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Listing Rules). Also, at no time may Lincoln Park (together with its affiliates) beneficially own more than 9.99% of our issued and outstanding common stock. Concurrently with entering into the Equity Purchase Agreement, we also entered into a Registration Rights Agreement with Lincoln Park. The Equity Purchase Agreement expired on July 1, 2022.</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12, 2022, we entered into the 2022 LPC Purchase Agreement with Lincoln Park, and we issued and sold to Lincoln Park 0.004 million shares of our common stock as a commitment fee in connection with entering into the 2022 LPC Purchase Agreement, with the total value of $0.3 million. Through December 31, 2023 we issued an additional 70.6 thousand shares of common stock to Lincoln Park at an average price of $43.67 per share. During the twelve months ended December 31, 2024, the Company issued an additional 758 shares of common stock to Lincoln Park at an average price of $12.76 per share, for a total value of $10. For additional information regarding the 2022 LPC Purchase Agreement, see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to our condensed consolidated financial statements included elsewhere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Private Placement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18, 2022, we consummated the 2022 Private Placement whereby we entered into a securities purchase agreement pursuant to which we issued and sold to the 2022 Investors an aggregate of 10,608 shares of our common stock and 3,185,000 shares of our Voting Preferred Stock.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(deficit). The accounting effects of the 2022 Private Placement transaction are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consolidated financial statements included elsewhere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2023 Multi-Tranche 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2023, we entered into the 2023 Multi-Tranche Private Placement Stock Purchase Agreement, with the 2023 Investors pursuant to which the Company may issue and sell to the 2023 Investors up to $9.0 million in shares of Senior Preferred Stock, in multiple tranches from time to time until December 31, 2025, subject to a minimum aggregate purchase amount of $0.5 million in each tranche. The Initial Placement occurred on May 15, 2023, under which the Company sold the 2023 Investors 280,899 shares of Senior Preferred Stock for an aggregate purchase price of $2.0 million.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12, 2023, the Company and the 2023 Investors consummated the Second Placement under the 2023 Multi-Tranche Private Placement, under which the Company sold the 2023 Investors 500,000 shares of Senior Preferred Stock for an aggregate purchase price of $2.0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8, 2023, the Company and the 2023 Investors consummated the Third Placement under the 2023 Multi-Tranche Private Placement, under which the Company sold the 2023 Investors 292,398 shares of Senior Preferred Stock for an aggregate purchase price of $1.0 million.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20, 2023, the Company and the 2023 Investors consummated the Fourth Placement under the 2023 Multi-Tranche Private Placement, under which the Company sold the 2023 Investors 502,513 shares of Senior Preferred Stock for an aggregate purchase price of $2.0 million. The Company expects to use the proceeds of the Placements, after the payment of transaction expenses, for general working capital purposes. The accounting effects of the 2023 Multi-Tranche Private Placement transactions are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condensed consolidated financial statements included elsewhere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February 22, 2024, the Company, entered into the SPA with the 2024 Investors, pursuant to which the Company agreed to issue and sell to the 2024 Investors (i) in a registered direct offering, an aggregate of 74,342 shares of the Company’s common stock, at a price of $16.115 per share and (ii) in a concurrent private placement, warrants to acquire up to an aggregate of 74,342 shares of common stock, at an initial exercise price of $14.74 per share. HCW acted as the Company’s placement agent in connection with Offering. The Company paid HCW consideration consisting of (i) a cash fee equal to 7.0% of the aggregate gross proceeds in the Offering, (ii) a management fee equal to 1.0% of the aggregate gross proceeds in the Offering, (iii) reimbursement of certain expenses and (iv) warrants to acquire up to an aggregate of 5,204 shares of common stock (the “Placement Agent Warrants”). The Placement Agent Warrants are similar to the 2024 Investor Warrants, except that the initial exercise price of the Placement Agent Warrants is $20.1438 per share. The transaction is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condensed consolidated financial statements included elsewhere in this report.</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we had capital resources consisting of cash and cash equivalents of $3.2 million. We have financed our operations principally through the issuance and sale of our common stock and preferred stock, debt financing, and payments from customers.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the net proceeds from the Madryn Loan and Security Agreement, the Registered Direct Offering, the 2024 Note, the 2023 Multi-Tranche Private Placement, the 2022 Private Placement, the proceeds from issuance of our common stock to Lincoln Park, the proceeds from the MSLP Loan, the Short-Term Bridge Financing by Madryn, our strategic cash flow enhancement initiatives, our initiatives to pursue strategic alternatives, together with our existing cash and cash equivalents, will enable us to fund our operating expenses and capital expenditure requirements for at least the next 12 months. We can provide no assurances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w:t>
      </w:r>
    </w:p>
    <w:p>
      <w:pPr>
        <w:spacing w:after="0" w:line="162" w:lineRule="exact"/>
        <w:rPr>
          <w:sz w:val="20"/>
          <w:szCs w:val="20"/>
          <w:color w:val="auto"/>
        </w:rPr>
      </w:pPr>
    </w:p>
    <w:p>
      <w:pPr>
        <w:ind w:left="660" w:hanging="315"/>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efforts to develop system product enhancements or new products, including any clinical trials that may be required to market such enhancements;</w:t>
      </w:r>
    </w:p>
    <w:p>
      <w:pPr>
        <w:spacing w:after="0" w:line="161"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plans to increase and expand our sales and marketing efforts; or</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plans to enhance our customer support and marketing activities.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restricted by covenants in the MSLP Loan, EW Security Agreement, and the Madryn Loan and Security Agreement. These covenants restrict, among other things, our ability to incur additional indebtedness, which may limit our ability to obtain additional debt financing. In the event that the current macroeconomic headwinds continue to cause or present disruptions for an extended period of time, we cannot assure you that we will remain in compliance with the financial covenants contained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based our projections on the amount of time through which our financial resources will be adequate to support our operations on assumptions that may prove to be incorrect, and we may use all our available capital resources sooner than we expect. Our future funding requirements, including long-term funding requirements, will depend on many factors, including, but not limited to:</w:t>
      </w:r>
    </w:p>
    <w:p>
      <w:pPr>
        <w:spacing w:after="0" w:line="17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growing our ongoing commercialization and sales and marketing activities;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and maintaining enough inventories of our systems to meet anticipated demand and inventory write-offs related to obsolete products or components;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enhancing the existing functionality and development of new functionalities for our systems;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defending, and enforcing patent claims and other patent related costs, including litigation costs and the results of such litigation;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and the costs associated with defending them or the results of such lawsuits;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conducting business and maintaining subsidiaries and other entities in foreign jurisdictions;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 jurisdictions where our systems are not approved delaying their purchase, and not purchasing our systems, until they are approved or cleared for use in their market;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attract and retain personnel with the skills required for effective operations;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Cash provided by financing activities</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Net decrease in cash and cash equivalents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4"/>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(6,310)</w:t>
            </w:r>
          </w:p>
        </w:tc>
        <w:tc>
          <w:tcPr>
            <w:tcW w:w="58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(2,878)</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60" w:type="dxa"/>
            <w:vAlign w:val="bottom"/>
          </w:tcPr>
          <w:p>
            <w:pPr>
              <w:spacing w:after="0"/>
              <w:rPr>
                <w:sz w:val="20"/>
                <w:szCs w:val="20"/>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6620" w:space="720"/>
            <w:col w:w="3900"/>
          </w:cols>
          <w:pgMar w:left="320" w:top="121" w:right="339" w:bottom="1440" w:gutter="0" w:footer="0" w:header="0"/>
        </w:sectPr>
      </w:pP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2025, cash used in operating activities consisted of a net loss of $12.4 million, partially offset by non-cash operating expenses of $5.9 million and a decrease in net operating assets of $0.1 million. The decreased use of cash in net operating assets was primarily attributable to an increase in trade payables of $0.9 million, and a decrease in accounts receivable of $1.2 million. These were offset primarily by an increase in inventories of $0.6 million, and a decrease in accrued expenses and other current liabilities of $1.1 million. The non-cash operating expenses consisted of depreciation and amortization of $1.0 million, stock-based compensation expense of $0.2 million, provision for expected credit losses of $1.2 million, a loss on extinguishment of debt of $1.0 million, deferred tax expense of $0.3 million, provision for inventory obsolescence of $0.6 million, and finance expenses and accretion of $1.6 million.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2024, cash used in operating activities consisted of a net loss of $9.8 million, partially offset by decreases in net operating assets of $4.7 million and non-cash operating expenses of $2.2 million. The use of cash in net operating assets was attributable to a decrease in accounts receivable of $3.2 million, a decrease in inventories of $1.7 million, a decrease in other current assets of $0.4 million, and a decrease in advances to suppliers of $0.7 million. These were offset by a decrease in trade payables of $1.3 million, a decrease in accrued expenses and other current liabilities of $0.3 million, and a decrease in long-term operating lease liabilities of $0.3 million. The non-cash operating expenses consisted of depreciation and amortization of $1.0 million, stock-based compensation expense of $0.3 million, provision for inventory obsolescence of $0.4 million, finance expenses and accretion of $0.5 million, and provision for expected credit losses of $0.2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2025, cash used in investing activities consisted of $0.04 million for the purchase of property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2024, cash used in investing activities consisted of $0.03 million for the purchase of property and equipment.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Financing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2025, cash provided by financing activities consisted of net proceeds from the Short-term Bridge Financing by Madryn, of $5.3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2024, cash provided by financing activities primarily consisted of net proceeds from the Registered Direct Offering of shares and warrants of $1.0 million and net proceeds from the 2024 Convertible Notes issued to EW of $1.6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premises and those of our subsidiaries are leased under various operating lease agreements, which expire on various dates.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we had non-cancellable purchase orders placed with our contract manufacturers in the amount of $14.1 million. In addition, as of March 31, 2025, we had $0.2 million of open purchase orders that can be cancelled with 270 days’ notice.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March 31, 2025, which represent material expected or contractually committed future obligations.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More than 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2 to 3 Years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4 to 5 Years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(in thousands)</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 including interest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commitments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29,515</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28,990</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an additional description of our commitments see Note 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 included elsewhere in this Quarterly Report on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currently engage in off-balance sheet financing arrangements. In addition, we do not have any interest in entities referred to as variable interest entities, which includes special purpose entities and other structured finance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2 to the audited consolidated financial statements included in our Annual Report filed on Form 10-K for the year ended December 31, 2024. We believe that the assumptions and estimates associated with revenue recognition, long-term receivables, allowance for expected credit losses, warranty accrual, and stock-based compensation have the most significant impact on our consolidated financial statements, and therefore, we consider these to be our critical accounting policies and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revenue from (1) sales of systems through our internal lease programs, in accordance with ASC 842, "Leases" ("ASC 842"), traditional system sales to customers and distributors, (2) other product revenues from the sale of ARTAS procedure kits, marketing supplies and kits, consumables and (3) our extended warranty service contracts provided to existing customers.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revenues on other products and services in accordance with ASC 606, "Revenue from Contracts with Customers" ("ASC 606"). Revenue is recognized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our revenue net of sales tax and shipping and handling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receivables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Long-term receivables relate to our internal lease programs revenue or contracts which stipulate payment terms which exceed one year. They are comprised of the unpaid principal balance, net of the allowance for expected credit losses. These receivables have been discounted based on the implicit interest rate in the subscription lease which range between 8% and 10% for the three months ended March 31, 2025 and 8% and 10% for the three months ended March 31, 2024. Unearned interest revenue represents the interest only portion of the respective lease program payments and will be recognized in income over the respective payment term as it is earned.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expected credit losses is based on our assessment of the collectability of customer accounts and the aging of the related invoices and represents our best estimate of probable credit losses in our existing trade accounts receivable. We regularly review the allowance by considering factors such as historical experience, credit quality, the age of the account receivable balances, and current economic conditions that may affect a customer’s ability to pay.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accrual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offer a one year warranty for all our systems against defects.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w:t>
      </w:r>
    </w:p>
    <w:p>
      <w:pPr>
        <w:sectPr>
          <w:pgSz w:w="11900" w:h="16859" w:orient="portrait"/>
          <w:cols w:equalWidth="0" w:num="1">
            <w:col w:w="11240"/>
          </w:cols>
          <w:pgMar w:left="320" w:top="121" w:right="339" w:bottom="0" w:gutter="0" w:footer="0" w:header="0"/>
        </w:sectPr>
      </w:pPr>
    </w:p>
    <w:bookmarkStart w:id="52" w:name="page53"/>
    <w:bookmarkEnd w:id="5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account for stock-based compensation costs in accordance with the accounting standards for stock-based compensation, which require that all stock based payments to employees be recognized in the condensed consolidated statements of operations based on their fair values.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We recognize the expense associated with options using a single-award approach over the requisite service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in U.S. dollars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(gain) loss in the condensed consolidated statement of operations as they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our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disclosure for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2025, our management, under the supervision of our Chief Executive Officer and Chief Financial Officer, performed an evaluation of the effectiveness of our disclosure controls and procedures as defined in Rules 13a-15(e) and 15d-15(e) under the Exchange Act, to ensure that information required to be disclosed by the Company in the reports that it files or submits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effective as of March 31,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effective as of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internal control over financial reporting during the three months ended March 31, 2025 that have materially affected, or are reasonably likely to materially affect, our internal controls over financial reporting.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does not include an attestation report of our registered public accounting firm because the Company is not an "accelerated filer" or a "large accelerated filer."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 Company was not a party to any material active or pending 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from time to time continue to be involved in various legal proceedings of a character normally incident to the ordinary course of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Our operations and financial results are subject to various risk and uncertainties, including those described below and the risk factors described under 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latest Form 10-K for the year ended December 31, 2024,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risks described below and the other information in this Quarterly Report on Form 10-Q, our unaudited condensed consolidated financial statements, and the related notes thereto,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included herein, and the risk factors previously disclosed in 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Form 10-K for the year ended December 31, 2024 filed with the SEC and incorporated by reference herein.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Conditions in the Middle East, including the October 2023 attack by Hamas and other terrorist organizations on Israel and Israel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war against them, may adversely affect our operations and limit our ability to manage and market our products, which could lead to a decrease in revenues.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operations are conducted in Israel and a number of our employees, contract manufacturers and consultants, including employees of our service providers, are located in Israel. As such, our business and operations may be directly affected by economic, political, geopolitical and military conditions affecting Israel.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7, 2023, Hamas militants and members of other terrorist organizations infiltrated Israel’s southern border from the Gaza Strip and conducted a series of terror attacks on civilian and military targets. Thereafter, these terrorists launched extensive rocket attacks on the Israeli population and industrial centers located along the Israeli border with the Gaza Strip. Shortly following the attack, Israel’s security cabinet declared war against Hamas. While an initial armistice and hostages/prisoners exchange was agreed to by Israel and Hamas and came into effect on January 19, 2025, the war has since resumed. The intensity, duration and impact of Israel’s current war against Hamas and the corresponding geopolitical instability in the region is difficult to predict, as are the war’s economic implications on the Company’s business and operations.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political uprisings, social unrest and violence in various other countries in the Middle East, including Israel’s neighboring countries Syria, Lebanon, Egypt and Jordan, are affecting the political stability of those countries. This instability may lead to deterioration of the political relationships that exist between Israel and certain countries and have raised concerns regarding security in the region and the potential for armed conflict. Iran is also believed to have a strong influence over various proxy militias across the Middle East, and among the Syrian government, Hamas and Hezbollah, in addition to its readiness to engage in conflict with Israel directly. These situations may potentially escalate in the future into more violent events which may affect Israel and us. These situations, including conflicts which involved missile strikes against civilian and military targets in various parts of Israel may negatively impact the Company’s operations in Israel.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facilities are within the range of rockets that have been launched from surrounding territories, though none of our operations or those of our manufacturers have been impacted to date. In the event that our facilities in Israel, or the facilities of our vendors in Israel, are damaged as a result of the hostilities or hostilities otherwise disrupt the ongoing operation of our facilities, our ability to deliver products to customers in a timely manner to meet our contractual obligations with customers and vendors could be materially and adversely affected. Any losses or damages incurred by us could have a material adverse effect on our business.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insurance does not cover losses that may occur as a result of an event associated with the security situation in the Middle East or for any resulting disruption in our operations. Although the Israeli government has in the past covered the reinstatement value of direct damages that were caused by terrorist attacks or acts of war, we cannot be assured that this government coverage will be maintained or, if maintained, will be sufficient to compensate us fully for damages incurred and the government may cease providing such coverage or the coverage might not suffice to cover potential damages. Any losses or damages incurred by us could have a material adverse effect on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credit terms to some qualified customers and distributors. In the event that a customer or distributor defaults on the amounts payable to us, our financial results may be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2025 and 2024, approximately 25% of our total system revenues were derived from our internal lease programs (Venus Prime and our legacy subscription-based model). Under our internal lease programs, we collect an up-front fee, combined with a monthly payment schedule typically over a period of 36 months, with approximately 40% to 45% of total contract payments collected in the first year. For accounting purposes, these arrangements are considered to be sales-type finance leases, where the present value of all cash flows to be received under the Venus Prime or subscription agreement is recognized as revenue upon shipment of the system to the customer. We cannot provide any assurance that the financial position of customers purchasing products and services under a Venus Prime or subscription agreement will not change adversely before we receive all the monthly installment payments due under the contract. In the event that there is a default by any of the customers to whom we have sold systems under our internal lease programs (Venus Prime or our legacy subscription-based model), we may recognize bad debt expenses in our general and administrative expenses. If the extent of such defaults is material, it could negatively affect our results of operations and operating cash flows.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internal lease programs, we generally offer credit terms of 30 to 90 days to qualified customers and distributors. In the event that there is a default by any of the customers or distributors to whom we have provided credit terms, we may recognize bad debt expenses in our general and administrative expenses. If the extent of such defaults is material, it could negatively affect our future results of operations and cash flows.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also be adversely affected by bankruptcies or other business failures of our customers, distributors, and potential customers. A significant delay in the collection of accounts receivable or a reduction of accounts receivables collected may impact our liquidity or result in bad debt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listing on The Nasdaq Capital Market and it may become more difficult to sell our stock in the public market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0" w:gutter="0" w:footer="0" w:header="0"/>
        </w:sectPr>
      </w:pPr>
    </w:p>
    <w:bookmarkStart w:id="55" w:name="page56"/>
    <w:bookmarkEnd w:id="55"/>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Minimum Stockholder Equity Requirement</w:t>
      </w: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May 31, 2023, we received a notice (the “Notice”) from Nasdaq stating that our stockholders’ equity as reported in our Quarterly Report on Form 10-Q for the period ended March 31, 2023 was below the minimum $2,500,000 required for continued listing under Nasdaq Listing Rule 5550(b)(1) (“Minimum Equity Requirement”).</w:t>
      </w:r>
    </w:p>
    <w:p>
      <w:pPr>
        <w:spacing w:after="0" w:line="176"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Notice had no immediate effect on the listing of our common stock. On July 17, 2023, we submitted to Nasdaq a plan to regain compliance with the Minimum Equity Requirement (the "Plan"). On July 28, 2023, Nasdaq granted us an extension until November 27, 2023 to evidence compliance with the Minimum Equity Requirement, conditioned upon our achievement of certain milestones as set forth in the Plan. On November 28, 2023, the Company received a written notice from the Nasdaq Staff which described its determination that the Company had not regained compliance with the Minimum Equity Requirement within the Plan period. As a result, the Nasdaq Staff advised the Company that its securities will be delisted at the opening of business on December 7, 2023, unless the Company timely requests a hearing before a Nasdaq Hearings Panel (the "Panel”).</w:t>
      </w:r>
    </w:p>
    <w:p>
      <w:pPr>
        <w:spacing w:after="0" w:line="187" w:lineRule="exact"/>
        <w:rPr>
          <w:sz w:val="20"/>
          <w:szCs w:val="20"/>
          <w:color w:val="auto"/>
        </w:rPr>
      </w:pPr>
    </w:p>
    <w:p>
      <w:pPr>
        <w:ind w:left="20" w:right="880"/>
        <w:spacing w:after="0" w:line="282" w:lineRule="auto"/>
        <w:rPr>
          <w:sz w:val="20"/>
          <w:szCs w:val="20"/>
          <w:color w:val="auto"/>
        </w:rPr>
      </w:pPr>
      <w:r>
        <w:rPr>
          <w:rFonts w:ascii="Times New Roman" w:cs="Times New Roman" w:eastAsia="Times New Roman" w:hAnsi="Times New Roman"/>
          <w:sz w:val="18"/>
          <w:szCs w:val="18"/>
          <w:color w:val="auto"/>
        </w:rPr>
        <w:t>On December 5, 2023, the Company timely requested a hearing before the Panel. The hearing was held on March 5, 2024, staying any delisting pending the issuance of the Panel’s decision.</w:t>
      </w:r>
    </w:p>
    <w:p>
      <w:pPr>
        <w:spacing w:after="0" w:line="162" w:lineRule="exact"/>
        <w:rPr>
          <w:sz w:val="20"/>
          <w:szCs w:val="20"/>
          <w:color w:val="auto"/>
        </w:rPr>
      </w:pPr>
    </w:p>
    <w:p>
      <w:pPr>
        <w:ind w:left="20" w:right="60"/>
        <w:spacing w:after="0" w:line="282" w:lineRule="auto"/>
        <w:rPr>
          <w:sz w:val="20"/>
          <w:szCs w:val="20"/>
          <w:color w:val="auto"/>
        </w:rPr>
      </w:pPr>
      <w:r>
        <w:rPr>
          <w:rFonts w:ascii="Times New Roman" w:cs="Times New Roman" w:eastAsia="Times New Roman" w:hAnsi="Times New Roman"/>
          <w:sz w:val="18"/>
          <w:szCs w:val="18"/>
          <w:color w:val="auto"/>
        </w:rPr>
        <w:t>On March 20, 2024, the Company received a decision from the Panel granting its request for continued listing on the Nasdaq Capital Market, subject to the Company demonstrating compliance with Nasdaq Listing Rule 5550(b) on or before May 28, 2024, and certain other conditions.</w:t>
      </w:r>
    </w:p>
    <w:p>
      <w:pPr>
        <w:spacing w:after="0" w:line="162"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On June 4, 2024, the Company was formally notified by Nasdaq that the Company had regained compliance with the stockholders’ equity Minimum Equity Requirement.</w:t>
      </w:r>
    </w:p>
    <w:p>
      <w:pPr>
        <w:spacing w:after="0" w:line="162"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The Company is subject to a “Mandatory Panel Monitor,” as defined in Nasdaq Listing Rule 5815(d)(4)(B), through June 4, 2025. If the Company is found to be noncompliant with the Minimum Equity Requirement within the monitoring period, the Company would not be allowed to provide the Nasdaq Listing Qualifications Staff with a plan to regain compliance with the Minimum Equity Requirement; rather, the Nasdaq Listing Qualifications Staff would be required to issue a delist determination. In such case, the Company would have the opportunity to request a new hearing before the Panel, which request would stay any further action by the Nasdaq Listing Qualifications Staff until the time of the hearing.</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Minimum Bid Price Requirement</w:t>
      </w:r>
    </w:p>
    <w:p>
      <w:pPr>
        <w:spacing w:after="0" w:line="227"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On April 11, 2024, the Company received a notice from Nasdaq stating that for 32 consecutive business days the Company’s common stock did not maintain a minimum closing bid price of $1.00 per share as required for continued listing under Listing Rule 5550(a)(2).</w:t>
      </w:r>
    </w:p>
    <w:p>
      <w:pPr>
        <w:spacing w:after="0" w:line="162"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180 calendar days, or until the Initial Compliance Date, to regain compliance with the Minimum Bid Price Requirement. The Company did not regain compliance with the Bid Price Requirement by the Initial Compliance Date.</w:t>
      </w:r>
    </w:p>
    <w:p>
      <w:pPr>
        <w:spacing w:after="0" w:line="162"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On October 17, 2024, Nasdaq notified the Company that it is eligible for an additional 180 calendar day period, or until the Extended Compliance Date, to regain compliance with the Bid Price Requirement. If, at any time before the Extended Compliance Date, the bid price for the Company’s common stock closes at $1.00 or more for a minimum of 10 consecutive business days as required under the Compliance Period Rule, the Staff will provide written notification to the Company that it complies with the Bid Price Requirement, unless the Staff exercises its discretion to extend this 10 day period pursuant</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 Nasdaq Listing Rule 5810(c)(3)(H).</w:t>
      </w:r>
    </w:p>
    <w:p>
      <w:pPr>
        <w:spacing w:after="0" w:line="207" w:lineRule="exact"/>
        <w:rPr>
          <w:sz w:val="20"/>
          <w:szCs w:val="20"/>
          <w:color w:val="auto"/>
        </w:rPr>
      </w:pPr>
    </w:p>
    <w:p>
      <w:pPr>
        <w:jc w:val="both"/>
        <w:ind w:left="20" w:right="20"/>
        <w:spacing w:after="0" w:line="258" w:lineRule="auto"/>
        <w:rPr>
          <w:sz w:val="20"/>
          <w:szCs w:val="20"/>
          <w:color w:val="auto"/>
        </w:rPr>
      </w:pPr>
      <w:r>
        <w:rPr>
          <w:rFonts w:ascii="Times New Roman" w:cs="Times New Roman" w:eastAsia="Times New Roman" w:hAnsi="Times New Roman"/>
          <w:sz w:val="18"/>
          <w:szCs w:val="18"/>
          <w:color w:val="auto"/>
        </w:rPr>
        <w:t>On March 3, 2025, the Company effected the Reverse Stock Split of the Company’s issued and outstanding common stock, par value $0.0001 per share by the filing of a Certificate of Amendment of Certificate of Incorporation with the Secretary of State of the State of Delaware pursuant to the Delaware General Corporation Law. The Reverse Stock Split became effective at 5:00 p.m. Eastern Time on March 3, 2025, and began trading on a Reverse Stock Split-adjusted basis as of the opening of the Nasdaq Capital Market on March 4, 2025. On March 18, 2025, the Company received a notice from Nasdaq stating that the Company had regained compliance with the Bid Price Requirement.</w:t>
      </w:r>
    </w:p>
    <w:p>
      <w:pPr>
        <w:spacing w:after="0" w:line="183"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If our common stock ultimately is delisted for failure to comply with the Minimum Bid Price or Minimum Equity Requirement, our shareholders could face significant adverse consequences, including:</w:t>
      </w:r>
    </w:p>
    <w:p>
      <w:pPr>
        <w:spacing w:after="0" w:line="162" w:lineRule="exact"/>
        <w:rPr>
          <w:sz w:val="20"/>
          <w:szCs w:val="20"/>
          <w:color w:val="auto"/>
        </w:rPr>
      </w:pPr>
    </w:p>
    <w:p>
      <w:pPr>
        <w:ind w:left="680" w:hanging="328"/>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or market quotations for our common stock;</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of our common stock;</w:t>
      </w:r>
    </w:p>
    <w:p>
      <w:pPr>
        <w:spacing w:after="0" w:line="225" w:lineRule="exact"/>
        <w:rPr>
          <w:rFonts w:ascii="Times New Roman" w:cs="Times New Roman" w:eastAsia="Times New Roman" w:hAnsi="Times New Roman"/>
          <w:sz w:val="18"/>
          <w:szCs w:val="18"/>
          <w:color w:val="auto"/>
        </w:rPr>
      </w:pPr>
    </w:p>
    <w:p>
      <w:pPr>
        <w:ind w:left="680" w:hanging="328"/>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that shares of our common stock are “penny stock,” which would require brokers trading in our common stock to adhere to more stringent rules and possibly result in a reduced level of trading activity in the secondary trading market for our common stock;</w:t>
      </w:r>
    </w:p>
    <w:p>
      <w:pPr>
        <w:spacing w:after="0" w:line="16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amount of news analysts’ coverage of us; and</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ability for us to issue additional equity securities or obtain additional equity or debt financing in the future.</w:t>
      </w:r>
    </w:p>
    <w:p>
      <w:pPr>
        <w:spacing w:after="0" w:line="221"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Macroeconomic conditions in our domestic and international markets, as well as inflation concerns, instability of financial institutions, rising interest rates, and recessionary concerns may adversely affect our industry, business and financial results.</w:t>
      </w:r>
    </w:p>
    <w:p>
      <w:pPr>
        <w:spacing w:after="0" w:line="159"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Our business depends on the overall demand for our products and on the economic health and willingness of our customers and potential customers to make capital commitments to purchase our products and services. As a result of macroeconomic or market uncertainty, including inflation concerns, rising interest rates, recessionary concerns, and geopolitical conflicts, customers may decide to delay purchasing our products and services or not purchase at all. In the past, unfavorable macroeconomic and market conditions have resulted in sustained periods of decreased demand. Reductions in customer spending in response to unfavorable or uncertain macroeconomic and market conditions, globally or in a particular region where we operate, would adversely affect our business, results of operations and financial condition.</w:t>
      </w:r>
    </w:p>
    <w:p>
      <w:pPr>
        <w:spacing w:after="0" w:line="183"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trade policies among the United States and other countries, in particular the imposition of new or higher tariffs or retaliatory tariffs, may adversely impact costs related to the production, manufacturing and transportation of our products. Increased tariffs or the imposition of other barriers</w:t>
      </w:r>
    </w:p>
    <w:p>
      <w:pPr>
        <w:sectPr>
          <w:pgSz w:w="11900" w:h="16838" w:orient="portrait"/>
          <w:cols w:equalWidth="0" w:num="1">
            <w:col w:w="11260"/>
          </w:cols>
          <w:pgMar w:left="300" w:top="335" w:right="339" w:bottom="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to international trade could decrease demand and have a negative effect on our revenues and operating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 Federal administration has imposed or proposed new or higher tariffs on certain products exported by a number of U.S. trading partners, including China, Europe, Canada, and Mexico. In response, many of those trading partners, including China, have imposed or proposed new or higher tariffs on American products. The U.S. Federal administration recently increased tariffs on goods imported from Israel to 10% (reduced from initial increase of 17%). As the majority of our systems are sourced from Israel, our cost of goods will increase and we will experience modest margin erosion. In addition, the Company derives a meaningful percentage of its revenues from outside of the US, and therefore, these developments, or the perception that any of them could occur, may have a material adverse effect on global economic conditions and the stability of global financial markets, and may have a material adverse effect on the Company's business and operations. In addition, the Company and/or its contract manufacturers, source component parts used in our products from countries affected by higher tariffs. We also routinely ship our products internationally. An increase in tariffs may adversely affect our gross profit margins in the future due to higher costs of production, manufacturing and transportation of our products and/or impact our ability to sell our product in certain affected international markets.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face uncertainty in the interpretation of new tariffs and their applicability, including with respect to customs valuation, product classification and country-of-origin determinations. Although we and our suppliers seek to comply with applicable customs laws and regulations, the application of rules regarding new tariffs can be subject to varying interpretations or future re-interpretations. It is possible that U.S. or other relevant authorities could, upon review or audit, disagree with the valuation, rules of origin or classification methods applied to certain products. We cannot control the duration or depth of such actions which may increase our product costs which would in turn reduce our margins and potentially decrease the competitiveness of our products. These actions could have a negative effect on our business, results of operations, or financial condition.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compliance with export controls and implementation of additional tariffs may increase compliance costs and further affect our business and operating results.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the Company’s Current Reports on Form 8-K filed with the SEC on April 2, 2025 there were no unregistered securities issued and sold during the three months ended March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11"/>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6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5980" w:type="dxa"/>
            <w:vAlign w:val="bottom"/>
            <w:gridSpan w:val="17"/>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Amended and Restated Certificate of Incorporation of Restoration Robotics, Inc.</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10-17-17</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5980" w:type="dxa"/>
            <w:vAlign w:val="bottom"/>
            <w:gridSpan w:val="17"/>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Certificate of Amendment of Certificate of Incorporation of Restoration Robotics,</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11-7-19</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9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Inc.</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58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Certificate of Amendment of Certificate of Incorporation of Venus Concept Inc.</w:t>
              </w:r>
            </w:hyperlink>
          </w:p>
        </w:tc>
        <w:tc>
          <w:tcPr>
            <w:tcW w:w="180" w:type="dxa"/>
            <w:vAlign w:val="bottom"/>
            <w:gridSpan w:val="2"/>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5-11-23</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56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Certificate of Amendment to Certificate of Designations of Senior Convertible</w:t>
              </w:r>
            </w:hyperlink>
          </w:p>
        </w:tc>
        <w:tc>
          <w:tcPr>
            <w:tcW w:w="320" w:type="dxa"/>
            <w:vAlign w:val="bottom"/>
            <w:gridSpan w:val="5"/>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6-26-23</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980" w:type="dxa"/>
            <w:vAlign w:val="bottom"/>
            <w:gridSpan w:val="17"/>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Preferred Stock.</w:t>
              </w:r>
            </w:hyperlink>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49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Certificate of Designations of Series X Convertible Preferred Stock.</w:t>
              </w:r>
            </w:hyperlink>
          </w:p>
        </w:tc>
        <w:tc>
          <w:tcPr>
            <w:tcW w:w="1080" w:type="dxa"/>
            <w:vAlign w:val="bottom"/>
            <w:gridSpan w:val="6"/>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10-5-23</w:t>
            </w: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48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Certificate of Designations of Series Y Convertible Preferred Stock</w:t>
              </w:r>
            </w:hyperlink>
          </w:p>
        </w:tc>
        <w:tc>
          <w:tcPr>
            <w:tcW w:w="1120" w:type="dxa"/>
            <w:vAlign w:val="bottom"/>
            <w:gridSpan w:val="7"/>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5-28-24</w:t>
            </w: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5980" w:type="dxa"/>
            <w:vAlign w:val="bottom"/>
            <w:gridSpan w:val="17"/>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Second Amended and Restated Bylaws of Venus Concept Inc.</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11-7-19</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3.2</w:t>
            </w:r>
          </w:p>
        </w:tc>
        <w:tc>
          <w:tcPr>
            <w:tcW w:w="116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59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Amendment to Certificate of Designations of Series Y Convertible Preferred Stock</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9-27-24</w:t>
            </w: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5980" w:type="dxa"/>
            <w:vAlign w:val="bottom"/>
            <w:gridSpan w:val="17"/>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Certificate of Amendment of Series Y Convertible Preferred Stock</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4-2-25</w:t>
            </w: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w:t>
            </w:r>
          </w:p>
        </w:tc>
        <w:tc>
          <w:tcPr>
            <w:tcW w:w="480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Certificate of Amendment of Voting Convertible Preferred Stock</w:t>
              </w:r>
            </w:hyperlink>
          </w:p>
        </w:tc>
        <w:tc>
          <w:tcPr>
            <w:tcW w:w="1180" w:type="dxa"/>
            <w:vAlign w:val="bottom"/>
            <w:gridSpan w:val="8"/>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4-2-25</w:t>
            </w: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3.2</w:t>
            </w:r>
          </w:p>
        </w:tc>
        <w:tc>
          <w:tcPr>
            <w:tcW w:w="116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56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Certificate of Amendment to Certificate of Designations of Senior Convertible</w:t>
              </w:r>
            </w:hyperlink>
          </w:p>
        </w:tc>
        <w:tc>
          <w:tcPr>
            <w:tcW w:w="320" w:type="dxa"/>
            <w:vAlign w:val="bottom"/>
            <w:gridSpan w:val="5"/>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5-2-25</w:t>
            </w: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1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Preferred Stock</w:t>
              </w:r>
            </w:hyperlink>
          </w:p>
        </w:tc>
        <w:tc>
          <w:tcPr>
            <w:tcW w:w="4820" w:type="dxa"/>
            <w:vAlign w:val="bottom"/>
            <w:gridSpan w:val="15"/>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8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r:id="rId76">
              <w:r>
                <w:rPr>
                  <w:rFonts w:ascii="Times New Roman" w:cs="Times New Roman" w:eastAsia="Times New Roman" w:hAnsi="Times New Roman"/>
                  <w:sz w:val="18"/>
                  <w:szCs w:val="18"/>
                  <w:color w:val="0000EE"/>
                  <w:w w:val="98"/>
                </w:rPr>
                <w:t>Form of Investor Warrant</w:t>
              </w:r>
            </w:hyperlink>
          </w:p>
        </w:tc>
        <w:tc>
          <w:tcPr>
            <w:tcW w:w="4140" w:type="dxa"/>
            <w:vAlign w:val="bottom"/>
            <w:gridSpan w:val="13"/>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2-27-24</w:t>
            </w: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4.1</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4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r:id="rId77">
              <w:r>
                <w:rPr>
                  <w:rFonts w:ascii="Times New Roman" w:cs="Times New Roman" w:eastAsia="Times New Roman" w:hAnsi="Times New Roman"/>
                  <w:sz w:val="18"/>
                  <w:szCs w:val="18"/>
                  <w:color w:val="0000EE"/>
                  <w:w w:val="98"/>
                </w:rPr>
                <w:t>Form of Placement Agent Warrant</w:t>
              </w:r>
            </w:hyperlink>
          </w:p>
        </w:tc>
        <w:tc>
          <w:tcPr>
            <w:tcW w:w="3500" w:type="dxa"/>
            <w:vAlign w:val="bottom"/>
            <w:gridSpan w:val="11"/>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2-27-24</w:t>
            </w: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4.2</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59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Consent Agreement, dated December 31, 2024, by and among Venus Concept Inc.,</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1-7-25</w:t>
            </w: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10.1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980" w:type="dxa"/>
            <w:vAlign w:val="bottom"/>
            <w:gridSpan w:val="17"/>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Venus Concept Canada Corp., Venus Concept USA Inc., Venus Concept Ltd.,</w:t>
              </w:r>
            </w:hyperlink>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7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Madryn Health Partners, LP and Madryn Health Partners (Cayman Master), LP</w:t>
              </w:r>
            </w:hyperlink>
          </w:p>
        </w:tc>
        <w:tc>
          <w:tcPr>
            <w:tcW w:w="22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5980" w:type="dxa"/>
            <w:vAlign w:val="bottom"/>
            <w:gridSpan w:val="17"/>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Tenth Amendment to Bridge Loan Agreement, dated December 31, 2024, by and</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1-7-25</w:t>
            </w: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10.2</w:t>
            </w:r>
          </w:p>
        </w:tc>
        <w:tc>
          <w:tcPr>
            <w:tcW w:w="116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520" w:type="dxa"/>
            <w:vAlign w:val="bottom"/>
            <w:gridSpan w:val="8"/>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9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among Venus Concept USA, Inc., Venus Concept Inc., Venus Concept Canada</w:t>
              </w:r>
            </w:hyperlink>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980" w:type="dxa"/>
            <w:vAlign w:val="bottom"/>
            <w:gridSpan w:val="17"/>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Corp., Venus Concept Ltd., Madryn Health Partners, LP and Madryn Health</w:t>
              </w:r>
            </w:hyperlink>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Partners (Cayman Master), LP</w:t>
              </w:r>
            </w:hyperlink>
          </w:p>
        </w:tc>
        <w:tc>
          <w:tcPr>
            <w:tcW w:w="376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5980" w:type="dxa"/>
            <w:vAlign w:val="bottom"/>
            <w:gridSpan w:val="17"/>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Consent Agreement dated January 28, 2025, by and among Venus Concept Inc.,</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1-31-25</w:t>
            </w: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10.1</w:t>
            </w:r>
          </w:p>
        </w:tc>
        <w:tc>
          <w:tcPr>
            <w:tcW w:w="116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4160" w:type="dxa"/>
            <w:vAlign w:val="bottom"/>
            <w:gridSpan w:val="10"/>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980" w:type="dxa"/>
            <w:vAlign w:val="bottom"/>
            <w:gridSpan w:val="17"/>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Venus Concept Canada Corp., Venus Concept USA Inc., Venus Concept Ltd.,</w:t>
              </w:r>
            </w:hyperlink>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7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Madryn Health Partners, LP and Madryn Health Partners (Cayman Master), LP</w:t>
              </w:r>
            </w:hyperlink>
          </w:p>
        </w:tc>
        <w:tc>
          <w:tcPr>
            <w:tcW w:w="24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59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Eleventh Amendment to Bridge Loan Agreement, dated January 28, 2025, by and</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1-31-25</w:t>
            </w: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10.2</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9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among Venus Concept USA, Inc., Venus Concept Inc., Venus Concept Canada</w:t>
              </w:r>
            </w:hyperlink>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980" w:type="dxa"/>
            <w:vAlign w:val="bottom"/>
            <w:gridSpan w:val="17"/>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Corp., Venus Concept Ltd., Madryn Health Partners, LP and Madryn Health</w:t>
              </w:r>
            </w:hyperlink>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Partners (Cayman Master), LP</w:t>
              </w:r>
            </w:hyperlink>
          </w:p>
        </w:tc>
        <w:tc>
          <w:tcPr>
            <w:tcW w:w="376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5980" w:type="dxa"/>
            <w:vAlign w:val="bottom"/>
            <w:gridSpan w:val="17"/>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Amendment and Consent Agreement, dated February 28, 2025, by and among</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3-4-25</w:t>
            </w: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10.1</w:t>
            </w:r>
          </w:p>
        </w:tc>
        <w:tc>
          <w:tcPr>
            <w:tcW w:w="116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4400" w:type="dxa"/>
            <w:vAlign w:val="bottom"/>
            <w:gridSpan w:val="1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9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Venus Concept Inc., Venus Concept Canada Corp., Venus Concept USA Inc.,</w:t>
              </w:r>
            </w:hyperlink>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980" w:type="dxa"/>
            <w:vAlign w:val="bottom"/>
            <w:gridSpan w:val="17"/>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Venus Concept Ltd., Madryn Health Partners, LP and Madryn Health Partners</w:t>
              </w:r>
            </w:hyperlink>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82">
              <w:r>
                <w:rPr>
                  <w:rFonts w:ascii="Times New Roman" w:cs="Times New Roman" w:eastAsia="Times New Roman" w:hAnsi="Times New Roman"/>
                  <w:sz w:val="18"/>
                  <w:szCs w:val="18"/>
                  <w:color w:val="0000EE"/>
                  <w:w w:val="98"/>
                </w:rPr>
                <w:t>(Cayman Master), LP</w:t>
              </w:r>
            </w:hyperlink>
          </w:p>
        </w:tc>
        <w:tc>
          <w:tcPr>
            <w:tcW w:w="440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5980" w:type="dxa"/>
            <w:vAlign w:val="bottom"/>
            <w:gridSpan w:val="17"/>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Second Amendment to Secured Subordinated Convertible Notes, dated February</w:t>
              </w:r>
            </w:hyperlink>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3-4-25</w:t>
            </w:r>
          </w:p>
        </w:tc>
        <w:tc>
          <w:tcPr>
            <w:tcW w:w="1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10.2</w:t>
            </w:r>
          </w:p>
        </w:tc>
        <w:tc>
          <w:tcPr>
            <w:tcW w:w="116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5960" w:type="dxa"/>
            <w:vAlign w:val="bottom"/>
            <w:gridSpan w:val="1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9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28, 2025, by and among Venus Concept Inc., Venus Concept Canada Corp., Venus</w:t>
              </w:r>
            </w:hyperlink>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ectPr>
          <w:pgSz w:w="11900" w:h="16838" w:orient="portrait"/>
          <w:cols w:equalWidth="0" w:num="1">
            <w:col w:w="11240"/>
          </w:cols>
          <w:pgMar w:left="320" w:top="121" w:right="339" w:bottom="0" w:gutter="0" w:footer="0" w:header="0"/>
        </w:sectPr>
      </w:pPr>
    </w:p>
    <w:bookmarkStart w:id="59" w:name="page60"/>
    <w:bookmarkEnd w:id="59"/>
    <w:p>
      <w:pPr>
        <w:ind w:left="1112" w:right="4160"/>
        <w:spacing w:after="0" w:line="282" w:lineRule="auto"/>
        <w:rPr>
          <w:rFonts w:ascii="Times New Roman" w:cs="Times New Roman" w:eastAsia="Times New Roman" w:hAnsi="Times New Roman"/>
          <w:sz w:val="18"/>
          <w:szCs w:val="18"/>
          <w:u w:val="single" w:color="auto"/>
          <w:color w:val="0000EE"/>
        </w:rPr>
      </w:pPr>
      <w:hyperlink r:id="rId83">
        <w:r>
          <w:rPr>
            <w:rFonts w:ascii="Times New Roman" w:cs="Times New Roman" w:eastAsia="Times New Roman" w:hAnsi="Times New Roman"/>
            <w:sz w:val="18"/>
            <w:szCs w:val="18"/>
            <w:u w:val="single" w:color="auto"/>
            <w:color w:val="0000EE"/>
          </w:rPr>
          <w:t>Concept USA Inc., Venus Concept Ltd., Madryn Health Partners, LP and Madryn</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Health Partners (Cayman Master), LP</w:t>
        </w:r>
      </w:hyperlink>
    </w:p>
    <w:p>
      <w:pPr>
        <w:spacing w:after="0" w:line="148" w:lineRule="exact"/>
        <w:rPr>
          <w:sz w:val="20"/>
          <w:szCs w:val="20"/>
          <w:color w:val="auto"/>
        </w:rPr>
      </w:pPr>
    </w:p>
    <w:tbl>
      <w:tblPr>
        <w:tblLayout w:type="fixed"/>
        <w:tblInd w:w="352" w:type="dxa"/>
        <w:tblCellMar>
          <w:top w:w="0" w:type="dxa"/>
          <w:left w:w="0" w:type="dxa"/>
          <w:bottom w:w="0" w:type="dxa"/>
          <w:right w:w="0" w:type="dxa"/>
        </w:tblCellMar>
      </w:tblPr>
      <w:tr>
        <w:trPr>
          <w:trHeight w:val="207"/>
        </w:trPr>
        <w:tc>
          <w:tcPr>
            <w:tcW w:w="7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10.7</w:t>
            </w:r>
          </w:p>
        </w:tc>
        <w:tc>
          <w:tcPr>
            <w:tcW w:w="59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Twelfth Amendment to Bridge Loan Agreement, dated February 28, 2025, by and</w:t>
              </w:r>
            </w:hyperlink>
          </w:p>
        </w:tc>
        <w:tc>
          <w:tcPr>
            <w:tcW w:w="100" w:type="dxa"/>
            <w:vAlign w:val="bottom"/>
            <w:gridSpan w:val="2"/>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196"/>
        </w:trPr>
        <w:tc>
          <w:tcPr>
            <w:tcW w:w="760" w:type="dxa"/>
            <w:vAlign w:val="bottom"/>
          </w:tcPr>
          <w:p>
            <w:pPr>
              <w:spacing w:after="0"/>
              <w:rPr>
                <w:sz w:val="17"/>
                <w:szCs w:val="17"/>
                <w:color w:val="auto"/>
              </w:rPr>
            </w:pPr>
          </w:p>
        </w:tc>
        <w:tc>
          <w:tcPr>
            <w:tcW w:w="59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among Venus Concept USA, Inc., Venus Concept Inc., Venus Concept Canada</w:t>
              </w:r>
            </w:hyperlink>
          </w:p>
        </w:tc>
        <w:tc>
          <w:tcPr>
            <w:tcW w:w="10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6080" w:type="dxa"/>
            <w:vAlign w:val="bottom"/>
            <w:gridSpan w:val="10"/>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Corp., Venus Concept Ltd., Madryn Health Partners, LP and Madryn Health</w:t>
              </w:r>
            </w:hyperlink>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Partners (Cayman Master), LP</w:t>
              </w:r>
            </w:hyperlink>
          </w:p>
        </w:tc>
        <w:tc>
          <w:tcPr>
            <w:tcW w:w="3760" w:type="dxa"/>
            <w:vAlign w:val="bottom"/>
            <w:tcBorders>
              <w:top w:val="single" w:sz="8" w:color="0000EE"/>
            </w:tcBorders>
            <w:gridSpan w:val="5"/>
          </w:tcPr>
          <w:p>
            <w:pPr>
              <w:spacing w:after="0"/>
              <w:rPr>
                <w:sz w:val="17"/>
                <w:szCs w:val="17"/>
                <w:color w:val="auto"/>
              </w:rPr>
            </w:pPr>
          </w:p>
        </w:tc>
        <w:tc>
          <w:tcPr>
            <w:tcW w:w="12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7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10.8</w:t>
            </w:r>
          </w:p>
        </w:tc>
        <w:tc>
          <w:tcPr>
            <w:tcW w:w="59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Amendment to Secured Subordinated Convertible Notes, dated February 28, 2025,</w:t>
              </w:r>
            </w:hyperlink>
          </w:p>
        </w:tc>
        <w:tc>
          <w:tcPr>
            <w:tcW w:w="100" w:type="dxa"/>
            <w:vAlign w:val="bottom"/>
            <w:gridSpan w:val="2"/>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196"/>
        </w:trPr>
        <w:tc>
          <w:tcPr>
            <w:tcW w:w="760" w:type="dxa"/>
            <w:vAlign w:val="bottom"/>
          </w:tcPr>
          <w:p>
            <w:pPr>
              <w:spacing w:after="0"/>
              <w:rPr>
                <w:sz w:val="17"/>
                <w:szCs w:val="17"/>
                <w:color w:val="auto"/>
              </w:rPr>
            </w:pPr>
          </w:p>
        </w:tc>
        <w:tc>
          <w:tcPr>
            <w:tcW w:w="59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by and among Venus Concept Inc., Venus Concept Canada Corp., Venus Concept</w:t>
              </w:r>
            </w:hyperlink>
          </w:p>
        </w:tc>
        <w:tc>
          <w:tcPr>
            <w:tcW w:w="10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6080" w:type="dxa"/>
            <w:vAlign w:val="bottom"/>
            <w:gridSpan w:val="10"/>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USA Inc., Venus Concept Ltd., EW Healthcare Partners, L.P. and EW Healthcare</w:t>
              </w:r>
            </w:hyperlink>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1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85">
              <w:r>
                <w:rPr>
                  <w:rFonts w:ascii="Times New Roman" w:cs="Times New Roman" w:eastAsia="Times New Roman" w:hAnsi="Times New Roman"/>
                  <w:sz w:val="18"/>
                  <w:szCs w:val="18"/>
                  <w:color w:val="0000EE"/>
                  <w:w w:val="97"/>
                </w:rPr>
                <w:t>Partners-A, L.P</w:t>
              </w:r>
            </w:hyperlink>
          </w:p>
        </w:tc>
        <w:tc>
          <w:tcPr>
            <w:tcW w:w="4840" w:type="dxa"/>
            <w:vAlign w:val="bottom"/>
            <w:tcBorders>
              <w:top w:val="single" w:sz="8" w:color="0000EE"/>
            </w:tcBorders>
            <w:gridSpan w:val="6"/>
          </w:tcPr>
          <w:p>
            <w:pPr>
              <w:spacing w:after="0"/>
              <w:rPr>
                <w:sz w:val="17"/>
                <w:szCs w:val="17"/>
                <w:color w:val="auto"/>
              </w:rPr>
            </w:pPr>
          </w:p>
        </w:tc>
        <w:tc>
          <w:tcPr>
            <w:tcW w:w="12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7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10.9</w:t>
            </w:r>
          </w:p>
        </w:tc>
        <w:tc>
          <w:tcPr>
            <w:tcW w:w="59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Consent Agreement, dated March 27, 2025, by and among Venus Concept Inc.,</w:t>
              </w:r>
            </w:hyperlink>
          </w:p>
        </w:tc>
        <w:tc>
          <w:tcPr>
            <w:tcW w:w="100" w:type="dxa"/>
            <w:vAlign w:val="bottom"/>
            <w:gridSpan w:val="2"/>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3-28-25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96"/>
        </w:trPr>
        <w:tc>
          <w:tcPr>
            <w:tcW w:w="760" w:type="dxa"/>
            <w:vAlign w:val="bottom"/>
          </w:tcPr>
          <w:p>
            <w:pPr>
              <w:spacing w:after="0"/>
              <w:rPr>
                <w:sz w:val="17"/>
                <w:szCs w:val="17"/>
                <w:color w:val="auto"/>
              </w:rPr>
            </w:pPr>
          </w:p>
        </w:tc>
        <w:tc>
          <w:tcPr>
            <w:tcW w:w="6080" w:type="dxa"/>
            <w:vAlign w:val="bottom"/>
            <w:gridSpan w:val="10"/>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Venus Concept Canada Corp., Venus Concept USA Inc., Venus Concept Ltd.,</w:t>
              </w:r>
            </w:hyperlink>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7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Madryn Health Partners, LP and Madryn Health Partners (Cayman Master), LP</w:t>
              </w:r>
            </w:hyperlink>
          </w:p>
        </w:tc>
        <w:tc>
          <w:tcPr>
            <w:tcW w:w="240" w:type="dxa"/>
            <w:vAlign w:val="bottom"/>
            <w:tcBorders>
              <w:top w:val="single" w:sz="8" w:color="0000EE"/>
            </w:tcBorders>
          </w:tcPr>
          <w:p>
            <w:pPr>
              <w:spacing w:after="0"/>
              <w:rPr>
                <w:sz w:val="17"/>
                <w:szCs w:val="17"/>
                <w:color w:val="auto"/>
              </w:rPr>
            </w:pPr>
          </w:p>
        </w:tc>
        <w:tc>
          <w:tcPr>
            <w:tcW w:w="12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7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10.10</w:t>
            </w:r>
          </w:p>
        </w:tc>
        <w:tc>
          <w:tcPr>
            <w:tcW w:w="59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Thirteenth Amendment to Bridge Loan Agreement, dated March 27, 2025, by and</w:t>
              </w:r>
            </w:hyperlink>
          </w:p>
        </w:tc>
        <w:tc>
          <w:tcPr>
            <w:tcW w:w="100" w:type="dxa"/>
            <w:vAlign w:val="bottom"/>
            <w:gridSpan w:val="2"/>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3-28-25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196"/>
        </w:trPr>
        <w:tc>
          <w:tcPr>
            <w:tcW w:w="760" w:type="dxa"/>
            <w:vAlign w:val="bottom"/>
          </w:tcPr>
          <w:p>
            <w:pPr>
              <w:spacing w:after="0"/>
              <w:rPr>
                <w:sz w:val="17"/>
                <w:szCs w:val="17"/>
                <w:color w:val="auto"/>
              </w:rPr>
            </w:pPr>
          </w:p>
        </w:tc>
        <w:tc>
          <w:tcPr>
            <w:tcW w:w="59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among Venus Concept USA Inc., Venus Concept Inc., Venus Concept Canada</w:t>
              </w:r>
            </w:hyperlink>
          </w:p>
        </w:tc>
        <w:tc>
          <w:tcPr>
            <w:tcW w:w="10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6080" w:type="dxa"/>
            <w:vAlign w:val="bottom"/>
            <w:gridSpan w:val="10"/>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Corp., Venus Concept Ltd., Madryn Health Partners, LP and Madryn Health</w:t>
              </w:r>
            </w:hyperlink>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Partners (Cayman Master), LP</w:t>
              </w:r>
            </w:hyperlink>
          </w:p>
        </w:tc>
        <w:tc>
          <w:tcPr>
            <w:tcW w:w="3760" w:type="dxa"/>
            <w:vAlign w:val="bottom"/>
            <w:tcBorders>
              <w:top w:val="single" w:sz="8" w:color="0000EE"/>
            </w:tcBorders>
            <w:gridSpan w:val="5"/>
          </w:tcPr>
          <w:p>
            <w:pPr>
              <w:spacing w:after="0"/>
              <w:rPr>
                <w:sz w:val="17"/>
                <w:szCs w:val="17"/>
                <w:color w:val="auto"/>
              </w:rPr>
            </w:pPr>
          </w:p>
        </w:tc>
        <w:tc>
          <w:tcPr>
            <w:tcW w:w="12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7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10.11</w:t>
            </w:r>
          </w:p>
        </w:tc>
        <w:tc>
          <w:tcPr>
            <w:tcW w:w="59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Exchange Agreement, dated March 31, 2025, by and among Venus Concept Inc.,</w:t>
              </w:r>
            </w:hyperlink>
          </w:p>
        </w:tc>
        <w:tc>
          <w:tcPr>
            <w:tcW w:w="100" w:type="dxa"/>
            <w:vAlign w:val="bottom"/>
            <w:gridSpan w:val="2"/>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96"/>
        </w:trPr>
        <w:tc>
          <w:tcPr>
            <w:tcW w:w="760" w:type="dxa"/>
            <w:vAlign w:val="bottom"/>
          </w:tcPr>
          <w:p>
            <w:pPr>
              <w:spacing w:after="0"/>
              <w:rPr>
                <w:sz w:val="17"/>
                <w:szCs w:val="17"/>
                <w:color w:val="auto"/>
              </w:rPr>
            </w:pPr>
          </w:p>
        </w:tc>
        <w:tc>
          <w:tcPr>
            <w:tcW w:w="57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Madryn Health Partners, LP and Madryn Health Partners (Cayman Master), LP</w:t>
              </w:r>
            </w:hyperlink>
          </w:p>
        </w:tc>
        <w:tc>
          <w:tcPr>
            <w:tcW w:w="36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7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10.12</w:t>
            </w:r>
          </w:p>
        </w:tc>
        <w:tc>
          <w:tcPr>
            <w:tcW w:w="60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Secured Subordinated Convertible Note, dated March 31, 2025, issued by Venus</w:t>
              </w:r>
            </w:hyperlink>
          </w:p>
        </w:tc>
        <w:tc>
          <w:tcPr>
            <w:tcW w:w="8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196"/>
        </w:trPr>
        <w:tc>
          <w:tcPr>
            <w:tcW w:w="760" w:type="dxa"/>
            <w:vAlign w:val="bottom"/>
          </w:tcPr>
          <w:p>
            <w:pPr>
              <w:spacing w:after="0"/>
              <w:rPr>
                <w:sz w:val="17"/>
                <w:szCs w:val="17"/>
                <w:color w:val="auto"/>
              </w:rPr>
            </w:pPr>
          </w:p>
        </w:tc>
        <w:tc>
          <w:tcPr>
            <w:tcW w:w="38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Concept Inc. in favor of Madryn Health Partners, LP</w:t>
              </w:r>
            </w:hyperlink>
          </w:p>
        </w:tc>
        <w:tc>
          <w:tcPr>
            <w:tcW w:w="2280" w:type="dxa"/>
            <w:vAlign w:val="bottom"/>
            <w:gridSpan w:val="6"/>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7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10.13</w:t>
            </w:r>
          </w:p>
        </w:tc>
        <w:tc>
          <w:tcPr>
            <w:tcW w:w="60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Secured Subordinated Convertible Note, dated March 31, 2025, issued by Venus</w:t>
              </w:r>
            </w:hyperlink>
          </w:p>
        </w:tc>
        <w:tc>
          <w:tcPr>
            <w:tcW w:w="8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196"/>
        </w:trPr>
        <w:tc>
          <w:tcPr>
            <w:tcW w:w="760" w:type="dxa"/>
            <w:vAlign w:val="bottom"/>
          </w:tcPr>
          <w:p>
            <w:pPr>
              <w:spacing w:after="0"/>
              <w:rPr>
                <w:sz w:val="17"/>
                <w:szCs w:val="17"/>
                <w:color w:val="auto"/>
              </w:rPr>
            </w:pPr>
          </w:p>
        </w:tc>
        <w:tc>
          <w:tcPr>
            <w:tcW w:w="6080" w:type="dxa"/>
            <w:vAlign w:val="bottom"/>
            <w:gridSpan w:val="10"/>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Concept Inc. in favor of Madryn Health Partners (Cayman Master), LP</w:t>
              </w:r>
            </w:hyperlink>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2"/>
        </w:trPr>
        <w:tc>
          <w:tcPr>
            <w:tcW w:w="7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10.14</w:t>
            </w:r>
          </w:p>
        </w:tc>
        <w:tc>
          <w:tcPr>
            <w:tcW w:w="59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Second Amended and Restated Registration Rights Agreement, dated March 31,</w:t>
              </w:r>
            </w:hyperlink>
          </w:p>
        </w:tc>
        <w:tc>
          <w:tcPr>
            <w:tcW w:w="100" w:type="dxa"/>
            <w:vAlign w:val="bottom"/>
            <w:gridSpan w:val="2"/>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196"/>
        </w:trPr>
        <w:tc>
          <w:tcPr>
            <w:tcW w:w="760" w:type="dxa"/>
            <w:vAlign w:val="bottom"/>
          </w:tcPr>
          <w:p>
            <w:pPr>
              <w:spacing w:after="0"/>
              <w:rPr>
                <w:sz w:val="17"/>
                <w:szCs w:val="17"/>
                <w:color w:val="auto"/>
              </w:rPr>
            </w:pPr>
          </w:p>
        </w:tc>
        <w:tc>
          <w:tcPr>
            <w:tcW w:w="6080" w:type="dxa"/>
            <w:vAlign w:val="bottom"/>
            <w:gridSpan w:val="10"/>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2025, by and among Venus Concept Inc., Madryn Health Partners, LP and Madryn</w:t>
              </w:r>
            </w:hyperlink>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Health Partners (Cayman Master), LP</w:t>
              </w:r>
            </w:hyperlink>
          </w:p>
        </w:tc>
        <w:tc>
          <w:tcPr>
            <w:tcW w:w="3240" w:type="dxa"/>
            <w:vAlign w:val="bottom"/>
            <w:tcBorders>
              <w:top w:val="single" w:sz="8" w:color="0000EE"/>
            </w:tcBorders>
            <w:gridSpan w:val="4"/>
          </w:tcPr>
          <w:p>
            <w:pPr>
              <w:spacing w:after="0"/>
              <w:rPr>
                <w:sz w:val="17"/>
                <w:szCs w:val="17"/>
                <w:color w:val="auto"/>
              </w:rPr>
            </w:pPr>
          </w:p>
        </w:tc>
        <w:tc>
          <w:tcPr>
            <w:tcW w:w="12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32"/>
          </w:cols>
          <w:pgMar w:left="328" w:top="121" w:right="339" w:bottom="1440" w:gutter="0" w:footer="0" w:header="0"/>
        </w:sectPr>
      </w:pPr>
    </w:p>
    <w:p>
      <w:pPr>
        <w:spacing w:after="0" w:line="12" w:lineRule="exact"/>
        <w:rPr>
          <w:sz w:val="20"/>
          <w:szCs w:val="20"/>
          <w:color w:val="auto"/>
        </w:rPr>
      </w:pPr>
    </w:p>
    <w:tbl>
      <w:tblPr>
        <w:tblLayout w:type="fixed"/>
        <w:tblInd w:w="212" w:type="dxa"/>
        <w:tblCellMar>
          <w:top w:w="0" w:type="dxa"/>
          <w:left w:w="0" w:type="dxa"/>
          <w:bottom w:w="0" w:type="dxa"/>
          <w:right w:w="0" w:type="dxa"/>
        </w:tblCellMar>
      </w:tblPr>
      <w:tr>
        <w:trPr>
          <w:trHeight w:val="207"/>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31.1</w:t>
            </w:r>
          </w:p>
        </w:tc>
        <w:tc>
          <w:tcPr>
            <w:tcW w:w="59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w:t>
            </w:r>
          </w:p>
        </w:tc>
      </w:tr>
      <w:tr>
        <w:trPr>
          <w:trHeight w:val="196"/>
        </w:trPr>
        <w:tc>
          <w:tcPr>
            <w:tcW w:w="900" w:type="dxa"/>
            <w:vAlign w:val="bottom"/>
          </w:tcPr>
          <w:p>
            <w:pPr>
              <w:spacing w:after="0"/>
              <w:rPr>
                <w:sz w:val="17"/>
                <w:szCs w:val="17"/>
                <w:color w:val="auto"/>
              </w:rPr>
            </w:pPr>
          </w:p>
        </w:tc>
        <w:tc>
          <w:tcPr>
            <w:tcW w:w="5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r>
      <w:tr>
        <w:trPr>
          <w:trHeight w:val="20"/>
        </w:trPr>
        <w:tc>
          <w:tcPr>
            <w:tcW w:w="9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31.2</w:t>
            </w:r>
          </w:p>
        </w:tc>
        <w:tc>
          <w:tcPr>
            <w:tcW w:w="59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w:t>
            </w:r>
          </w:p>
        </w:tc>
      </w:tr>
      <w:tr>
        <w:trPr>
          <w:trHeight w:val="196"/>
        </w:trPr>
        <w:tc>
          <w:tcPr>
            <w:tcW w:w="900" w:type="dxa"/>
            <w:vAlign w:val="bottom"/>
          </w:tcPr>
          <w:p>
            <w:pPr>
              <w:spacing w:after="0"/>
              <w:rPr>
                <w:sz w:val="17"/>
                <w:szCs w:val="17"/>
                <w:color w:val="auto"/>
              </w:rPr>
            </w:pPr>
          </w:p>
        </w:tc>
        <w:tc>
          <w:tcPr>
            <w:tcW w:w="5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r>
      <w:tr>
        <w:trPr>
          <w:trHeight w:val="20"/>
        </w:trPr>
        <w:tc>
          <w:tcPr>
            <w:tcW w:w="9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32.1*</w:t>
            </w:r>
          </w:p>
        </w:tc>
        <w:tc>
          <w:tcPr>
            <w:tcW w:w="59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w:t>
            </w:r>
          </w:p>
        </w:tc>
      </w:tr>
      <w:tr>
        <w:trPr>
          <w:trHeight w:val="196"/>
        </w:trPr>
        <w:tc>
          <w:tcPr>
            <w:tcW w:w="900" w:type="dxa"/>
            <w:vAlign w:val="bottom"/>
          </w:tcPr>
          <w:p>
            <w:pPr>
              <w:spacing w:after="0"/>
              <w:rPr>
                <w:sz w:val="17"/>
                <w:szCs w:val="17"/>
                <w:color w:val="auto"/>
              </w:rPr>
            </w:pPr>
          </w:p>
        </w:tc>
        <w:tc>
          <w:tcPr>
            <w:tcW w:w="50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906 of the Sarbanes-Oxley Act of 2002.</w:t>
            </w:r>
          </w:p>
        </w:tc>
        <w:tc>
          <w:tcPr>
            <w:tcW w:w="980" w:type="dxa"/>
            <w:vAlign w:val="bottom"/>
            <w:gridSpan w:val="2"/>
          </w:tcPr>
          <w:p>
            <w:pPr>
              <w:spacing w:after="0"/>
              <w:rPr>
                <w:sz w:val="17"/>
                <w:szCs w:val="17"/>
                <w:color w:val="auto"/>
              </w:rPr>
            </w:pPr>
          </w:p>
        </w:tc>
      </w:tr>
      <w:tr>
        <w:trPr>
          <w:trHeight w:val="41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32.2*</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w:t>
            </w:r>
          </w:p>
        </w:tc>
      </w:tr>
      <w:tr>
        <w:trPr>
          <w:trHeight w:val="196"/>
        </w:trPr>
        <w:tc>
          <w:tcPr>
            <w:tcW w:w="90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906 of the Sarbanes-Oxley Act of 2002.</w:t>
            </w:r>
          </w:p>
        </w:tc>
        <w:tc>
          <w:tcPr>
            <w:tcW w:w="9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101.INS</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101.SCH</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101.CAL</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101.DEF</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101.LAB</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101.PRE</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112" w:right="3020" w:hanging="514"/>
        <w:spacing w:after="0" w:line="282" w:lineRule="auto"/>
        <w:tabs>
          <w:tab w:leader="none" w:pos="111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sectPr>
          <w:pgSz w:w="11900" w:h="16838" w:orient="portrait"/>
          <w:cols w:equalWidth="0" w:num="2">
            <w:col w:w="10092" w:space="720"/>
            <w:col w:w="420"/>
          </w:cols>
          <w:pgMar w:left="328" w:top="121" w:right="339" w:bottom="1440" w:gutter="0" w:footer="0" w:header="0"/>
          <w:type w:val="continuous"/>
        </w:sectPr>
      </w:pPr>
    </w:p>
    <w:p>
      <w:pPr>
        <w:jc w:val="both"/>
        <w:ind w:left="-8" w:firstLine="8"/>
        <w:spacing w:after="0" w:line="261" w:lineRule="auto"/>
        <w:tabs>
          <w:tab w:leader="none" w:pos="4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and Exhibit 32.2 that accompanies this Quarterly Report on Form 10-Q is not deemed filed with the United States Securities and Exchange Commission and is not to be incorporated by reference into any filing of Venus Concept Inc. under the Securities Act of 1933, as amended, or the Securities Exchange Act of 1934, as amended, whether made before or after the date of this Quarterly Report on Form 10-Q, irrespective of any general incorporation language contained in such filing.</w:t>
      </w:r>
    </w:p>
    <w:p>
      <w:pPr>
        <w:sectPr>
          <w:pgSz w:w="11900" w:h="16838" w:orient="portrait"/>
          <w:cols w:equalWidth="0" w:num="1">
            <w:col w:w="11232"/>
          </w:cols>
          <w:pgMar w:left="328" w:top="121" w:right="339" w:bottom="1440" w:gutter="0" w:footer="0" w:header="0"/>
          <w:type w:val="continuous"/>
        </w:sectPr>
      </w:pPr>
    </w:p>
    <w:p>
      <w:pPr>
        <w:spacing w:after="0" w:line="1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442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Venus Concept Inc.</w:t>
            </w:r>
          </w:p>
        </w:tc>
        <w:tc>
          <w:tcPr>
            <w:tcW w:w="332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442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/s/ Rajiv De Silva</w:t>
            </w:r>
          </w:p>
        </w:tc>
      </w:tr>
      <w:tr>
        <w:trPr>
          <w:trHeight w:val="187"/>
        </w:trPr>
        <w:tc>
          <w:tcPr>
            <w:tcW w:w="35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jc w:val="center"/>
              <w:ind w:right="10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Rajiv De Silva</w:t>
            </w:r>
          </w:p>
        </w:tc>
      </w:tr>
      <w:tr>
        <w:trPr>
          <w:trHeight w:val="238"/>
        </w:trPr>
        <w:tc>
          <w:tcPr>
            <w:tcW w:w="35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442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/s/ Domenic Della Penna</w:t>
            </w:r>
          </w:p>
        </w:tc>
      </w:tr>
      <w:tr>
        <w:trPr>
          <w:trHeight w:val="187"/>
        </w:trPr>
        <w:tc>
          <w:tcPr>
            <w:tcW w:w="35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jc w:val="center"/>
              <w:ind w:right="10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Domenic Della Penna</w:t>
            </w:r>
          </w:p>
        </w:tc>
      </w:tr>
      <w:tr>
        <w:trPr>
          <w:trHeight w:val="238"/>
        </w:trPr>
        <w:tc>
          <w:tcPr>
            <w:tcW w:w="35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432"/>
        </w:trPr>
        <w:tc>
          <w:tcPr>
            <w:tcW w:w="3500" w:type="dxa"/>
            <w:vAlign w:val="bottom"/>
          </w:tcPr>
          <w:p>
            <w:pPr>
              <w:spacing w:after="0"/>
              <w:rPr>
                <w:sz w:val="24"/>
                <w:szCs w:val="24"/>
                <w:color w:val="auto"/>
              </w:rPr>
            </w:pPr>
          </w:p>
        </w:tc>
        <w:tc>
          <w:tcPr>
            <w:tcW w:w="33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43</w:t>
            </w:r>
          </w:p>
        </w:tc>
        <w:tc>
          <w:tcPr>
            <w:tcW w:w="112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1" w:name="page62"/>
    <w:bookmarkEnd w:id="61"/>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Rajiv De Silva,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quarterly report on Form 10-Q of Venus Concept Inc.;</w:t>
      </w:r>
    </w:p>
    <w:p>
      <w:pPr>
        <w:spacing w:after="0" w:line="225"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1.Based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2.Based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140" w:hanging="134"/>
        <w:spacing w:after="0" w:line="266" w:lineRule="auto"/>
        <w:rPr>
          <w:sz w:val="20"/>
          <w:szCs w:val="20"/>
          <w:color w:val="auto"/>
        </w:rPr>
      </w:pPr>
      <w:r>
        <w:rPr>
          <w:rFonts w:ascii="Times New Roman" w:cs="Times New Roman" w:eastAsia="Times New Roman" w:hAnsi="Times New Roman"/>
          <w:sz w:val="18"/>
          <w:szCs w:val="18"/>
          <w:color w:val="auto"/>
        </w:rPr>
        <w:t>3.The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201"/>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360" w:hanging="215"/>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340" w:hanging="201"/>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360" w:hanging="215"/>
        <w:spacing w:after="0" w:line="282"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left="140" w:hanging="134"/>
        <w:spacing w:after="0" w:line="282" w:lineRule="auto"/>
        <w:rPr>
          <w:sz w:val="20"/>
          <w:szCs w:val="20"/>
          <w:color w:val="auto"/>
        </w:rPr>
      </w:pPr>
      <w:r>
        <w:rPr>
          <w:rFonts w:ascii="Times New Roman" w:cs="Times New Roman" w:eastAsia="Times New Roman" w:hAnsi="Times New Roman"/>
          <w:sz w:val="18"/>
          <w:szCs w:val="18"/>
          <w:color w:val="auto"/>
        </w:rPr>
        <w:t>4.The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340" w:right="20" w:hanging="201"/>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360" w:right="20" w:hanging="215"/>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tabs>
          <w:tab w:leader="none" w:pos="4240" w:val="left"/>
          <w:tab w:leader="none" w:pos="584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Rajiv De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17145</wp:posOffset>
            </wp:positionV>
            <wp:extent cx="25203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Name: Rajiv De Silva</w:t>
      </w:r>
    </w:p>
    <w:p>
      <w:pPr>
        <w:spacing w:after="0" w:line="23"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0079"/>
          </w:cols>
          <w:pgMar w:left="380" w:top="1012" w:right="1440" w:bottom="1440" w:gutter="0" w:footer="0" w:header="0"/>
        </w:sectPr>
      </w:pPr>
    </w:p>
    <w:bookmarkStart w:id="63" w:name="page64"/>
    <w:bookmarkEnd w:id="63"/>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 SARBANES 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Domenic Della Penna,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have reviewed this quarterly report on Form 10-Q of Venus Concept Inc.;</w:t>
      </w:r>
    </w:p>
    <w:p>
      <w:pPr>
        <w:spacing w:after="0" w:line="225"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140" w:hanging="134"/>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201"/>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360" w:hanging="215"/>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340" w:hanging="201"/>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360" w:hanging="215"/>
        <w:spacing w:after="0" w:line="282"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left="140" w:hanging="134"/>
        <w:spacing w:after="0" w:line="282"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340" w:right="20" w:hanging="201"/>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360" w:right="20" w:hanging="215"/>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tabs>
          <w:tab w:leader="none" w:pos="4240" w:val="left"/>
          <w:tab w:leader="none" w:pos="558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17145</wp:posOffset>
            </wp:positionV>
            <wp:extent cx="25203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b w:val="1"/>
          <w:bCs w:val="1"/>
          <w:color w:val="auto"/>
        </w:rPr>
        <w:t>Name: Domenic Della Penna</w:t>
      </w:r>
    </w:p>
    <w:p>
      <w:pPr>
        <w:spacing w:after="0" w:line="34"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0079"/>
          </w:cols>
          <w:pgMar w:left="380" w:top="1012" w:right="1440" w:bottom="1440" w:gutter="0" w:footer="0" w:header="0"/>
        </w:sectPr>
      </w:pPr>
    </w:p>
    <w:bookmarkStart w:id="65" w:name="page66"/>
    <w:bookmarkEnd w:id="65"/>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Rajiv De Silva, the Chief Executive Officer of Venus Concept Inc. (the “Company”), hereby certify, that, to my knowledge:</w:t>
      </w:r>
    </w:p>
    <w:p>
      <w:pPr>
        <w:spacing w:after="0" w:line="162" w:lineRule="exact"/>
        <w:rPr>
          <w:sz w:val="20"/>
          <w:szCs w:val="20"/>
          <w:color w:val="auto"/>
        </w:rPr>
      </w:pPr>
    </w:p>
    <w:p>
      <w:pPr>
        <w:ind w:left="140" w:right="20" w:hanging="134"/>
        <w:spacing w:after="0" w:line="282" w:lineRule="auto"/>
        <w:rPr>
          <w:sz w:val="20"/>
          <w:szCs w:val="20"/>
          <w:color w:val="auto"/>
        </w:rPr>
      </w:pPr>
      <w:r>
        <w:rPr>
          <w:rFonts w:ascii="Times New Roman" w:cs="Times New Roman" w:eastAsia="Times New Roman" w:hAnsi="Times New Roman"/>
          <w:sz w:val="18"/>
          <w:szCs w:val="18"/>
          <w:color w:val="auto"/>
        </w:rPr>
        <w:t>1.The Quarterly Report on Form 10-Q for the quarter ended March 31, 2025 (the “Report”) of the Company fully complies with the requirements of Section 13(a) of the Securities Exchange Act of 1934;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tabs>
          <w:tab w:leader="none" w:pos="4240" w:val="left"/>
          <w:tab w:leader="none" w:pos="584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Rajiv De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17145</wp:posOffset>
            </wp:positionV>
            <wp:extent cx="25203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8">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7"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Name: Rajiv De Silva</w:t>
      </w:r>
    </w:p>
    <w:p>
      <w:pPr>
        <w:spacing w:after="0" w:line="23"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0079"/>
          </w:cols>
          <w:pgMar w:left="380" w:top="1012" w:right="1440" w:bottom="1440" w:gutter="0" w:footer="0" w:header="0"/>
        </w:sectPr>
      </w:pPr>
    </w:p>
    <w:bookmarkStart w:id="67" w:name="page68"/>
    <w:bookmarkEnd w:id="67"/>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Domenic Della Penna, the Chief Financial Officer of Venus Concept Inc. (the “Company”), hereby certify, that, to my knowledge:</w:t>
      </w:r>
    </w:p>
    <w:p>
      <w:pPr>
        <w:spacing w:after="0" w:line="162" w:lineRule="exact"/>
        <w:rPr>
          <w:sz w:val="20"/>
          <w:szCs w:val="20"/>
          <w:color w:val="auto"/>
        </w:rPr>
      </w:pPr>
    </w:p>
    <w:p>
      <w:pPr>
        <w:ind w:left="140" w:right="20" w:hanging="134"/>
        <w:spacing w:after="0" w:line="282" w:lineRule="auto"/>
        <w:rPr>
          <w:sz w:val="20"/>
          <w:szCs w:val="20"/>
          <w:color w:val="auto"/>
        </w:rPr>
      </w:pPr>
      <w:r>
        <w:rPr>
          <w:rFonts w:ascii="Times New Roman" w:cs="Times New Roman" w:eastAsia="Times New Roman" w:hAnsi="Times New Roman"/>
          <w:sz w:val="18"/>
          <w:szCs w:val="18"/>
          <w:color w:val="auto"/>
        </w:rPr>
        <w:t>1.The Quarterly Report on Form 10-Q for the quarter ended March 31, 2025 (the “Report”) of the Company fully complies with the requirements of Section 13(a) of the Securities Exchange Act of 1934;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tabs>
          <w:tab w:leader="none" w:pos="4240" w:val="left"/>
          <w:tab w:leader="none" w:pos="558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17145</wp:posOffset>
            </wp:positionV>
            <wp:extent cx="25203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b w:val="1"/>
          <w:bCs w:val="1"/>
          <w:color w:val="auto"/>
        </w:rPr>
        <w:t>Name: Domenic Della Penna</w:t>
      </w:r>
    </w:p>
    <w:p>
      <w:pPr>
        <w:spacing w:after="0" w:line="34"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sectPr>
      <w:pgSz w:w="11900" w:h="16838" w:orient="portrait"/>
      <w:cols w:equalWidth="0" w:num="1">
        <w:col w:w="10079"/>
      </w:cols>
      <w:pgMar w:left="380" w:top="12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Roman"/>
      <w:start w:val="1"/>
    </w:lvl>
  </w:abstractNum>
  <w:abstractNum w:abstractNumId="3">
    <w:nsid w:val="1190CDE7"/>
    <w:multiLevelType w:val="hybridMultilevel"/>
    <w:lvl w:ilvl="0">
      <w:lvlJc w:val="left"/>
      <w:lvlText w:val="(%1)"/>
      <w:numFmt w:val="lowerRoman"/>
      <w:start w:val="1"/>
    </w:lvl>
  </w:abstractNum>
  <w:abstractNum w:abstractNumId="4">
    <w:nsid w:val="66EF438D"/>
    <w:multiLevelType w:val="hybridMultilevel"/>
    <w:lvl w:ilvl="0">
      <w:lvlJc w:val="left"/>
      <w:lvlText w:val="(%1)"/>
      <w:numFmt w:val="lowerRoman"/>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04"/>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92" Type="http://schemas.openxmlformats.org/officeDocument/2006/relationships/image" Target="media/image58.png"/><Relationship Id="rId93" Type="http://schemas.openxmlformats.org/officeDocument/2006/relationships/image" Target="media/image59.png"/><Relationship Id="rId94" Type="http://schemas.openxmlformats.org/officeDocument/2006/relationships/image" Target="media/image60.png"/><Relationship Id="rId95" Type="http://schemas.openxmlformats.org/officeDocument/2006/relationships/image" Target="media/image61.png"/><Relationship Id="rId96" Type="http://schemas.openxmlformats.org/officeDocument/2006/relationships/image" Target="media/image62.png"/><Relationship Id="rId97" Type="http://schemas.openxmlformats.org/officeDocument/2006/relationships/image" Target="media/image63.png"/><Relationship Id="rId98" Type="http://schemas.openxmlformats.org/officeDocument/2006/relationships/image" Target="media/image64.png"/><Relationship Id="rId99" Type="http://schemas.openxmlformats.org/officeDocument/2006/relationships/image" Target="media/image65.png"/><Relationship Id="rId100" Type="http://schemas.openxmlformats.org/officeDocument/2006/relationships/image" Target="media/image66.png"/><Relationship Id="rId65" Type="http://schemas.openxmlformats.org/officeDocument/2006/relationships/hyperlink" Target="http://www.sec.gov/Archives/edgar/data/0001409269/000119312517311810/d448597dex31.htm" TargetMode="External"/><Relationship Id="rId66" Type="http://schemas.openxmlformats.org/officeDocument/2006/relationships/hyperlink" Target="http://www.sec.gov/Archives/edgar/data/0001409269/000119312519286952/d827576dex31.htm" TargetMode="External"/><Relationship Id="rId67" Type="http://schemas.openxmlformats.org/officeDocument/2006/relationships/hyperlink" Target="http://www.sec.gov/Archives/edgar/data/1409269/000114036123024193/brhc20052761_ex3-1.htm" TargetMode="External"/><Relationship Id="rId68" Type="http://schemas.openxmlformats.org/officeDocument/2006/relationships/hyperlink" Target="http://www.sec.gov/Archives/edgar/data/1409269/000114036123031431/brhc20054780_ex3-1.htm" TargetMode="External"/><Relationship Id="rId69" Type="http://schemas.openxmlformats.org/officeDocument/2006/relationships/hyperlink" Target="http://www.sec.gov/Archives/edgar/data/1409269/000114036123047079/ef20011960_ex3-1.htm" TargetMode="External"/><Relationship Id="rId70" Type="http://schemas.openxmlformats.org/officeDocument/2006/relationships/hyperlink" Target="http://www.sec.gov/Archives/edgar/data/1409269/000114036124027551/ef20030043_ex3-1.htm" TargetMode="External"/><Relationship Id="rId71" Type="http://schemas.openxmlformats.org/officeDocument/2006/relationships/hyperlink" Target="http://www.sec.gov/Archives/edgar/data/0001409269/000119312519286952/d827576dex32.htm" TargetMode="External"/><Relationship Id="rId72" Type="http://schemas.openxmlformats.org/officeDocument/2006/relationships/hyperlink" Target="http://www.sec.gov/ix?doc=/Archives/edgar/data/1409269/000114036124042112/ef20036350_8k.htm" TargetMode="External"/><Relationship Id="rId73" Type="http://schemas.openxmlformats.org/officeDocument/2006/relationships/hyperlink" Target="http://www.sec.gov/Archives/edgar/data/1409269/000114036125011679/ef20046756_ex3-1.htm" TargetMode="External"/><Relationship Id="rId74" Type="http://schemas.openxmlformats.org/officeDocument/2006/relationships/hyperlink" Target="http://www.sec.gov/Archives/edgar/data/1409269/000114036125011679/ef20046756_ex3-2.htm" TargetMode="External"/><Relationship Id="rId75" Type="http://schemas.openxmlformats.org/officeDocument/2006/relationships/hyperlink" Target="http://www.sec.gov/Archives/edgar/data/1409269/000114036125017125/ef20048288_ex3-1.htm" TargetMode="External"/><Relationship Id="rId76" Type="http://schemas.openxmlformats.org/officeDocument/2006/relationships/hyperlink" Target="http://www.sec.gov/Archives/edgar/data/1409269/000114036124009816/ef20022605_ex4-1.htm" TargetMode="External"/><Relationship Id="rId77" Type="http://schemas.openxmlformats.org/officeDocument/2006/relationships/hyperlink" Target="http://www.sec.gov/Archives/edgar/data/1409269/000114036124009816/ef20022605_ex4-2.htm" TargetMode="External"/><Relationship Id="rId78" Type="http://schemas.openxmlformats.org/officeDocument/2006/relationships/hyperlink" Target="http://www.sec.gov/Archives/edgar/data/1409269/000114036125000373/ef20041155_ex10-1.htm" TargetMode="External"/><Relationship Id="rId79" Type="http://schemas.openxmlformats.org/officeDocument/2006/relationships/hyperlink" Target="http://www.sec.gov/Archives/edgar/data/1409269/000114036125000373/ef20041155_ex10-2.htm" TargetMode="External"/><Relationship Id="rId80" Type="http://schemas.openxmlformats.org/officeDocument/2006/relationships/hyperlink" Target="http://www.sec.gov/Archives/edgar/data/1409269/000114036125002746/ef20042697_ex10-1.htm" TargetMode="External"/><Relationship Id="rId81" Type="http://schemas.openxmlformats.org/officeDocument/2006/relationships/hyperlink" Target="http://www.sec.gov/Archives/edgar/data/1409269/000114036125002746/ef20042697_ex10-2.htm" TargetMode="External"/><Relationship Id="rId82" Type="http://schemas.openxmlformats.org/officeDocument/2006/relationships/hyperlink" Target="http://www.sec.gov/Archives/edgar/data/1409269/000114036125006870/ef20044815_ex10-1.htm" TargetMode="External"/><Relationship Id="rId83" Type="http://schemas.openxmlformats.org/officeDocument/2006/relationships/hyperlink" Target="http://www.sec.gov/Archives/edgar/data/1409269/000114036125006870/ef20044815_ex10-2.htm" TargetMode="External"/><Relationship Id="rId84" Type="http://schemas.openxmlformats.org/officeDocument/2006/relationships/hyperlink" Target="http://www.sec.gov/Archives/edgar/data/1409269/000114036125006870/ef20044815_ex10-3.htm" TargetMode="External"/><Relationship Id="rId85" Type="http://schemas.openxmlformats.org/officeDocument/2006/relationships/hyperlink" Target="http://www.sec.gov/Archives/edgar/data/1409269/000114036125006870/ef20044815_ex10-4.htm" TargetMode="External"/><Relationship Id="rId86" Type="http://schemas.openxmlformats.org/officeDocument/2006/relationships/hyperlink" Target="http://www.sec.gov/Archives/edgar/data/1409269/000114036125010864/ef20046361_ex10-1.htm" TargetMode="External"/><Relationship Id="rId87" Type="http://schemas.openxmlformats.org/officeDocument/2006/relationships/hyperlink" Target="http://www.sec.gov/Archives/edgar/data/1409269/000114036125010864/ef20046361_ex10-2.htm" TargetMode="External"/><Relationship Id="rId88" Type="http://schemas.openxmlformats.org/officeDocument/2006/relationships/hyperlink" Target="http://www.sec.gov/Archives/edgar/data/1409269/000114036125011679/ef20046756_ex10-1.htm" TargetMode="External"/><Relationship Id="rId89" Type="http://schemas.openxmlformats.org/officeDocument/2006/relationships/hyperlink" Target="http://www.sec.gov/Archives/edgar/data/1409269/000114036125011679/ef20046756_ex10-2.htm" TargetMode="External"/><Relationship Id="rId90" Type="http://schemas.openxmlformats.org/officeDocument/2006/relationships/hyperlink" Target="http://www.sec.gov/Archives/edgar/data/1409269/000114036125011679/ef20046756_ex10-3.htm" TargetMode="External"/><Relationship Id="rId91" Type="http://schemas.openxmlformats.org/officeDocument/2006/relationships/hyperlink" Target="http://www.sec.gov/Archives/edgar/data/1409269/000114036125011679/ef20046756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2025-05-15T06:26:13Z</dcterms:created>
  <dcterms:modified xsi:type="dcterms:W3CDTF">2025-05-15T06:26:13Z</dcterms:modified>
</cp:coreProperties>
</file>