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100" w:right="2680" w:hanging="4092"/>
        <w:spacing w:after="0" w:line="521" w:lineRule="auto"/>
        <w:tabs>
          <w:tab w:leader="none" w:pos="66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660" w:right="500" w:hanging="652"/>
        <w:spacing w:after="0" w:line="301" w:lineRule="auto"/>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4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Commission File Number 001-38238</w:t>
            </w:r>
          </w:p>
        </w:tc>
        <w:tc>
          <w:tcPr>
            <w:tcW w:w="1440" w:type="dxa"/>
            <w:vAlign w:val="bottom"/>
          </w:tcPr>
          <w:p>
            <w:pPr>
              <w:spacing w:after="0"/>
              <w:rPr>
                <w:sz w:val="18"/>
                <w:szCs w:val="18"/>
                <w:color w:val="auto"/>
              </w:rPr>
            </w:pPr>
          </w:p>
        </w:tc>
      </w:tr>
      <w:tr>
        <w:trPr>
          <w:trHeight w:val="263"/>
        </w:trPr>
        <w:tc>
          <w:tcPr>
            <w:tcW w:w="246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4"/>
        </w:trPr>
        <w:tc>
          <w:tcPr>
            <w:tcW w:w="2460" w:type="dxa"/>
            <w:vAlign w:val="bottom"/>
          </w:tcPr>
          <w:p>
            <w:pPr>
              <w:spacing w:after="0"/>
              <w:rPr>
                <w:sz w:val="20"/>
                <w:szCs w:val="20"/>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Venus Concept Inc.</w:t>
            </w:r>
          </w:p>
        </w:tc>
        <w:tc>
          <w:tcPr>
            <w:tcW w:w="1440" w:type="dxa"/>
            <w:vAlign w:val="bottom"/>
          </w:tcPr>
          <w:p>
            <w:pPr>
              <w:spacing w:after="0"/>
              <w:rPr>
                <w:sz w:val="20"/>
                <w:szCs w:val="20"/>
                <w:color w:val="auto"/>
              </w:rPr>
            </w:pPr>
          </w:p>
        </w:tc>
      </w:tr>
      <w:tr>
        <w:trPr>
          <w:trHeight w:val="212"/>
        </w:trPr>
        <w:tc>
          <w:tcPr>
            <w:tcW w:w="5860" w:type="dxa"/>
            <w:vAlign w:val="bottom"/>
            <w:gridSpan w:val="3"/>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40" w:type="dxa"/>
            <w:vAlign w:val="bottom"/>
          </w:tcPr>
          <w:p>
            <w:pPr>
              <w:spacing w:after="0"/>
              <w:rPr>
                <w:sz w:val="18"/>
                <w:szCs w:val="18"/>
                <w:color w:val="auto"/>
              </w:rPr>
            </w:pPr>
          </w:p>
        </w:tc>
      </w:tr>
      <w:tr>
        <w:trPr>
          <w:trHeight w:val="60"/>
        </w:trPr>
        <w:tc>
          <w:tcPr>
            <w:tcW w:w="2460" w:type="dxa"/>
            <w:vAlign w:val="bottom"/>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437"/>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06-1681204</w:t>
            </w:r>
          </w:p>
        </w:tc>
      </w:tr>
      <w:tr>
        <w:trPr>
          <w:trHeight w:val="203"/>
        </w:trPr>
        <w:tc>
          <w:tcPr>
            <w:tcW w:w="586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60" w:type="dxa"/>
            <w:vAlign w:val="bottom"/>
            <w:gridSpan w:val="3"/>
          </w:tcPr>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2460" w:type="dxa"/>
            <w:vAlign w:val="bottom"/>
          </w:tcPr>
          <w:p>
            <w:pPr>
              <w:spacing w:after="0"/>
              <w:rPr>
                <w:sz w:val="24"/>
                <w:szCs w:val="24"/>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235 Yorkland Blvd. Suite 900</w:t>
            </w:r>
          </w:p>
        </w:tc>
        <w:tc>
          <w:tcPr>
            <w:tcW w:w="1440" w:type="dxa"/>
            <w:vAlign w:val="bottom"/>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Toronto, Ontario M2J 4Y8</w:t>
            </w:r>
          </w:p>
        </w:tc>
        <w:tc>
          <w:tcPr>
            <w:tcW w:w="1440" w:type="dxa"/>
            <w:vAlign w:val="bottom"/>
          </w:tcPr>
          <w:p>
            <w:pPr>
              <w:spacing w:after="0"/>
              <w:rPr>
                <w:sz w:val="17"/>
                <w:szCs w:val="17"/>
                <w:color w:val="auto"/>
              </w:rPr>
            </w:pPr>
          </w:p>
        </w:tc>
      </w:tr>
      <w:tr>
        <w:trPr>
          <w:trHeight w:val="212"/>
        </w:trPr>
        <w:tc>
          <w:tcPr>
            <w:tcW w:w="5260" w:type="dxa"/>
            <w:vAlign w:val="bottom"/>
            <w:gridSpan w:val="2"/>
          </w:tcPr>
          <w:p>
            <w:pPr>
              <w:jc w:val="center"/>
              <w:ind w:left="2399"/>
              <w:spacing w:after="0"/>
              <w:rPr>
                <w:sz w:val="20"/>
                <w:szCs w:val="20"/>
                <w:color w:val="auto"/>
              </w:rPr>
            </w:pPr>
            <w:r>
              <w:rPr>
                <w:rFonts w:ascii="Times New Roman" w:cs="Times New Roman" w:eastAsia="Times New Roman" w:hAnsi="Times New Roman"/>
                <w:sz w:val="16"/>
                <w:szCs w:val="16"/>
                <w:b w:val="1"/>
                <w:bCs w:val="1"/>
                <w:color w:val="auto"/>
              </w:rPr>
              <w:t>(877) 848-8430</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VERO</w:t>
            </w: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Capital Market</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8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ind w:right="5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0"/>
          <w:szCs w:val="20"/>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9"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of June 30, 2024, (the last business day of the registrant’s most recently completed second quarter), the aggregate market value of Registrant’s common stock, par value $0.0001, held by non-affiliates of the Registrant was $3,411,271 based upon the closing price of $8.613 per share as reported for such date by the Nasdaq Capital Market. Shares of the Registrant's common stock held by executive officers and directors of the Registrant and by certain stockholders who owned 10% or more of the outstanding common stock have been excluded if such persons were deemed to be affiliates of the registrant. This determination of affiliate status is not necessarily a conclusive determination for other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26, 2025 was 709,130.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688975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10"/>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74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6"/>
          </w:tcPr>
          <w:p>
            <w:pPr>
              <w:spacing w:after="0"/>
              <w:rPr>
                <w:sz w:val="17"/>
                <w:szCs w:val="17"/>
                <w:color w:val="auto"/>
              </w:rPr>
            </w:pPr>
          </w:p>
        </w:tc>
        <w:tc>
          <w:tcPr>
            <w:tcW w:w="7280" w:type="dxa"/>
            <w:vAlign w:val="bottom"/>
            <w:gridSpan w:val="12"/>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560" w:type="dxa"/>
            <w:vAlign w:val="bottom"/>
            <w:gridSpan w:val="21"/>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80" w:type="dxa"/>
            <w:vAlign w:val="bottom"/>
            <w:gridSpan w:val="16"/>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680" w:type="dxa"/>
            <w:vAlign w:val="bottom"/>
            <w:gridSpan w:val="4"/>
          </w:tcPr>
          <w:p>
            <w:pPr>
              <w:spacing w:after="0"/>
              <w:rPr>
                <w:sz w:val="17"/>
                <w:szCs w:val="17"/>
                <w:color w:val="auto"/>
              </w:rPr>
            </w:pPr>
          </w:p>
        </w:tc>
        <w:tc>
          <w:tcPr>
            <w:tcW w:w="8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2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520" w:type="dxa"/>
            <w:vAlign w:val="bottom"/>
            <w:gridSpan w:val="20"/>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84</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3"/>
          </w:tcPr>
          <w:p>
            <w:pPr>
              <w:spacing w:after="0"/>
              <w:rPr>
                <w:sz w:val="17"/>
                <w:szCs w:val="17"/>
                <w:color w:val="auto"/>
              </w:rPr>
            </w:pPr>
          </w:p>
        </w:tc>
        <w:tc>
          <w:tcPr>
            <w:tcW w:w="4960" w:type="dxa"/>
            <w:vAlign w:val="bottom"/>
            <w:gridSpan w:val="7"/>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85</w:t>
            </w: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40" w:type="dxa"/>
            <w:vAlign w:val="bottom"/>
            <w:gridSpan w:val="11"/>
          </w:tcPr>
          <w:p>
            <w:pPr>
              <w:spacing w:after="0"/>
              <w:rPr>
                <w:sz w:val="17"/>
                <w:szCs w:val="17"/>
                <w:color w:val="auto"/>
              </w:rPr>
            </w:pPr>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gridSpan w:val="3"/>
          </w:tcPr>
          <w:p>
            <w:pPr>
              <w:spacing w:after="0"/>
              <w:rPr>
                <w:sz w:val="17"/>
                <w:szCs w:val="17"/>
                <w:color w:val="auto"/>
              </w:rPr>
            </w:pPr>
          </w:p>
        </w:tc>
        <w:tc>
          <w:tcPr>
            <w:tcW w:w="7540" w:type="dxa"/>
            <w:vAlign w:val="bottom"/>
            <w:gridSpan w:val="14"/>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6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180" w:type="dxa"/>
            <w:vAlign w:val="bottom"/>
            <w:gridSpan w:val="8"/>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860" w:type="dxa"/>
            <w:vAlign w:val="bottom"/>
            <w:gridSpan w:val="5"/>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Consolidated Financial Statement Schedules</w:t>
            </w:r>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1340" w:type="dxa"/>
            <w:vAlign w:val="bottom"/>
            <w:gridSpan w:val="6"/>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2340" w:type="dxa"/>
            <w:vAlign w:val="bottom"/>
            <w:gridSpan w:val="6"/>
          </w:tcPr>
          <w:p>
            <w:pPr>
              <w:spacing w:after="0"/>
              <w:rPr>
                <w:sz w:val="17"/>
                <w:szCs w:val="17"/>
                <w:color w:val="auto"/>
              </w:rPr>
            </w:pPr>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760" w:type="dxa"/>
            <w:vAlign w:val="bottom"/>
            <w:gridSpan w:val="15"/>
          </w:tcPr>
          <w:p>
            <w:pPr>
              <w:spacing w:after="0"/>
              <w:rPr>
                <w:sz w:val="17"/>
                <w:szCs w:val="17"/>
                <w:color w:val="auto"/>
              </w:rPr>
            </w:pPr>
          </w:p>
        </w:tc>
        <w:tc>
          <w:tcPr>
            <w:tcW w:w="5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 AND 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(the "Annual Report") for the year ended December 31, 2024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 within the meaning of Section 27A of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Any statements contained herein that are not of historical facts may be deemed to be forward-looking statements. In some cases,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 indicate future events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factors which we currently believe could have a material adverse effect on our business operations and financial performance and condition include, but are not limited to, those risks and uncertainties that are detailed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and under Item 1A. of Part I of this Annual Report. You are urged to consider these factors carefully in evaluating the forward-looking statements and are cautioned not to place undue reliance on these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a summary of which is set forth below. These risks are discussed more fully in Part I, Item 1A. Risk Factors.</w:t>
      </w:r>
    </w:p>
    <w:p>
      <w:pPr>
        <w:spacing w:after="0" w:line="225" w:lineRule="exact"/>
        <w:rPr>
          <w:sz w:val="20"/>
          <w:szCs w:val="20"/>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may not result in any transaction.</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certain of our customers and distributors.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may adversely impact our business.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recruit, hire, train, and retain sales professionals, senior management and key employees could have a material adverse effect on the Company's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and security agreements contain restrictions that may limit our flexibility to effectively operate our business.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to forecast our future performance and our financial results may fluctuate unpredictably.</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process required to obtain regulatory clearances or approvals is lengthy and expensive with uncertain outcomes and could result in delays in new product introductions.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devices and our operations are subject to extensive government regulation and oversight both in the United States of America (the "United States" or "U.S") and abroad, and our failure to comply with applicable requirements could harm our business.</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significant portion of our operations in Israel and therefore our business, financial condition. and results of operations may be adversely affected by political, economic and military conditions in Israel, including but not limited to, the ongoing Israel-Hamas conflict.</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listing on the Nasdaq Capital Market, which could decrease the liquidity of our common stock and make it more difficult to sell our common stock in the public market.</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you may not be able to resell our common stock at or above the price you paid.</w:t>
      </w:r>
    </w:p>
    <w:p>
      <w:pPr>
        <w:spacing w:after="0" w:line="225"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and, consequently, our stockholders’ ability to achieve a return on their investment will depend on appreciation in the price of our common stock.</w:t>
      </w:r>
    </w:p>
    <w:p>
      <w:pPr>
        <w:spacing w:after="0" w:line="161" w:lineRule="exact"/>
        <w:rPr>
          <w:rFonts w:ascii="Times New Roman" w:cs="Times New Roman" w:eastAsia="Times New Roman" w:hAnsi="Times New Roman"/>
          <w:sz w:val="18"/>
          <w:szCs w:val="18"/>
          <w:color w:val="auto"/>
        </w:rPr>
      </w:pPr>
    </w:p>
    <w:p>
      <w:pPr>
        <w:ind w:left="1040" w:right="2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sell shares of our common stock in future financings, stockholders may experience immediate dilution and, as a result, our stock price may decline.</w:t>
      </w:r>
    </w:p>
    <w:p>
      <w:pPr>
        <w:spacing w:after="0" w:line="161"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we have taken advantage of certain exemptions from disclosure requirements available to smaller reporting companies.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(referred to herein, together with its subsidiaries unless the context otherwise denotes, as the “Company,” “Venus Concept,” “us,” “our,” or “we”) is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years ended December 31, 2024 and 2023, respectively, a substantial majority of our systems delivered in North America were in non-traditional markets.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December 31, 2024 and December 31, 2023, we had an accumulated deficit of $308.9 million and $261.9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2024 and December 31, 2023, we had cash and cash equivalents of $4.3 million and $5.4 million,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disruptions, including increases to inflation rates, rising interest rates, global tariff threats, foreign currency impacts, declines in consumer confidence, increasing tariff threats, and declines in economic growth. All these factors point to uncertainty about economic stability, and the severity and duration of these conditions on our business cannot be predicted.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460" w:right="20" w:hanging="236"/>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traditional sales contracts,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traditional system sales and from sales under our internal financing programs, which are available to customers in North America and select international markets. Approximately 26% of our aesthetic system revenues were derived from our internal financing programs in the year ended December 31, 2024. We currently do not offer the ARTAS iX system under our internal financing programs.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operated directly in 12 international markets through our 10 direct offices in the United States, Canada, Japan,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year ended December 31, 2024, and 2023 were $64.8 million and $76.4 million, respectively. We had a net loss attributable to Venus Concept of $47.0 million and $37.2 million for the year ended December 31, 2024, and 2023, respectively. We had an Adjusted EBITDA loss of $21.2 million and $20.3 million for the year ended December 31, 2024, and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Aesthetic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aesthetic procedures is large, growing, global in scale, and comprised of both surgical and non-surgical procedures. The International Society of Aesthetic Plastic Surgery reported approximately 35 million cosmetic procedures worldwide in 2023. Total cosmetic procedures worldwide in 2023 was comprised of approximately 15.8 million surgical cosmetic procedures and approximately 19.2 million non-surgical cosmetic procedures. Total non-surgical procedures worldwide in 2023 included approximately 14.8 million injectable procedures – primarily neurotoxin and hyaluronic acid fillers – with the remaining 4.4 million non-surgical, non-injectable procedures worldwide in 2023 representing annual addressable procedure opportunity for our minimally invasive and non-invasive medical aesthetic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Hair Restoration Procedures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“2022 Practice Census Results Report” from the International Society of Hair Restoration (“ISHRS”), an estimated 703,183 patients worldwide had a surgical hair restoration procedure in 2021 and estimated the global market for surgical hair restoration treatments totaled $4.5 billion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factors are contributing to the growth in the aesthetic and hair restoration markets, including:</w:t>
      </w:r>
    </w:p>
    <w:p>
      <w:pPr>
        <w:spacing w:after="0" w:line="206"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Continuing focus on body image and appearance</w:t>
      </w:r>
      <w:r>
        <w:rPr>
          <w:rFonts w:ascii="Times New Roman" w:cs="Times New Roman" w:eastAsia="Times New Roman" w:hAnsi="Times New Roman"/>
          <w:sz w:val="18"/>
          <w:szCs w:val="18"/>
          <w:color w:val="auto"/>
        </w:rPr>
        <w:t>. Both women and men continue to be concerned with their body image and appearance.</w:t>
      </w:r>
    </w:p>
    <w:p>
      <w:pPr>
        <w:spacing w:after="0" w:line="222"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Wide acceptance of aesthetic procedures. </w:t>
      </w:r>
      <w:r>
        <w:rPr>
          <w:rFonts w:ascii="Times New Roman" w:cs="Times New Roman" w:eastAsia="Times New Roman" w:hAnsi="Times New Roman"/>
          <w:sz w:val="18"/>
          <w:szCs w:val="18"/>
          <w:color w:val="auto"/>
        </w:rPr>
        <w:t>According to the American Society for Aesthetic Plastic Surgery (“ASAPS”), in 2022, people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spent more than $11.8 billion on combined surgical and non-surgical aesthetic procedures. The number of non-surgical procedures has increased, growing 23% from 2021 to 2022, Nonsurgical procedures were boosted by large increases in infusions, skin treatments, body contouring, and neurotoxins.</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Broader availability of minimally and non-invasive procedures. </w:t>
      </w:r>
      <w:r>
        <w:rPr>
          <w:rFonts w:ascii="Times New Roman" w:cs="Times New Roman" w:eastAsia="Times New Roman" w:hAnsi="Times New Roman"/>
          <w:sz w:val="18"/>
          <w:szCs w:val="18"/>
          <w:color w:val="auto"/>
        </w:rPr>
        <w:t>Technological developments have resulted in the introduction of 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safe, effective, easy-to-use, and low-cost minimally invasive and non-invasive aesthetic procedures, with fewer side effects. This has resulted in wider adoption of aesthetic procedures by practitioners. According to the ASAPS, nonsurgical procedures were performed more often in 2022 than surgical procedures. There has also been a market shift to less invasive hair restoration procedures such as follicular unit extraction ("FUE") surgery which, according to ISHRS, is the most common method among males (75.4%), followed by strip/linear harvesting (21.3%) and combination strip and FUE (3.3%). The most common type of procedure among female patients is also FUE (57.0%) followed by strip/linear harvesting (41.7%).</w:t>
      </w:r>
    </w:p>
    <w:p>
      <w:pPr>
        <w:spacing w:after="0" w:line="182" w:lineRule="exact"/>
        <w:rPr>
          <w:rFonts w:ascii="Times New Roman" w:cs="Times New Roman" w:eastAsia="Times New Roman" w:hAnsi="Times New Roman"/>
          <w:sz w:val="18"/>
          <w:szCs w:val="18"/>
          <w:color w:val="auto"/>
        </w:rPr>
      </w:pPr>
    </w:p>
    <w:p>
      <w:pPr>
        <w:jc w:val="both"/>
        <w:ind w:left="980" w:hanging="486"/>
        <w:spacing w:after="0" w:line="243"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Increased physician focus and changing practitioner economics. </w:t>
      </w:r>
      <w:r>
        <w:rPr>
          <w:rFonts w:ascii="Times New Roman" w:cs="Times New Roman" w:eastAsia="Times New Roman" w:hAnsi="Times New Roman"/>
          <w:sz w:val="18"/>
          <w:szCs w:val="18"/>
          <w:color w:val="auto"/>
        </w:rPr>
        <w:t>Managed care and government payor reimbursement restrictions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and similar payment-related constraints outside of the United 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Increasingly affordable treatment solutions. </w:t>
      </w:r>
      <w:r>
        <w:rPr>
          <w:rFonts w:ascii="Times New Roman" w:cs="Times New Roman" w:eastAsia="Times New Roman" w:hAnsi="Times New Roman"/>
          <w:sz w:val="18"/>
          <w:szCs w:val="18"/>
          <w:color w:val="auto"/>
        </w:rPr>
        <w:t>New, lower cost technologies combined with procedure pricing pressures will broaden the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for minimally invasive and non-invasive aesthetic procedures, which we believe will continue to contribute to increased market demand.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Aesthetic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Aesthetic Treatment Options and Their Limitations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several limitations have restricted the growth of traditional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Radiofrequency (“RF”), Intense Pulsed Light (“IPL”), lasers using various wavelengths, shockwave therapy or ultrasound.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traditional aesthetic technologies present several limitations, including surgical risks, potentially painful and medication-dependent surgical recovery, pain and discomfort, potentially undesired results. In addition, traditional aesthetic technologies are limited in efficacy by the relative skill and technique of the operator, and patient access to invasive treatments is often limited by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Technology Solutions</w:t>
      </w:r>
    </w:p>
    <w:p>
      <w:pPr>
        <w:spacing w:after="0" w:line="229"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We have designed a suite of medical aesthetic systems that use our proprietary multipolar pulsed technology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technology to address the limitations of existing medical aesthetic technologies and procedures. Our systems have the following characteristics:</w:t>
      </w:r>
    </w:p>
    <w:p>
      <w:pPr>
        <w:spacing w:after="0" w:line="198" w:lineRule="exact"/>
        <w:rPr>
          <w:sz w:val="20"/>
          <w:szCs w:val="20"/>
          <w:color w:val="auto"/>
        </w:rPr>
      </w:pPr>
    </w:p>
    <w:p>
      <w:pPr>
        <w:jc w:val="both"/>
        <w:ind w:left="980" w:hanging="486"/>
        <w:spacing w:after="0" w:line="222"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Non-invasive. </w:t>
      </w:r>
      <w:r>
        <w:rPr>
          <w:rFonts w:ascii="Times New Roman" w:cs="Times New Roman" w:eastAsia="Times New Roman" w:hAnsi="Times New Roman"/>
          <w:sz w:val="18"/>
          <w:szCs w:val="18"/>
          <w:color w:val="auto"/>
        </w:rPr>
        <w:t>Our systems use technologies that are primarily non-invasive.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combines multipolar RF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magnetic pulse synthesizers to homogenously raise temperature over the entire treatment area and multiple skin layers. Controlled, targeted, uniform heat distribution and the ability to maintain clinically acceptable therapeutic temperature for the entire treatment results in no heat spikes (thermal surges) and eliminates the need for topical cooling agents.</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Easy-to-use and delegable technology. </w:t>
      </w:r>
      <w:r>
        <w:rPr>
          <w:rFonts w:ascii="Times New Roman" w:cs="Times New Roman" w:eastAsia="Times New Roman" w:hAnsi="Times New Roman"/>
          <w:sz w:val="18"/>
          <w:szCs w:val="18"/>
          <w:color w:val="auto"/>
        </w:rPr>
        <w:t>We believe that the effective use of our aesthetic systems is not technique-dependent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training and skills to obtain successful aesthetic results. This allows physicians to leverage their own time and increase throughput since procedures can be performed by non-physician operators, subject to local regulations. We design our systems to be easy to operate with this benefit in mind.</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22"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Results for broad range of skin types. </w:t>
      </w:r>
      <w:r>
        <w:rPr>
          <w:rFonts w:ascii="Times New Roman" w:cs="Times New Roman" w:eastAsia="Times New Roman" w:hAnsi="Times New Roman"/>
          <w:sz w:val="18"/>
          <w:szCs w:val="18"/>
          <w:color w:val="auto"/>
        </w:rPr>
        <w:t>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uses proprietary algorithms that harness the benefits of both RF and Pulsed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Electromagnetic Field Therapy (“PEMF”) therapy. This resulting energy matrix penetrates multiple layers of skin, raising temperature homogenously and effectively. We believe this type of skin penetration improves treated conditions and provides visible results for a broad range of skin types.</w:t>
      </w:r>
    </w:p>
    <w:p>
      <w:pPr>
        <w:spacing w:after="0" w:line="197"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Technology enables products to be designed for affordability. </w:t>
      </w:r>
      <w:r>
        <w:rPr>
          <w:rFonts w:ascii="Times New Roman" w:cs="Times New Roman" w:eastAsia="Times New Roman" w:hAnsi="Times New Roman"/>
          <w:sz w:val="18"/>
          <w:szCs w:val="18"/>
          <w:color w:val="auto"/>
        </w:rPr>
        <w:t>Our technology enables us to focus on designing and manufacturing products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affordable cost. We offer our products at competitive prices without sacrificing quality, while maintaining our margin objectives. Our competitive prices and internal lease model also allow our customers the ability to offer more affordable treatment options to patients.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Competitive Advantages for the Aesthetic Market</w:t>
      </w:r>
    </w:p>
    <w:p>
      <w:pPr>
        <w:spacing w:after="0" w:line="225" w:lineRule="exact"/>
        <w:rPr>
          <w:sz w:val="20"/>
          <w:szCs w:val="20"/>
          <w:color w:val="auto"/>
        </w:rPr>
      </w:pPr>
    </w:p>
    <w:p>
      <w:pPr>
        <w:jc w:val="both"/>
        <w:ind w:left="980" w:hanging="486"/>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Expands potential market. </w:t>
      </w:r>
      <w:r>
        <w:rPr>
          <w:rFonts w:ascii="Times New Roman" w:cs="Times New Roman" w:eastAsia="Times New Roman" w:hAnsi="Times New Roman"/>
          <w:sz w:val="18"/>
          <w:szCs w:val="18"/>
          <w:color w:val="auto"/>
        </w:rPr>
        <w:t>Venus Prime, along with our legacy subscription-based model enables us to sell to both traditional and non-traditional customers without the involvement of third-party lenders, which allows us to reach many customers who choose not to purchase competitors’ aesthetic products because of the barriers associated with equipment financing.</w:t>
      </w:r>
    </w:p>
    <w:p>
      <w:pPr>
        <w:spacing w:after="0" w:line="197" w:lineRule="exact"/>
        <w:rPr>
          <w:rFonts w:ascii="Times New Roman" w:cs="Times New Roman" w:eastAsia="Times New Roman" w:hAnsi="Times New Roman"/>
          <w:sz w:val="22"/>
          <w:szCs w:val="22"/>
          <w:color w:val="auto"/>
        </w:rPr>
      </w:pPr>
    </w:p>
    <w:p>
      <w:pPr>
        <w:ind w:left="980" w:hanging="486"/>
        <w:spacing w:after="0" w:line="236"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Maintains strong customer relationships. </w:t>
      </w:r>
      <w:r>
        <w:rPr>
          <w:rFonts w:ascii="Times New Roman" w:cs="Times New Roman" w:eastAsia="Times New Roman" w:hAnsi="Times New Roman"/>
          <w:sz w:val="18"/>
          <w:szCs w:val="18"/>
          <w:color w:val="auto"/>
        </w:rPr>
        <w:t>Our “high-touch” customer philosophy leads to continuous interactions with our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enables us to cultivate strong and long-term relationships.</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Controls secondary market resales</w:t>
      </w:r>
      <w:r>
        <w:rPr>
          <w:rFonts w:ascii="Times New Roman" w:cs="Times New Roman" w:eastAsia="Times New Roman" w:hAnsi="Times New Roman"/>
          <w:sz w:val="18"/>
          <w:szCs w:val="18"/>
          <w:color w:val="auto"/>
        </w:rPr>
        <w:t>. Our 30-day activation code technology also reduces the risk that our products will be resold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secondary market without authorization. This allows us to control the various distribution channels for our products and maximize the value of our products after purchase.</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Opportunities for access to the newest available Venus Concept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technology and revenue enhancement. </w:t>
      </w:r>
      <w:r>
        <w:rPr>
          <w:rFonts w:ascii="Times New Roman" w:cs="Times New Roman" w:eastAsia="Times New Roman" w:hAnsi="Times New Roman"/>
          <w:sz w:val="18"/>
          <w:szCs w:val="18"/>
          <w:color w:val="auto"/>
        </w:rPr>
        <w:t>Where the conditions are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have the opportunity to upgrade into our newest available or alternative technology. In addition, our customers participate in the most current marketing and branding activities we offer. Our quarterly educational webinars, online promotions events, and periodic remote consultations lead to continuing client interaction and the ability to expand the client’s business and service offerings.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Competitive Advantages for Our Customers in the Aesthetic Market</w:t>
      </w:r>
    </w:p>
    <w:p>
      <w:pPr>
        <w:spacing w:after="0" w:line="225" w:lineRule="exact"/>
        <w:rPr>
          <w:sz w:val="20"/>
          <w:szCs w:val="20"/>
          <w:color w:val="auto"/>
        </w:rPr>
      </w:pPr>
    </w:p>
    <w:p>
      <w:pPr>
        <w:jc w:val="both"/>
        <w:ind w:left="980" w:hanging="486"/>
        <w:spacing w:after="0"/>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Return on investment. </w:t>
      </w:r>
      <w:r>
        <w:rPr>
          <w:rFonts w:ascii="Times New Roman" w:cs="Times New Roman" w:eastAsia="Times New Roman" w:hAnsi="Times New Roman"/>
          <w:sz w:val="18"/>
          <w:szCs w:val="18"/>
          <w:color w:val="auto"/>
        </w:rPr>
        <w:t>By spreading payments over a 36-month period, our internal financing programs are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positive cash-flow from their investment in our systems, thus reducing a portion of implementation risk and concerns associated with large initial capital outlays.</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Expansion of services. </w:t>
      </w:r>
      <w:r>
        <w:rPr>
          <w:rFonts w:ascii="Times New Roman" w:cs="Times New Roman" w:eastAsia="Times New Roman" w:hAnsi="Times New Roman"/>
          <w:sz w:val="18"/>
          <w:szCs w:val="18"/>
          <w:color w:val="auto"/>
        </w:rPr>
        <w:t>Our aesthetic systems allows customers to expand the services offered within their practices. A majority of our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used to treat more than one clinical indication, and some products can be purchased as a modular platform that can be modified to match the needs of a growing aesthetic business. To the extent we are successful in receiving FDA and other clearances for additional clinical indications, the value of our modular platform technologies to customer practices may be further enhanced.</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Leverage physician time and clinic infrastructure. </w:t>
      </w:r>
      <w:r>
        <w:rPr>
          <w:rFonts w:ascii="Times New Roman" w:cs="Times New Roman" w:eastAsia="Times New Roman" w:hAnsi="Times New Roman"/>
          <w:sz w:val="18"/>
          <w:szCs w:val="18"/>
          <w:color w:val="auto"/>
        </w:rPr>
        <w:t>Subject to the local laws of each state in the United States and in other jurisdictions,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customers may delegate these non-invasive procedures to nurse practitioners, technicians, and other non-physician trained operators as long as the systems are operated under the physician supervision. We believe that this creates leverage to save physician time and requires the use of less practice infrastructure.</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Customer Business Development program. </w:t>
      </w:r>
      <w:r>
        <w:rPr>
          <w:rFonts w:ascii="Times New Roman" w:cs="Times New Roman" w:eastAsia="Times New Roman" w:hAnsi="Times New Roman"/>
          <w:sz w:val="18"/>
          <w:szCs w:val="18"/>
          <w:color w:val="auto"/>
        </w:rPr>
        <w:t>Our customer business development program offers marketing and clinical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These services focus on improving practice or clinic revenue performance, as well as the customers’ overall financial and business metrics. In addition, we provide remote educational programs that focus on driving best practices and increasing clinical and economic performance of our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Hair Restoration 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treatments for hair loss can broadly be divided between non-surgical options and surgical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Non-Surgical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Traditional non-surgical options for hair loss include prescription therapeutics and non-prescription remedies. In the United States, the FDA has authorized two prescription therapeutics for hair loss: Rogaine which is applied topically, and Propecia, a pharmaceutical ingested in pill form. Both Rogaine and Propecia have several drawbacks, including limited efficacy in some individuals, potential side effects and the need for strict patient compliance for the treatment to have meaningful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Surgical procedures to address hair loss, specifically follicular unit transplantation (“FUT Strip Surgery”) and FUE, continue to evolve and become more popular. FUE is significantly less invasive than FUT Strip Surgery, which requires the physician to surgically remove a large strip of the patient’s scalp and implant individual hair follicles from the strip into the patient’s scalp. This procedure results in a linear scar at the donor area. In a FUE procedure, the physician or technician removes individual hair follicles from the patient’s scalp without removing a strip of tissue. Because a strip of the patient’s scalp is not removed, a FUE procedure avoids a long linear scar and reduces the post-operative pain and numbness associated with strip surgery. FUE can be performed with manual hand-held punches ("Manual FUE"), automated hand-held devices (e.g., NeoGraft) or robotically with the ARTAS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Limitation of Traditional Hair Loss Treatment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FUT Strip Surgery and Manual FUE can provide significant, long-term results in restoring hair, there are several limitations associated with these procedures, including the demanding training and major investment of time required for a physician or technician to become proficient, the labor intensive nature of the procedures, the ability of physician or technician to effective create sites for hair follicle implantation, and the risk of inconsistence of physician or technician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Hair Loss Treatment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ARTAS Solution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often-long learning curve for both physicians and technicians to become proficient in performing hair restoration procedures. In addition, we believe that by assisting the physician and technicians with many of the repetitive tasks associated with the hair restoration procedures, the ARTAS System can make hair restoration procedures less labor intensive and can reduce operator fatigue, thereby reducing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into our ARTAS iX System for sale in the United States. As of December 1, 2022, the ARTAS iX conforms to the European Union’s (“EU”) “Low Voltage Directive” which allows us to affix the CE Mark and market the ARTAS iX system in the EU.</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strategically market the ARTAS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and practice-based marketing support. For example, we believe we help our physician customers increase the number of procedures performed by assigning a business development manager (“BDM”) to aid in building the physician-customer’s hair restoration practice. Support from a BDM includes assistance with recruitment, consultation, and conversion of patients. Additionally, BDMs deploy patient marketing materials, assist with social media and digital marketing strategies, and provide other marketing and sales support.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Advantages of the ARTAS Procedure</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Patient Value. </w:t>
      </w:r>
      <w:r>
        <w:rPr>
          <w:rFonts w:ascii="Times New Roman" w:cs="Times New Roman" w:eastAsia="Times New Roman" w:hAnsi="Times New Roman"/>
          <w:sz w:val="18"/>
          <w:szCs w:val="18"/>
          <w:color w:val="auto"/>
        </w:rPr>
        <w:t>We believe the ARTAS System significantly improves the patient experience and outcome in hair transplantation procedures in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ways:</w:t>
      </w:r>
    </w:p>
    <w:p>
      <w:pPr>
        <w:spacing w:after="0" w:line="160" w:lineRule="exact"/>
        <w:rPr>
          <w:sz w:val="20"/>
          <w:szCs w:val="20"/>
          <w:color w:val="auto"/>
        </w:rPr>
      </w:pPr>
    </w:p>
    <w:p>
      <w:pPr>
        <w:ind w:left="980" w:hanging="486"/>
        <w:spacing w:after="0" w:line="234"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ARTAS procedure provides patients with a minimally invasive, less painful alternative to FUT Strip Surgery. The ARTAS System has a faster recovery time and avoids the long linear scar at the back of the patient’s head.</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Through the ARTAS System, the dissection of grafts is performed in a manner that leaves only small pinpoint scars that heal faster and are less detectable than the larger post-operative linear scar that would be produced from FUT Strip Surgery. As a result, an ARTAS procedure can, in many cases, offer a shorter recovery time and can enable patients to resume their daily lifestyle faster than with strip surgery. In addition, the ARTAS procedure allows patients to wear their hair shorter without a noticeable scar.</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ARTAS site making functionality translates the physician-patient site design onto the patient’s recipient area. The ARTAS System’s enhanced imaging system and sophisticated algorithms enable the ARTAS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Physician Value. </w:t>
      </w:r>
      <w:r>
        <w:rPr>
          <w:rFonts w:ascii="Times New Roman" w:cs="Times New Roman" w:eastAsia="Times New Roman" w:hAnsi="Times New Roman"/>
          <w:sz w:val="18"/>
          <w:szCs w:val="18"/>
          <w:color w:val="auto"/>
        </w:rPr>
        <w:t>We believe the ARTAS System provides physicians with compelling economic benefits and enables physicians to achieve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reproducible results. As a result, we believe the ARTAS procedure also offers an attractive addition to existing dermatology, plastic surgery or aesthetics practices whether they do or do not currently provide hair restoration procedures in the following ways:</w:t>
      </w:r>
    </w:p>
    <w:p>
      <w:pPr>
        <w:spacing w:after="0" w:line="175" w:lineRule="exact"/>
        <w:rPr>
          <w:sz w:val="20"/>
          <w:szCs w:val="20"/>
          <w:color w:val="auto"/>
        </w:rPr>
      </w:pPr>
    </w:p>
    <w:p>
      <w:pPr>
        <w:jc w:val="both"/>
        <w:ind w:left="980" w:hanging="486"/>
        <w:spacing w:after="0" w:line="24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believe the ARTAS System and ARTAS 3D pre-operative planning software application provide compelling benefits for physicians. The ARTAS System’s image-guided robotic capabilities allow physicians to perform procedures with fewer staff than what might be required for a traditional FUT Strip Surgery or a Manual FUE procedure. With the robotic assistance provided by the ARTAS System, we believe physicians and technicians will be able to perform the complicated, repetitive and often tedious task of dissecting hair grafts with less fatigue and greater productivity than would be possible in a Manual FUE procedure.</w:t>
      </w:r>
    </w:p>
    <w:p>
      <w:pPr>
        <w:spacing w:after="0" w:line="197"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Hair restoration procedures are generally paid for by the patient and do not involve the complexity of securing reimbursement from third-party payors.</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we provide high quality training for physicians and their clinical teams on the use of the ARTAS System and because the robotic system and its intelligent algorithms assist these teams in performing hair restoration procedures, we believe we can significantly shorten the learning curve necessary for hair transplantation procedures using the ARTAS System. This shortened learning curve can reduce barriers to entry for a new hair restoration practice. It can also ease the adoption of a new technology into existing practices.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Clinically-Established Results. </w:t>
      </w:r>
      <w:r>
        <w:rPr>
          <w:rFonts w:ascii="Times New Roman" w:cs="Times New Roman" w:eastAsia="Times New Roman" w:hAnsi="Times New Roman"/>
          <w:sz w:val="18"/>
          <w:szCs w:val="18"/>
          <w:color w:val="auto"/>
        </w:rPr>
        <w:t>Four peer-reviewed clinical publications have demonstrated the quality and consistency of grafts produced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ARTAS System. One published study indicated average damage rates for the hair follicles, or transection rates, with the ARTAS System were as low as 6.6%, with a second study documenting average transection rates as low as 4.9% in a separate population of patients. The third study documented that the ARTAS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number of hairs a physician can extract for each incision made in the donor area. The fourth study demonstrated that FUE cases larger than 2,500 grafts, or mega-sessions, are possible using the ARTAS System. These peer-reviewed publications demonstrate the reproducibility and consistency of dissection results from the ARTAS System in a diverse group of patients, even as the system is used by different clinicians. To our knowledge, there are no other peer-reviewed clinical publications that demonstrate the reproducibility of results utilizing other products in FUE or strip surgery procedures. We continue to encourage scientific research in the study of hair restoration to improve our technology, solutions, enhance understanding of our industry and educate physicians on the capabilities of the ARTAS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NeoGraft Solution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NeoGraft offers a technology solution that complements our robotic hair restoration system and provides an alternative to FUT Strip Surgery and Manual FUE procedures for our customers and their patients.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Patient Value</w:t>
      </w:r>
    </w:p>
    <w:p>
      <w:pPr>
        <w:spacing w:after="0" w:line="227" w:lineRule="exact"/>
        <w:rPr>
          <w:sz w:val="20"/>
          <w:szCs w:val="20"/>
          <w:color w:val="auto"/>
        </w:rPr>
      </w:pPr>
    </w:p>
    <w:p>
      <w:pPr>
        <w:jc w:val="both"/>
        <w:ind w:left="980" w:hanging="486"/>
        <w:spacing w:after="0" w:line="243"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Unlike traditional FUT Strip Surgery procedures, the NeoGraft system is minimally invasive. In a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pain.</w:t>
      </w:r>
    </w:p>
    <w:p>
      <w:pPr>
        <w:spacing w:after="0" w:line="195"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addition to treating male pattern hair loss for patients with black and brown straight hair, the NeoGraft may also be used for women and people with curly or light-colored hair.</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NeoGraft can be used for fine tuning of small, specific areas of the scalp, temples and temporal peaks.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Physician Value</w:t>
      </w:r>
    </w:p>
    <w:p>
      <w:pPr>
        <w:spacing w:after="0" w:line="227" w:lineRule="exact"/>
        <w:rPr>
          <w:sz w:val="20"/>
          <w:szCs w:val="20"/>
          <w:color w:val="auto"/>
        </w:rPr>
      </w:pPr>
    </w:p>
    <w:p>
      <w:pPr>
        <w:ind w:left="980" w:hanging="486"/>
        <w:spacing w:after="0" w:line="234" w:lineRule="auto"/>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NeoGraft system is a lower priced option to our ARTAS System making it a feasible alternative for physicians who do not perform a large volume of hair restoration surgeries.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goal is to become a leading global provider of minimally invasive and non-invasive medical aesthetic and hair restoration technologies and their complimentary products. To achieve this goal, we intend to:</w:t>
      </w:r>
    </w:p>
    <w:p>
      <w:pPr>
        <w:spacing w:after="0" w:line="160" w:lineRule="exact"/>
        <w:rPr>
          <w:sz w:val="20"/>
          <w:szCs w:val="20"/>
          <w:color w:val="auto"/>
        </w:rPr>
      </w:pPr>
    </w:p>
    <w:p>
      <w:pPr>
        <w:jc w:val="both"/>
        <w:ind w:left="980" w:hanging="486"/>
        <w:spacing w:after="0" w:line="243"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Broaden our portfolio of product offering</w:t>
      </w:r>
      <w:r>
        <w:rPr>
          <w:rFonts w:ascii="Times New Roman" w:cs="Times New Roman" w:eastAsia="Times New Roman" w:hAnsi="Times New Roman"/>
          <w:sz w:val="18"/>
          <w:szCs w:val="18"/>
          <w:color w:val="auto"/>
        </w:rPr>
        <w:t>. We continue to invest in and leverage the extensive energy-based technology developed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research and development team in Israel, and we believe that collaboration with the experienced robotic research and development team in the United States will bring new and innovative technology solutions to the hair restoration and non-invasive and minimally invasive categories of aesthetic medicine.</w:t>
      </w:r>
    </w:p>
    <w:p>
      <w:pPr>
        <w:spacing w:after="0" w:line="195" w:lineRule="exact"/>
        <w:rPr>
          <w:rFonts w:ascii="Times New Roman" w:cs="Times New Roman" w:eastAsia="Times New Roman" w:hAnsi="Times New Roman"/>
          <w:sz w:val="22"/>
          <w:szCs w:val="22"/>
          <w:color w:val="auto"/>
        </w:rPr>
      </w:pPr>
    </w:p>
    <w:p>
      <w:pPr>
        <w:jc w:val="both"/>
        <w:ind w:left="980" w:hanging="486"/>
        <w:spacing w:after="0" w:line="247"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Apply robotic technologies to new applications. </w:t>
      </w:r>
      <w:r>
        <w:rPr>
          <w:rFonts w:ascii="Times New Roman" w:cs="Times New Roman" w:eastAsia="Times New Roman" w:hAnsi="Times New Roman"/>
          <w:sz w:val="18"/>
          <w:szCs w:val="18"/>
          <w:color w:val="auto"/>
        </w:rPr>
        <w:t>Our research and development teams in Israel and the United States continue to collaborate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development of new and innovative technology solutions in the non-invasive and minimally invasive aspects of aesthetic medicine. We continue the development of robotically assisted minimally invasive solutions for aesthetic procedures that, currently, are primarily treated by surgical intervention, including the AI.ME platform for which we received FDA 510(k) clearance for fractional skin resurfacing in December 2022. Shortly thereafter, our Medical Advisory Board began evaluating several new potential clinical applications including treatment of loose skin, striae and scars. Those evaluations remain ongoing. We believe that robotics, machine vision and artificial intelligence can provide significant improvements in the execution and performance of a broad range of non-invasive and minimally invasive aesthetic procedures. We are currently investigating a number of internal development programs combining energy-based devices and robotics and partnering opportunities for the application of our robotics technologies in a wide range of aesthetic procedures.</w:t>
      </w:r>
    </w:p>
    <w:p>
      <w:pPr>
        <w:spacing w:after="0" w:line="195" w:lineRule="exact"/>
        <w:rPr>
          <w:rFonts w:ascii="Times New Roman" w:cs="Times New Roman" w:eastAsia="Times New Roman" w:hAnsi="Times New Roman"/>
          <w:sz w:val="22"/>
          <w:szCs w:val="22"/>
          <w:color w:val="auto"/>
        </w:rPr>
      </w:pPr>
    </w:p>
    <w:p>
      <w:pPr>
        <w:ind w:left="980" w:hanging="486"/>
        <w:spacing w:after="0" w:line="236"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Hair restoration market. </w:t>
      </w:r>
      <w:r>
        <w:rPr>
          <w:rFonts w:ascii="Times New Roman" w:cs="Times New Roman" w:eastAsia="Times New Roman" w:hAnsi="Times New Roman"/>
          <w:sz w:val="18"/>
          <w:szCs w:val="18"/>
          <w:color w:val="auto"/>
        </w:rPr>
        <w:t>We continue to focus on providing a complete set of products and services to the hair restoration market.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ARTAS and NeoGraft, we believe that our hair restoration product offering serves a broad segment of the market.</w:t>
      </w:r>
    </w:p>
    <w:p>
      <w:pPr>
        <w:spacing w:after="0" w:line="195"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 FDA (and other regulatory agencies) cleared indications for our products. </w:t>
      </w:r>
      <w:r>
        <w:rPr>
          <w:rFonts w:ascii="Times New Roman" w:cs="Times New Roman" w:eastAsia="Times New Roman" w:hAnsi="Times New Roman"/>
          <w:sz w:val="18"/>
          <w:szCs w:val="18"/>
          <w:color w:val="auto"/>
        </w:rPr>
        <w:t>We intend to seek additional regulatory clearances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and other national regulatory bodies and to extend the scope of our existing FDA clearance and CE Mark certifications. Additionally, we intend to expand the scope of marketable indications for our technologies in other markets.</w:t>
      </w:r>
    </w:p>
    <w:p>
      <w:pPr>
        <w:spacing w:after="0" w:line="197" w:lineRule="exact"/>
        <w:rPr>
          <w:rFonts w:ascii="Times New Roman" w:cs="Times New Roman" w:eastAsia="Times New Roman" w:hAnsi="Times New Roman"/>
          <w:sz w:val="22"/>
          <w:szCs w:val="22"/>
          <w:color w:val="auto"/>
        </w:rPr>
      </w:pPr>
    </w:p>
    <w:p>
      <w:pPr>
        <w:jc w:val="both"/>
        <w:ind w:left="980" w:hanging="486"/>
        <w:spacing w:after="0"/>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Expand into non-traditional markets. </w:t>
      </w:r>
      <w:r>
        <w:rPr>
          <w:rFonts w:ascii="Times New Roman" w:cs="Times New Roman" w:eastAsia="Times New Roman" w:hAnsi="Times New Roman"/>
          <w:sz w:val="18"/>
          <w:szCs w:val="18"/>
          <w:color w:val="auto"/>
        </w:rPr>
        <w:t>We intend to continue to market our systems to providers of aesthetic services in the large and under-penetrated non-traditional aesthetic market. We believe the ease of use of our technologies makes our systems suitable for adoption by physicians and other providers in non-traditional markets, including general and family practitioners and aesthetic medical spas.</w:t>
      </w:r>
    </w:p>
    <w:p>
      <w:pPr>
        <w:spacing w:after="0" w:line="197" w:lineRule="exact"/>
        <w:rPr>
          <w:rFonts w:ascii="Times New Roman" w:cs="Times New Roman" w:eastAsia="Times New Roman" w:hAnsi="Times New Roman"/>
          <w:sz w:val="22"/>
          <w:szCs w:val="22"/>
          <w:color w:val="auto"/>
        </w:rPr>
      </w:pPr>
    </w:p>
    <w:p>
      <w:pPr>
        <w:jc w:val="both"/>
        <w:ind w:left="980" w:hanging="486"/>
        <w:spacing w:after="0" w:line="245"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Enhance our international operations. </w:t>
      </w:r>
      <w:r>
        <w:rPr>
          <w:rFonts w:ascii="Times New Roman" w:cs="Times New Roman" w:eastAsia="Times New Roman" w:hAnsi="Times New Roman"/>
          <w:sz w:val="18"/>
          <w:szCs w:val="18"/>
          <w:color w:val="auto"/>
        </w:rPr>
        <w:t>We have built a direct sales force through wholly owned subsidiaries in the United States,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Japan, Mexico, Spain, Germany, Israel, Australia and China, with a majority-owned subsidiary in Hong Kong and a strong and growing network of international distributors and strategic partners. We have implemented a strategy to bolster our sales and marketing capabilities internationally and believe we are well positioned to continue to grow our revenue from customers located outside North America.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Aesthetic Technologies</w:t>
      </w:r>
    </w:p>
    <w:p>
      <w:pPr>
        <w:spacing w:after="0" w:line="22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use a variety of technologies that allow us to expand into non-traditional physician markets. One differentiating technology is 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is applicable to a wide range of non-invasive skin tightening, wrinkle reduction, body contouring, cellulite, and fat reduction, which have been cleared in the United States, Canada, and Europe.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Venus Velocity, Venus Viva, Venus Viva MD, Venus Fiore, Venus Bliss, Venus Bliss Max, Venus Epileve, ARTAS and NeoGraft systems come with integrated internet of things capabilities.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Proprietary Technology</w:t>
      </w:r>
    </w:p>
    <w:p>
      <w:pPr>
        <w:spacing w:after="0" w:line="103"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employs both PEMF and multipolar RF energy in a synergistic manner.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is noninvasive and because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disperses heat equally across the treatment area, it does not produce potentially painful localized heat spikes, and unlike other devices employing RF,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does not require local cooling during treatment.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The non-thermal impact of PEMF therapy is used for aesthetic application requiring enhanced collagen synthesis, for treatment of wounds, and in the management of postsurgical pain and edema.</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RF energy, on the other hand, delivers radiofrequency energy that manifests itself as heat within various layers of the skin. The heat generated in the tissue by application of RF energy directly affects fibroblasts, extra cellular matrix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employ a multipolar matrix of RF circuits to produce heat, which is distributed evenly across the treatment area and volume in a proprietary pattern, which results in the quick and uniform heating of the skin layers without overheating any particular area of the skin.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(MP)</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76835</wp:posOffset>
            </wp:positionV>
            <wp:extent cx="4440555" cy="1208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405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Technology</w:t>
      </w:r>
    </w:p>
    <w:p>
      <w:pPr>
        <w:spacing w:after="0" w:line="10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Our proprietary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enables medical and aesthetic practitioners to offer a wide range of non-invasive skin tightening and body contouring solutions with a technology that is cleared for various indications by the FDA, Health Canada and the EU (CE Mark). Additional benefits of using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include:</w:t>
      </w:r>
    </w:p>
    <w:p>
      <w:pPr>
        <w:spacing w:after="0" w:line="37"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RF energy in a uniform manner. The volumetric homogeneous distribution of heat reduces localized temperature spikes and eliminates the requirement to use a cooling aid, resulting in comfortable treatments.</w:t>
      </w:r>
    </w:p>
    <w:p>
      <w:pPr>
        <w:spacing w:after="0" w:line="161" w:lineRule="exact"/>
        <w:rPr>
          <w:rFonts w:ascii="Times New Roman" w:cs="Times New Roman" w:eastAsia="Times New Roman" w:hAnsi="Times New Roman"/>
          <w:sz w:val="18"/>
          <w:szCs w:val="18"/>
          <w:color w:val="auto"/>
        </w:rPr>
      </w:pPr>
    </w:p>
    <w:p>
      <w:pPr>
        <w:ind w:left="660" w:hanging="328"/>
        <w:spacing w:after="0" w:line="19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Ergonomic handpieces designed to increase comfort and reduce operator fatigue. The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offers a user-friendly interface designed to facilitate intuitive operation, and in most cases does not require an extensive training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Additional Key Technologies</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to our core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we have technologies that use fractional RF (delivery of ablation and coagulation to pre-determined fractions of the skin), IPL and laser technologies that allow us to address key markets for skin resurfacing, wrinkle reduction, body contouring, noninvasive lipolysis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Fractional Ablative RF</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Fractional ablative/coagulative techniques improve the appearance of skin surfaces by micro-injuring the skin in a fractional manner to trigger a healing response in the treated area. This both tightens the skin and elicits collagen formation, thus rejuvenating the skin surface. Because our fractional RF technology does not use lasers or other light technologies, which are skin color dependent, fractional RF can be used on patients of all skin tones. Fractional RF technology has been incorporated into our Venus Viva applicator, supported by our Venus Viva, Venus Viva MD and Venus Versa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Intense Pulsed Light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chromophore targets and may be applied to remove unwanted hair as well as vascular and pigmented lesions.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Diode Lasers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Diode laser technology is a recognized technology for hair removal and lipolysis. The Venus Velocity and Venus Epileve systems achieve hair removal, permanent hair reduction and treatment of ingrown hair using the diode laser. Both devices employ the laser energy to the treatment area through a chilled sapphire light guide that conductively cools the skin surface simultaneously with the delivery of laser energy that is absorbed in the hair follicle pigment, thereby maintaining a lower temperature in the epidermis to enhance the comfort of the procedure and avoid potential epidermal damage while destroying the hair for hair removal. The Venus Velocity and the Venus Epileve systems allow us to expand our offering in the hair reduction market, which is one of the most popular non-invasive energy-based aesthetic procedures in the United States.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laser technology is also incorporated into our Venus Bliss and Venus Bliss Max devices. The diode laser system is intended for non-invasive lipolysis of the abdomen and flanks in individuals with a Body Mass Index of 30 or less. The 1064 nm laser emission performs hyperthermic treatment of the subcutaneous tissue layers and generates an injury to adipocytes (fat cells) through direct heating. The disrupted fat cells and other cellular debris are then removed through the body naturally.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Electrical Muscle Stimulation (EMS)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Electrical Muscular Stimulation (“EMS”) employs electrical pulses of predetermined frequencies, durations, and intensities for elicitation of healthy muscle contraction. EMS employs its cycled stimuli of muscles’ warm up contraction/relaxation of the treated area via two electrodes. We have incorporated EMS technology into Bliss Max and our upcoming Venus Nova device to create comprehensive multi-treatment body solutions.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Micro-Coring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Micro-coring employs a mechanical rotating needle assembly for fractional removal of portions of epidermal and dermal layers of the skin. The sub-millimetric excised skin columns are evacuated from the skin using a vacuum and the triggered demarcated wound healing process results in fractional skin resurfacing through the mechanisms of re-epithelization and deposition of newly synthesized collagen. The micro-coring procedure has been initially used in the ARTAS device for harvesting and implantation of hair follicles. In skin treatment, micro-coring is used by our robotic AI.ME device for fractional skin resurfacing.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Robotic Technology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robotic technology has improved multiple phases of the hair transplantation procedure, which include harvesting, recipient site making and implantation.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Harvesting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harvesting phase of an ARTAS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the state of the donor area and the potential viability for subsequent harvesting for future transplantation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optimal hair follicles for transplant are identified by the ARTAS vison system, these follicles are dissected using a sharp needle to score the epidermis and a punch, coaxial with the needle, to separate the graft from the surrounding tissue. In the final step of the harvesting phase, the grafts are removed by the physician or the technician, cleaned, inspected, and prepared for implantation. During the procedure, the physician can customize the dissection incisions by choosing a needle and punch that will produce 0.8mm, 0.9mm or 1.0mm incisions.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needle travels at speeds that produce targeted precision and a cleanly scored incision. In a clinical setting, the ARTAS System has been shown to move from graft to graft at a rate of approximately one to three seconds, thereby enabling the ARTAS System to dissect a graft every two to five seconds, or approximately 720 to over 1,800 grafts per hour.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Recipient Site Making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ARTAS System, creating sites to receive harvested grafts was performed manually using a hand-held tool or needle to create hundreds or thousands of tiny incisions in the scalp. This is a critical step as it creates the hair pattern in which the harvested grafts will grow.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ARTAS System site making functionality incorporates artificial intelligence and robotics precision to strategically make surgical incision sites for implanting hair follicles, while identifying and avoiding injuring healthy follicles in proximity of the implantation sites. This allows the patient’s hair to look more natural and prevents damaging existing healthy hair in the transplant area which we believe results in patients with more hair than if the sites were created manually.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Robotic recipient site making is performed by the physician, who develops the ARTAS System treatment plan, or map, identifying where to make the incisions on the patient’s scalp. The treatment plan is prepared using three-dimension modeling software that takes a picture of the patient’s recipient area and generates a three-dimensional map that is utilized by the ARTAS System. With entry angle accuracy, consistency and precise depth control, the ARTAS System creates the recipient sites using a small solid core needle or a blade at a rate of approximately 2,500 to 3,000 sites per hour, which is significantly faster than the approximately 1,500 sites per hour achieved manually.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Implantation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utilizing an ARTAS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reduce inconsistencies associated with manual implantation, potentially reduce the amount of time each graft spends outside of the scalp and decrease the overall time required for implantation.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includes nine energy-based systems that provide solutions for various non-invasive aesthetic applications using Venus Concept’s (MP)² technology, as well as the VariPulse, and/or fractional ablative RF, IPL, or laser technologies. We offer two hair restoration solutions, NeoGraft and ARTAS, as well as the newest addition to our portfolio, our AI.ME next generation robotic platform for fractional skin resurfacing.</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16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top w:val="single" w:sz="8" w:color="auto"/>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tcPr>
          <w:p>
            <w:pPr>
              <w:ind w:left="560"/>
              <w:spacing w:after="0" w:line="175" w:lineRule="exact"/>
              <w:rPr>
                <w:sz w:val="20"/>
                <w:szCs w:val="20"/>
                <w:color w:val="auto"/>
              </w:rPr>
            </w:pPr>
            <w:r>
              <w:rPr>
                <w:rFonts w:ascii="Times New Roman" w:cs="Times New Roman" w:eastAsia="Times New Roman" w:hAnsi="Times New Roman"/>
                <w:sz w:val="18"/>
                <w:szCs w:val="18"/>
                <w:b w:val="1"/>
                <w:bCs w:val="1"/>
                <w:color w:val="auto"/>
              </w:rPr>
              <w:t>Venus Legacy</w:t>
            </w:r>
          </w:p>
        </w:tc>
        <w:tc>
          <w:tcPr>
            <w:tcW w:w="3800" w:type="dxa"/>
            <w:vAlign w:val="bottom"/>
            <w:tcBorders>
              <w:right w:val="single" w:sz="8" w:color="auto"/>
            </w:tcBorders>
          </w:tcPr>
          <w:p>
            <w:pPr>
              <w:ind w:left="300"/>
              <w:spacing w:after="0" w:line="175" w:lineRule="exact"/>
              <w:rPr>
                <w:sz w:val="20"/>
                <w:szCs w:val="20"/>
                <w:color w:val="auto"/>
              </w:rPr>
            </w:pPr>
            <w:r>
              <w:rPr>
                <w:rFonts w:ascii="Times New Roman" w:cs="Times New Roman" w:eastAsia="Times New Roman" w:hAnsi="Times New Roman"/>
                <w:sz w:val="13"/>
                <w:szCs w:val="13"/>
                <w:color w:val="auto"/>
              </w:rPr>
              <w:t>Venus Legacy combines (MP)</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3"/>
                <w:szCs w:val="13"/>
                <w:color w:val="auto"/>
              </w:rPr>
              <w:t xml:space="preserve"> with Venus</w:t>
            </w:r>
          </w:p>
        </w:tc>
        <w:tc>
          <w:tcPr>
            <w:tcW w:w="528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Concept’s VariPulse technology, which is a</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BX is a noninvasive device intended for</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software  controlled  vacuum  application,</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use in dermatological and general surgical procedures for females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delivering alternating negative and positive</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  the  noninvasive  treatment  of  moderate  to  severe  facial</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pressure to the tissue in three predefined</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wrinkles and rhytides in Fitzpatrick Skin Types I-IV.</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programs, to achieve lymphatic drainage, and</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The Venus Legacy CX using the LB2 and LF2 applicators is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ease  applicator  movement  as  vacuum  is</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intended for the treatment of the following medical conditions for</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applied, and real-time thermal feedback to act</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delivery of non-thermal RF combined with massage and magnetic</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as  a  workstation,  providing  homogeneous</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field pulses: relief of minor muscle aches and pain; relief of</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heating  to  multiple  tissue  depths  while</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muscle spasm; temporary improvement of local blood circulation;</w:t>
            </w: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allowing for adjustable pulsed suction.</w:t>
            </w: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temporary reduction in the appearance of cellulite.</w:t>
            </w:r>
          </w:p>
        </w:tc>
      </w:tr>
      <w:tr>
        <w:trPr>
          <w:trHeight w:val="414"/>
        </w:trPr>
        <w:tc>
          <w:tcPr>
            <w:tcW w:w="216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Canada</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Temporary increase of skin tightening, temporary circumferential</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 temporary cellulite reduction, temporary and wrinkle</w:t>
            </w:r>
          </w:p>
        </w:tc>
      </w:tr>
      <w:tr>
        <w:trPr>
          <w:trHeight w:val="234"/>
        </w:trPr>
        <w:tc>
          <w:tcPr>
            <w:tcW w:w="21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reduction.</w:t>
            </w:r>
          </w:p>
        </w:tc>
      </w:tr>
      <w:tr>
        <w:trPr>
          <w:trHeight w:val="414"/>
        </w:trPr>
        <w:tc>
          <w:tcPr>
            <w:tcW w:w="216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Increase of skin tightening, temporary circumferential reduction,</w:t>
            </w:r>
          </w:p>
        </w:tc>
      </w:tr>
      <w:tr>
        <w:trPr>
          <w:trHeight w:val="234"/>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cellulite reduction and wrinkle reduction.</w:t>
            </w:r>
          </w:p>
        </w:tc>
      </w:tr>
      <w:tr>
        <w:trPr>
          <w:trHeight w:val="425"/>
        </w:trPr>
        <w:tc>
          <w:tcPr>
            <w:tcW w:w="216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15</w:t>
            </w:r>
          </w:p>
        </w:tc>
        <w:tc>
          <w:tcPr>
            <w:tcW w:w="5280" w:type="dxa"/>
            <w:vAlign w:val="bottom"/>
          </w:tcPr>
          <w:p>
            <w:pPr>
              <w:spacing w:after="0"/>
              <w:rPr>
                <w:sz w:val="24"/>
                <w:szCs w:val="24"/>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-2973705</wp:posOffset>
            </wp:positionV>
            <wp:extent cx="702945" cy="1089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0890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7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6"/>
              </w:rPr>
              <w:t>Venus Versa</w:t>
            </w:r>
          </w:p>
        </w:tc>
        <w:tc>
          <w:tcPr>
            <w:tcW w:w="740" w:type="dxa"/>
            <w:vAlign w:val="bottom"/>
          </w:tcPr>
          <w:p>
            <w:pPr>
              <w:ind w:left="300"/>
              <w:spacing w:after="0" w:line="175" w:lineRule="exact"/>
              <w:rPr>
                <w:sz w:val="20"/>
                <w:szCs w:val="20"/>
                <w:color w:val="auto"/>
              </w:rPr>
            </w:pPr>
            <w:r>
              <w:rPr>
                <w:rFonts w:ascii="Times New Roman" w:cs="Times New Roman" w:eastAsia="Times New Roman" w:hAnsi="Times New Roman"/>
                <w:sz w:val="18"/>
                <w:szCs w:val="18"/>
                <w:color w:val="auto"/>
                <w:w w:val="91"/>
              </w:rPr>
              <w:t>Venus</w:t>
            </w:r>
          </w:p>
        </w:tc>
        <w:tc>
          <w:tcPr>
            <w:tcW w:w="52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w w:val="90"/>
              </w:rPr>
              <w:t>Versa</w:t>
            </w:r>
          </w:p>
        </w:tc>
        <w:tc>
          <w:tcPr>
            <w:tcW w:w="2520" w:type="dxa"/>
            <w:vAlign w:val="bottom"/>
            <w:tcBorders>
              <w:right w:val="single" w:sz="8" w:color="auto"/>
            </w:tcBorders>
            <w:gridSpan w:val="4"/>
          </w:tcPr>
          <w:p>
            <w:pPr>
              <w:jc w:val="right"/>
              <w:ind w:right="90"/>
              <w:spacing w:after="0" w:line="175" w:lineRule="exact"/>
              <w:rPr>
                <w:sz w:val="20"/>
                <w:szCs w:val="20"/>
                <w:color w:val="auto"/>
              </w:rPr>
            </w:pPr>
            <w:r>
              <w:rPr>
                <w:rFonts w:ascii="Times New Roman" w:cs="Times New Roman" w:eastAsia="Times New Roman" w:hAnsi="Times New Roman"/>
                <w:sz w:val="18"/>
                <w:szCs w:val="18"/>
                <w:color w:val="auto"/>
              </w:rPr>
              <w:t>and  Versa  Pro  are  versatile</w:t>
            </w:r>
          </w:p>
        </w:tc>
        <w:tc>
          <w:tcPr>
            <w:tcW w:w="5280" w:type="dxa"/>
            <w:vAlign w:val="bottom"/>
            <w:tcBorders>
              <w:right w:val="single" w:sz="8" w:color="auto"/>
            </w:tcBorders>
          </w:tcPr>
          <w:p>
            <w:pPr>
              <w:ind w:left="42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systems  based  on  a  multi-application</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Venus Versa and Versa Pro* systems are multi-application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approach. It is a modular and upgradable</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devices intended for use in aesthetic and cosmetic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platform  that  offers  the  most  in-demand</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SR515  and  SR580  IPL  applicators  are  indicated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aesthetic  treatments  by  supporting  10</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treatment of benign pigmented epidermal and cutaneous lesions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optional  applicators  which  utilize  Venus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including, hyperpigmentation, melasma, ephelides (freckles),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Concept’s</w:t>
            </w:r>
          </w:p>
        </w:tc>
        <w:tc>
          <w:tcPr>
            <w:tcW w:w="640" w:type="dxa"/>
            <w:vAlign w:val="bottom"/>
          </w:tcPr>
          <w:p>
            <w:pPr>
              <w:ind w:left="80"/>
              <w:spacing w:after="0" w:line="216" w:lineRule="exact"/>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IPL</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and</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lentigines, nevi, cafe-au-lait macules, benign cutaneous vascular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NanoFractional RF technologies. Designed as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lesions including port wine stains, hemangiomas, facial, truncal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an open platform, the Venus Versa and Versa</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and leg telangiectasias, rosacea, angiomas and spider angiomas,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Pro can be configured to best suit a practice’s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poikiloderma of civatte, leg veins and venous malformations.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needs  with  the  ability  to  add  additional</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applications as the practice grows or changes.</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HR650, HR690, HR650XL and HR690XL IPL applicators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Depending  on  the  applicator,  or  the</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are indicated for the removal of unwanted hair and to effect</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applicator’s sequence of use, the platform can</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stable long-term or permanent hair reduction for Skin Types I-</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Venus Versa Pro</w:t>
            </w: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provide multiple aesthetic solutions.</w:t>
            </w: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IV. Permanent hair reduction is defined as the long-term stable</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528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63"/>
        </w:trPr>
        <w:tc>
          <w:tcPr>
            <w:tcW w:w="128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2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ACDUAL applicator is intended to be used for the treatment</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 acne vulgaris.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Venus Versa Viva applicator with 160 pin RF tip is intended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 dermatological procedures requiring ablation and resurfacing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 the skin. The Versa Pro system adds the Viva MD applicator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  use  with  an  80  pin  RF  tip  for  added  dermatological</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procedures.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Diamondpolar and Octipolar applicators (United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only) are noninvasive devices intended for use in dermatologic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and general surgery procedures for females for the noninvasive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treatment of moderate to severe facial wrinkles and rhytides in</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Fitzpatrick skin types I-IV.</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Octipolar applicator (EU and Canada only), is designed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use  in  temporary  body  contouring  via  skin  tightening,</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circumferential reduction, and cellulite reduction.</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*Venus Versa Pro is cleared in the US only.</w:t>
            </w:r>
          </w:p>
        </w:tc>
        <w:tc>
          <w:tcPr>
            <w:tcW w:w="0" w:type="dxa"/>
            <w:vAlign w:val="bottom"/>
          </w:tcPr>
          <w:p>
            <w:pPr>
              <w:spacing w:after="0"/>
              <w:rPr>
                <w:sz w:val="1"/>
                <w:szCs w:val="1"/>
                <w:color w:val="auto"/>
              </w:rPr>
            </w:pPr>
          </w:p>
        </w:tc>
      </w:tr>
      <w:tr>
        <w:trPr>
          <w:trHeight w:val="187"/>
        </w:trPr>
        <w:tc>
          <w:tcPr>
            <w:tcW w:w="2180" w:type="dxa"/>
            <w:vAlign w:val="bottom"/>
            <w:tcBorders>
              <w:left w:val="single" w:sz="8" w:color="auto"/>
              <w:right w:val="single" w:sz="8" w:color="auto"/>
            </w:tcBorders>
            <w:gridSpan w:val="2"/>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Venus Viva and Venus</w:t>
            </w:r>
          </w:p>
        </w:tc>
        <w:tc>
          <w:tcPr>
            <w:tcW w:w="74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w w:val="91"/>
              </w:rPr>
              <w:t>Venus</w:t>
            </w:r>
          </w:p>
        </w:tc>
        <w:tc>
          <w:tcPr>
            <w:tcW w:w="52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w w:val="91"/>
              </w:rPr>
              <w:t>Viva</w:t>
            </w:r>
          </w:p>
        </w:tc>
        <w:tc>
          <w:tcPr>
            <w:tcW w:w="6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is  an</w:t>
            </w:r>
          </w:p>
        </w:tc>
        <w:tc>
          <w:tcPr>
            <w:tcW w:w="1880" w:type="dxa"/>
            <w:vAlign w:val="bottom"/>
            <w:tcBorders>
              <w:right w:val="single" w:sz="8" w:color="auto"/>
            </w:tcBorders>
            <w:gridSpan w:val="3"/>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advanced,  portable,</w:t>
            </w:r>
          </w:p>
        </w:tc>
        <w:tc>
          <w:tcPr>
            <w:tcW w:w="528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20"/>
        </w:trPr>
        <w:tc>
          <w:tcPr>
            <w:tcW w:w="21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Viva MD</w:t>
            </w: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fractional  RF  system  for</w:t>
            </w:r>
          </w:p>
        </w:tc>
        <w:tc>
          <w:tcPr>
            <w:tcW w:w="13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dermatological</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Venus Viva SR is intended for dermatological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procedures requiring ablation and resurfacing</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requiring ablation and resurfacing of the skin.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skin.</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Venus</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Viva</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uses</w:t>
            </w:r>
          </w:p>
        </w:tc>
        <w:tc>
          <w:tcPr>
            <w:tcW w:w="528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(Nano)Fractional  RF  and  Smart  Scan</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technologies.</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combination</w:t>
            </w:r>
          </w:p>
        </w:tc>
        <w:tc>
          <w:tcPr>
            <w:tcW w:w="5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Using the Diamondpolar applicator for treatment of moderate to</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technologies</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allows</w:t>
            </w:r>
          </w:p>
        </w:tc>
        <w:tc>
          <w:tcPr>
            <w:tcW w:w="1880" w:type="dxa"/>
            <w:vAlign w:val="bottom"/>
            <w:tcBorders>
              <w:right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ablation/coagulation</w:t>
            </w:r>
          </w:p>
        </w:tc>
        <w:tc>
          <w:tcPr>
            <w:tcW w:w="52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severe wrinkles and rhytides in Fitzpatrick skin types I-IV.</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heated  zone  density  control  and  pattern</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generation via a proprietary tip. The energy is</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delivered through 160 (Viva) or 80 (Viva</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MD) pins per tip into the treated skin and</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maintains the surrounding tissue intact and</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healthy to support the healing process.</w:t>
            </w:r>
          </w:p>
        </w:tc>
        <w:tc>
          <w:tcPr>
            <w:tcW w:w="58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-7234555</wp:posOffset>
            </wp:positionV>
            <wp:extent cx="840105" cy="1594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159448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-5091430</wp:posOffset>
            </wp:positionV>
            <wp:extent cx="916940" cy="1774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6940" cy="177482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-1739265</wp:posOffset>
            </wp:positionV>
            <wp:extent cx="985520" cy="694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5520" cy="6940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128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740" w:type="dxa"/>
            <w:vAlign w:val="bottom"/>
            <w:tcBorders>
              <w:bottom w:val="single" w:sz="8" w:color="auto"/>
              <w:right w:val="single" w:sz="8" w:color="auto"/>
            </w:tcBorders>
          </w:tcPr>
          <w:p>
            <w:pPr>
              <w:ind w:left="126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6"/>
              </w:rPr>
              <w:t>Venus Velocity</w:t>
            </w:r>
          </w:p>
        </w:tc>
        <w:tc>
          <w:tcPr>
            <w:tcW w:w="3780" w:type="dxa"/>
            <w:vAlign w:val="bottom"/>
            <w:tcBorders>
              <w:right w:val="single" w:sz="8" w:color="auto"/>
            </w:tcBorders>
            <w:gridSpan w:val="5"/>
          </w:tcPr>
          <w:p>
            <w:pPr>
              <w:ind w:left="300"/>
              <w:spacing w:after="0" w:line="175" w:lineRule="exact"/>
              <w:rPr>
                <w:sz w:val="20"/>
                <w:szCs w:val="20"/>
                <w:color w:val="auto"/>
              </w:rPr>
            </w:pPr>
            <w:r>
              <w:rPr>
                <w:rFonts w:ascii="Times New Roman" w:cs="Times New Roman" w:eastAsia="Times New Roman" w:hAnsi="Times New Roman"/>
                <w:sz w:val="18"/>
                <w:szCs w:val="18"/>
                <w:color w:val="auto"/>
              </w:rPr>
              <w:t>The Venus Velocity system uses pulsed laser</w:t>
            </w:r>
          </w:p>
        </w:tc>
        <w:tc>
          <w:tcPr>
            <w:tcW w:w="5280" w:type="dxa"/>
            <w:vAlign w:val="bottom"/>
            <w:tcBorders>
              <w:right w:val="single" w:sz="8" w:color="auto"/>
            </w:tcBorders>
            <w:gridSpan w:val="2"/>
          </w:tcPr>
          <w:p>
            <w:pPr>
              <w:ind w:left="36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The Venus Velocity is intended for all Fitzpatrick skin types,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melanin in hair follicles) that has high optical</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surgery applications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absorption at the selected laser wavelength</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Hair removal;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than  the  surrounding  tissue.  Different</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Permanent hair reduction (defined as the long-term stable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chromophores  are  targeted  for  different</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reduction in the number of hairs regrowing when measured at 6,</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clinical indications. The selective absorption</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9, and 12 months after the completion of a treatment regimen);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of different wavelengths leads to localized</w:t>
            </w:r>
          </w:p>
        </w:tc>
        <w:tc>
          <w:tcPr>
            <w:tcW w:w="52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heating  and  thermal  denaturation  and</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Treatment of pseudofolliculitis barbae.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destruction of the anatomic hair follicle target</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with minimal effect on surrounding tissues.</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The chilled sapphire light guide conductively</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cools  the  skin  simultaneously  with  the</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delivery of laser energy, thereby maintaining</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low temperature in the epidermis to enhance</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the  comfort  of  the  procedure  and  avoid</w:t>
            </w:r>
          </w:p>
        </w:tc>
        <w:tc>
          <w:tcPr>
            <w:tcW w:w="5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potential epidermal damage.</w:t>
            </w:r>
          </w:p>
        </w:tc>
        <w:tc>
          <w:tcPr>
            <w:tcW w:w="11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Venus Fiore</w:t>
            </w:r>
          </w:p>
        </w:tc>
        <w:tc>
          <w:tcPr>
            <w:tcW w:w="12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Venus Fiore</w:t>
            </w:r>
          </w:p>
        </w:tc>
        <w:tc>
          <w:tcPr>
            <w:tcW w:w="10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incorporates</w:t>
            </w:r>
          </w:p>
        </w:tc>
        <w:tc>
          <w:tcPr>
            <w:tcW w:w="1460" w:type="dxa"/>
            <w:vAlign w:val="bottom"/>
            <w:tcBorders>
              <w:right w:val="single" w:sz="8" w:color="auto"/>
            </w:tcBorders>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Venus Concept’s</w:t>
            </w:r>
          </w:p>
        </w:tc>
        <w:tc>
          <w:tcPr>
            <w:tcW w:w="5280" w:type="dxa"/>
            <w:vAlign w:val="bottom"/>
            <w:tcBorders>
              <w:right w:val="single" w:sz="8" w:color="auto"/>
            </w:tcBorders>
            <w:gridSpan w:val="2"/>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(MP)2 technology, supporting three different</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The Venus Fiore device (K211461) is intended for the treatment</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applicators.  Venus  Fiore  has  a  desktop</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of the following medical conditions; using the Pearl, Diamond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configuration and is portable and compact. It</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and Slim applicators for delivery of non-thermal RF combined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incorporates ATC technology, allowing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with massage and magnetic field pulses: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operator  to  choose  a  target  temperature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within the therapeutic range and have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system adjust the output power accordingly,</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to  automatically  maintain  the  desired</w:t>
            </w:r>
          </w:p>
        </w:tc>
        <w:tc>
          <w:tcPr>
            <w:tcW w:w="528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temperature.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applicator</w:t>
            </w:r>
          </w:p>
        </w:tc>
        <w:tc>
          <w:tcPr>
            <w:tcW w:w="11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incorporates</w:t>
            </w:r>
          </w:p>
        </w:tc>
        <w:tc>
          <w:tcPr>
            <w:tcW w:w="52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three  pairs  of  electrodes,  each  pair  of</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The Venus Fiore system is intended for the following: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electrodes  accompanied  by  a  temperature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VG applicator – For improvement of symptoms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sensor, allowing the operator to control the</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vaginal laxity and vaginal atrophy.</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temperature  in  the  distal,  middle  and</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MP applicator – For dermatological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proximal</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thirds</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11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applicator</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requiring increasing of skin tightening improvement in skin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independently.  Venus  Fiore  has  received</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laxity of the Mons Pubis (MP) area.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clearance in United States, Canada, the EU</w:t>
            </w: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 With the LA applicator – For dermatological procedures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Israel.</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skin tightening improvement in skin laxity of the Labia Majora</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(LA) area.</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Aesthetic and functional treatment of the vagina, labia and mons</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pubis.</w:t>
            </w: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-5725795</wp:posOffset>
            </wp:positionV>
            <wp:extent cx="668655" cy="1165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655" cy="116586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-3385820</wp:posOffset>
            </wp:positionV>
            <wp:extent cx="814070" cy="814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r>
        <w:trPr>
          <w:trHeight w:val="189"/>
        </w:trPr>
        <w:tc>
          <w:tcPr>
            <w:tcW w:w="2160" w:type="dxa"/>
            <w:vAlign w:val="bottom"/>
            <w:tcBorders>
              <w:left w:val="single" w:sz="8" w:color="auto"/>
              <w:bottom w:val="single" w:sz="8" w:color="auto"/>
              <w:right w:val="single" w:sz="8" w:color="auto"/>
            </w:tcBorders>
            <w:gridSpan w:val="2"/>
          </w:tcPr>
          <w:p>
            <w:pPr>
              <w:ind w:left="5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bottom w:val="single" w:sz="8" w:color="auto"/>
              <w:right w:val="single" w:sz="8" w:color="auto"/>
            </w:tcBorders>
          </w:tcPr>
          <w:p>
            <w:pPr>
              <w:ind w:left="146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gridSpan w:val="2"/>
          </w:tcPr>
          <w:p>
            <w:pPr>
              <w:ind w:left="620"/>
              <w:spacing w:after="0" w:line="175" w:lineRule="exact"/>
              <w:rPr>
                <w:sz w:val="20"/>
                <w:szCs w:val="20"/>
                <w:color w:val="auto"/>
              </w:rPr>
            </w:pPr>
            <w:r>
              <w:rPr>
                <w:rFonts w:ascii="Times New Roman" w:cs="Times New Roman" w:eastAsia="Times New Roman" w:hAnsi="Times New Roman"/>
                <w:sz w:val="18"/>
                <w:szCs w:val="18"/>
                <w:b w:val="1"/>
                <w:bCs w:val="1"/>
                <w:color w:val="auto"/>
              </w:rPr>
              <w:t>Venus Bliss</w:t>
            </w:r>
          </w:p>
        </w:tc>
        <w:tc>
          <w:tcPr>
            <w:tcW w:w="380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8"/>
                <w:szCs w:val="18"/>
                <w:color w:val="auto"/>
              </w:rPr>
              <w:t>The Venus Bliss device consists of a console</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(main unit), one RF applicator and four diode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diode laser system, the Venus Bliss device is intended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laser applicators. The system, via its different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 non-invasive lipolysis of the abdomen, flanks, back and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 types, delivers laser and/or bipolar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thighs in individuals with a Body Mass Index (BMI) of 30 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RF energies, vacuum pressure, and pulsed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less.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magnetic fields to the skin and the underlying</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Venus Bliss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(MP)² applicator (United States only) for delivery of</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delivers laser energy to the subcutaneous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RF energy combined with massage and magnetic field pulses,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  layers  via  the  four  diode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Venus Bliss device is intended for the treatment of the following</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connected to the console. The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medical conditions: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utilizes  diode  laser  modules  as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sources of optical energy and the optical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output is fiber-coupled through the applicator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treatment  area  so  to  increase  the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temperature  of  the  fat  resulting  in  fat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Using the (MP2) applicator (EU and Canada only) is intended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breakdown (lipolysis). In addition, the Venus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Bliss device through the (MP)2 applicator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increase of skin tightening.</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RF  treatments  combined  with</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circumferential reduction.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emitted   magnetic   fields   and   vacuum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cellulite reduction.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massaging. The RF heating effect, together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wrinkle reduction. (Canada only)</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 the non-thermal magnetic fields and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leads to the temporary reduction in</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appearance of cellulite, temporary relief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muscle pain and spasm, and improvement</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local blood circulation in the subdermal</w:t>
            </w:r>
          </w:p>
        </w:tc>
        <w:tc>
          <w:tcPr>
            <w:tcW w:w="528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layers.</w:t>
            </w:r>
          </w:p>
        </w:tc>
        <w:tc>
          <w:tcPr>
            <w:tcW w:w="5280" w:type="dxa"/>
            <w:vAlign w:val="bottom"/>
            <w:tcBorders>
              <w:bottom w:val="single" w:sz="8" w:color="auto"/>
              <w:right w:val="single" w:sz="8" w:color="auto"/>
            </w:tcBorders>
          </w:tcPr>
          <w:p>
            <w:pPr>
              <w:spacing w:after="0"/>
              <w:rPr>
                <w:sz w:val="20"/>
                <w:szCs w:val="20"/>
                <w:color w:val="auto"/>
              </w:rPr>
            </w:pPr>
          </w:p>
        </w:tc>
      </w:tr>
      <w:tr>
        <w:trPr>
          <w:trHeight w:val="426"/>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18</w:t>
            </w:r>
          </w:p>
        </w:tc>
        <w:tc>
          <w:tcPr>
            <w:tcW w:w="5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-3660140</wp:posOffset>
            </wp:positionV>
            <wp:extent cx="651510" cy="1345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510" cy="134556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r>
        <w:trPr>
          <w:trHeight w:val="189"/>
        </w:trPr>
        <w:tc>
          <w:tcPr>
            <w:tcW w:w="2160" w:type="dxa"/>
            <w:vAlign w:val="bottom"/>
            <w:tcBorders>
              <w:left w:val="single" w:sz="8" w:color="auto"/>
              <w:bottom w:val="single" w:sz="8" w:color="auto"/>
              <w:right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800" w:type="dxa"/>
            <w:vAlign w:val="bottom"/>
            <w:tcBorders>
              <w:bottom w:val="single" w:sz="8" w:color="auto"/>
              <w:right w:val="single" w:sz="8" w:color="auto"/>
            </w:tcBorders>
          </w:tcPr>
          <w:p>
            <w:pPr>
              <w:ind w:left="154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r>
      <w:tr>
        <w:trPr>
          <w:trHeight w:val="174"/>
        </w:trPr>
        <w:tc>
          <w:tcPr>
            <w:tcW w:w="2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Venus Bliss Max</w:t>
            </w:r>
          </w:p>
        </w:tc>
        <w:tc>
          <w:tcPr>
            <w:tcW w:w="380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8"/>
                <w:szCs w:val="18"/>
                <w:color w:val="auto"/>
              </w:rPr>
              <w:t>The  Venus  Bliss  Max  device  is  a</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computerized system comprised of a system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Venus Bliss Max device is a diode laser system intended for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console (main unit), four (4) Diode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non-invasive lipolysis of the abdomen, flanks, back and thighs in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applicators,  one  (1)  MP2  (RF+  PEMF+</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individuals with a Body Mass Index (BMI) of 30 or less. In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applicator and four (4) FlexMAX</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addition,  the  Venus  Bliss  Max  device  is  intended  for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applicators. The system delivers laser,</w:t>
            </w:r>
          </w:p>
        </w:tc>
        <w:tc>
          <w:tcPr>
            <w:tcW w:w="5280" w:type="dxa"/>
            <w:vAlign w:val="bottom"/>
            <w:tcBorders>
              <w:right w:val="single" w:sz="8" w:color="auto"/>
            </w:tcBorders>
          </w:tcPr>
          <w:p>
            <w:pPr>
              <w:ind w:left="380"/>
              <w:spacing w:after="0" w:line="216" w:lineRule="exact"/>
              <w:rPr>
                <w:sz w:val="20"/>
                <w:szCs w:val="20"/>
                <w:color w:val="auto"/>
              </w:rPr>
            </w:pPr>
            <w:r>
              <w:rPr>
                <w:rFonts w:ascii="Times New Roman" w:cs="Times New Roman" w:eastAsia="Times New Roman" w:hAnsi="Times New Roman"/>
                <w:sz w:val="16"/>
                <w:szCs w:val="16"/>
                <w:color w:val="auto"/>
              </w:rPr>
              <w:t>treatment of the following medical conditions; using the MP</w:t>
            </w:r>
            <w:r>
              <w:rPr>
                <w:rFonts w:ascii="Times New Roman" w:cs="Times New Roman" w:eastAsia="Times New Roman" w:hAnsi="Times New Roman"/>
                <w:sz w:val="25"/>
                <w:szCs w:val="25"/>
                <w:color w:val="auto"/>
                <w:vertAlign w:val="superscript"/>
              </w:rPr>
              <w:t>2</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bipolar RF and biphasic electrical energies,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applicator for delivery of RF energy combined with massage and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vacuum pressure, and pulsed electromagnetic</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magnetic field pulses: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fields (PEMF) to the skin and the underlying</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tissues of the treatment area. The device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provides  individual  adjustment  of  laser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power, EMS intensity level, and RF power, in</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addition to vacuum levels, for each patient.</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 addition, the Venus Bliss Max device using the FlexMAX</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console of the Venus Bliss Max device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applicators is intended for muscle conditioning to stimulate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contains a power supply unit, Laser, RF,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healthy  muscles.  The  Venus  Bliss  Max  device  using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EMS controllers, (power modules, on main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FlexMAX applicators is not intended to be used in conjunction</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suction  module  (vacuum),  a</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with  therapy  or  treatment  of  medical  diseases  or  medical</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controller unit (on main board), Laser water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conditions of any kind. The Venus Bliss Max device using the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cooling  system  (power  module,  on  main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FlexMAX applicators is intended to be operated by a trained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board), a touch- screen user interface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professional.</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display panel. The applicators are connected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the console via a cable. The RF applicator</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is comprised of various combinations of RF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electrodes,  magnetic  coils,  and  vacuum</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conduits.   The   Laser   applicators   are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comprised of a light guide, touch sensors and</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light-emitting diodes. The EMS applicator is</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comprised  of  two  electrodes  and  a  light</w:t>
            </w:r>
          </w:p>
        </w:tc>
        <w:tc>
          <w:tcPr>
            <w:tcW w:w="528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indicator.</w:t>
            </w:r>
          </w:p>
        </w:tc>
        <w:tc>
          <w:tcPr>
            <w:tcW w:w="5280" w:type="dxa"/>
            <w:vAlign w:val="bottom"/>
            <w:tcBorders>
              <w:bottom w:val="single" w:sz="8" w:color="auto"/>
              <w:right w:val="single" w:sz="8" w:color="auto"/>
            </w:tcBorders>
          </w:tcPr>
          <w:p>
            <w:pPr>
              <w:spacing w:after="0"/>
              <w:rPr>
                <w:sz w:val="20"/>
                <w:szCs w:val="20"/>
                <w:color w:val="auto"/>
              </w:rPr>
            </w:pPr>
          </w:p>
        </w:tc>
      </w:tr>
      <w:tr>
        <w:trPr>
          <w:trHeight w:val="425"/>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19</w:t>
            </w:r>
          </w:p>
        </w:tc>
        <w:tc>
          <w:tcPr>
            <w:tcW w:w="5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-4071620</wp:posOffset>
            </wp:positionV>
            <wp:extent cx="891540" cy="164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1540" cy="16459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7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3780" w:type="dxa"/>
            <w:vAlign w:val="bottom"/>
            <w:tcBorders>
              <w:bottom w:val="single" w:sz="8" w:color="auto"/>
              <w:right w:val="single" w:sz="8" w:color="auto"/>
            </w:tcBorders>
          </w:tcPr>
          <w:p>
            <w:pPr>
              <w:ind w:left="144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8"/>
              </w:rPr>
              <w:t>Venus Glow</w:t>
            </w:r>
          </w:p>
        </w:tc>
        <w:tc>
          <w:tcPr>
            <w:tcW w:w="3780" w:type="dxa"/>
            <w:vAlign w:val="bottom"/>
            <w:tcBorders>
              <w:right w:val="single" w:sz="8" w:color="auto"/>
            </w:tcBorders>
          </w:tcPr>
          <w:p>
            <w:pPr>
              <w:ind w:left="300"/>
              <w:spacing w:after="0" w:line="175" w:lineRule="exact"/>
              <w:rPr>
                <w:sz w:val="20"/>
                <w:szCs w:val="20"/>
                <w:color w:val="auto"/>
              </w:rPr>
            </w:pPr>
            <w:r>
              <w:rPr>
                <w:rFonts w:ascii="Times New Roman" w:cs="Times New Roman" w:eastAsia="Times New Roman" w:hAnsi="Times New Roman"/>
                <w:sz w:val="18"/>
                <w:szCs w:val="18"/>
                <w:color w:val="auto"/>
              </w:rPr>
              <w:t>Venus  Glow  consists  of  a  console  and</w:t>
            </w:r>
          </w:p>
        </w:tc>
        <w:tc>
          <w:tcPr>
            <w:tcW w:w="528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applicator.  It  is  used  to  improve  skin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Motorized dermabrasion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appearance  using  powerful  tri-modality</w:t>
            </w:r>
          </w:p>
        </w:tc>
        <w:tc>
          <w:tcPr>
            <w:tcW w:w="52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a Class I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treatment combining a rotating tip, a vacuum</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modality and a jet. Venus Glow deep-cleans</w:t>
            </w:r>
          </w:p>
        </w:tc>
        <w:tc>
          <w:tcPr>
            <w:tcW w:w="52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pores by removing impurities such as daily</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dirt and debris, dry or dead skin cells, and</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 medical device.</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excess sebum.</w:t>
            </w:r>
          </w:p>
        </w:tc>
        <w:tc>
          <w:tcPr>
            <w:tcW w:w="5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NeoGraft</w:t>
            </w:r>
          </w:p>
        </w:tc>
        <w:tc>
          <w:tcPr>
            <w:tcW w:w="378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Venus  Concept’s  NeoGraft  device  is  an</w:t>
            </w:r>
          </w:p>
        </w:tc>
        <w:tc>
          <w:tcPr>
            <w:tcW w:w="528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advanced hair restoration technology with an</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Surgical instrument motors and accessories that are intended for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automated  FUE  and  implantation  system.</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use during surgical procedures to provide power to operate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procedure leaves no linear scar and is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various accessories or attachments to cut hard tissue or bone and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minimally invasive.</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soft tissue.</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(listed as Class I without indication)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Hair Transplant device.</w:t>
            </w:r>
          </w:p>
        </w:tc>
        <w:tc>
          <w:tcPr>
            <w:tcW w:w="0" w:type="dxa"/>
            <w:vAlign w:val="bottom"/>
          </w:tcPr>
          <w:p>
            <w:pPr>
              <w:spacing w:after="0"/>
              <w:rPr>
                <w:sz w:val="1"/>
                <w:szCs w:val="1"/>
                <w:color w:val="auto"/>
              </w:rPr>
            </w:pP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18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Venus Epileve</w:t>
            </w:r>
          </w:p>
        </w:tc>
        <w:tc>
          <w:tcPr>
            <w:tcW w:w="378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The Venus Epileve system uses pulsed laser</w:t>
            </w:r>
          </w:p>
        </w:tc>
        <w:tc>
          <w:tcPr>
            <w:tcW w:w="528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EU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energy of 800 mm that is absorbed by a</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Venus Epileve is intended for all Fitzpatrick skin types,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chromophore  or  pigmented  target  (e.g.,</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including tanned skin, for use in dermatology, general and plastic</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melanin in hair follicles) while skin surface is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surgery applications for hair removal, permanent hair reduction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being chilled, for different indications of hair</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(defined as the long-term stable reduction in the number of hairs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removal and permanent hair reduction. Venus</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re-growing when measured at 6, 9, and 12 months after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Epileve is intended to provide an entry level,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completion  of  a  treatment  regimen);  and  treatment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affordable   solution   for   non-traditional</w:t>
            </w:r>
          </w:p>
        </w:tc>
        <w:tc>
          <w:tcPr>
            <w:tcW w:w="52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pseudofolliculitis barbae.</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markets for hair removal of all skin types.</w:t>
            </w: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8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20</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-4225925</wp:posOffset>
            </wp:positionV>
            <wp:extent cx="539750" cy="119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750" cy="119189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-2751455</wp:posOffset>
            </wp:positionV>
            <wp:extent cx="822960" cy="1140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11404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-1328420</wp:posOffset>
            </wp:positionV>
            <wp:extent cx="960120" cy="720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7200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Times New Roman" w:cs="Times New Roman" w:eastAsia="Times New Roman" w:hAnsi="Times New Roman"/>
                <w:sz w:val="18"/>
                <w:szCs w:val="18"/>
                <w:b w:val="1"/>
                <w:bCs w:val="1"/>
                <w:color w:val="auto"/>
              </w:rPr>
              <w:t>Product Name</w:t>
            </w:r>
          </w:p>
        </w:tc>
        <w:tc>
          <w:tcPr>
            <w:tcW w:w="1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line="17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960" w:type="dxa"/>
            <w:vAlign w:val="bottom"/>
            <w:tcBorders>
              <w:bottom w:val="single" w:sz="8" w:color="auto"/>
              <w:right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1760"/>
              <w:spacing w:after="0" w:line="170" w:lineRule="exact"/>
              <w:rPr>
                <w:sz w:val="20"/>
                <w:szCs w:val="20"/>
                <w:color w:val="auto"/>
              </w:rPr>
            </w:pPr>
            <w:r>
              <w:rPr>
                <w:rFonts w:ascii="Times New Roman" w:cs="Times New Roman" w:eastAsia="Times New Roman" w:hAnsi="Times New Roman"/>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30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8"/>
                <w:szCs w:val="18"/>
                <w:b w:val="1"/>
                <w:bCs w:val="1"/>
                <w:color w:val="auto"/>
                <w:w w:val="95"/>
              </w:rPr>
              <w:t>ARTAS iX</w:t>
            </w:r>
          </w:p>
        </w:tc>
        <w:tc>
          <w:tcPr>
            <w:tcW w:w="3720" w:type="dxa"/>
            <w:vAlign w:val="bottom"/>
            <w:tcBorders>
              <w:right w:val="single" w:sz="8" w:color="auto"/>
            </w:tcBorders>
            <w:gridSpan w:val="4"/>
          </w:tcPr>
          <w:p>
            <w:pPr>
              <w:ind w:left="300"/>
              <w:spacing w:after="0" w:line="175" w:lineRule="exact"/>
              <w:rPr>
                <w:sz w:val="20"/>
                <w:szCs w:val="20"/>
                <w:color w:val="auto"/>
              </w:rPr>
            </w:pPr>
            <w:r>
              <w:rPr>
                <w:rFonts w:ascii="Times New Roman" w:cs="Times New Roman" w:eastAsia="Times New Roman" w:hAnsi="Times New Roman"/>
                <w:sz w:val="18"/>
                <w:szCs w:val="18"/>
                <w:color w:val="auto"/>
              </w:rPr>
              <w:t>The ARTAS System is comprised of the</w:t>
            </w:r>
          </w:p>
        </w:tc>
        <w:tc>
          <w:tcPr>
            <w:tcW w:w="522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8"/>
                <w:szCs w:val="18"/>
                <w:b w:val="1"/>
                <w:bCs w:val="1"/>
                <w:color w:val="auto"/>
              </w:rPr>
              <w:t>United States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cart,  which  includes  the  robotic  arm,</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Harvesting hair follicles from the scalp in men diagnosed with</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integrated</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vision</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system,</w:t>
            </w:r>
          </w:p>
        </w:tc>
        <w:tc>
          <w:tcPr>
            <w:tcW w:w="9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artificial</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androgenic alopecia who have black or brown straight hair.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intelligence  algorithms  and  a  series  of</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ARTAS System is intended to assist physicians in identifying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proprietary end effectors employed in an</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and extracting hair follicles units from the scalp during hair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automatic manner. The accessories at the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transplantation,  creating  recipient  sites  and  implanting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distal end of the robotic arm, such as the</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harvested hair follicles.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automated needle and punch, that interact</w:t>
            </w:r>
          </w:p>
        </w:tc>
        <w:tc>
          <w:tcPr>
            <w:tcW w:w="52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EU</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with the patient’s scalp and hair follicles and</w:t>
            </w:r>
          </w:p>
        </w:tc>
        <w:tc>
          <w:tcPr>
            <w:tcW w:w="5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perform various clinical functions including</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Computer assisted hair follicle harvesting, incision making and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hair follicle harvesting and implantation.</w:t>
            </w:r>
          </w:p>
        </w:tc>
        <w:tc>
          <w:tcPr>
            <w:tcW w:w="52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implantation system.</w:t>
            </w: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b w:val="1"/>
                <w:bCs w:val="1"/>
                <w:color w:val="auto"/>
                <w:w w:val="97"/>
              </w:rPr>
              <w:t>AI.ME</w:t>
            </w:r>
          </w:p>
        </w:tc>
        <w:tc>
          <w:tcPr>
            <w:tcW w:w="3720" w:type="dxa"/>
            <w:vAlign w:val="bottom"/>
            <w:tcBorders>
              <w:right w:val="single" w:sz="8" w:color="auto"/>
            </w:tcBorders>
            <w:gridSpan w:val="4"/>
          </w:tcPr>
          <w:p>
            <w:pPr>
              <w:ind w:left="300"/>
              <w:spacing w:after="0" w:line="191" w:lineRule="exact"/>
              <w:rPr>
                <w:sz w:val="20"/>
                <w:szCs w:val="20"/>
                <w:color w:val="auto"/>
              </w:rPr>
            </w:pPr>
            <w:r>
              <w:rPr>
                <w:rFonts w:ascii="Times New Roman" w:cs="Times New Roman" w:eastAsia="Times New Roman" w:hAnsi="Times New Roman"/>
                <w:sz w:val="18"/>
                <w:szCs w:val="18"/>
                <w:color w:val="auto"/>
              </w:rPr>
              <w:t>The AI.ME System is an interactive, image-</w:t>
            </w:r>
          </w:p>
        </w:tc>
        <w:tc>
          <w:tcPr>
            <w:tcW w:w="5220" w:type="dxa"/>
            <w:vAlign w:val="bottom"/>
            <w:tcBorders>
              <w:right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guided, computer assisted system consisting</w:t>
            </w:r>
          </w:p>
        </w:tc>
        <w:tc>
          <w:tcPr>
            <w:tcW w:w="5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Fractional skin resurfacing.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of several main subsystems. These include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cart robotic arm, integrated imaging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vacuum assembly, coring mechanism, punch</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assembly, and computer. The AI.ME system</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is a micro coring device controlled by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robot  that  removes  skin  by  using  a</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disposable punch assembly containing six</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(6), hollow needle punches inserted into the</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skin  with  a  fixed  maximum  penetration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depth of 3 mm to remove up to 10% of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in the treatment area for fractional skin</w:t>
            </w:r>
          </w:p>
        </w:tc>
        <w:tc>
          <w:tcPr>
            <w:tcW w:w="5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resurfacing.</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-3668395</wp:posOffset>
            </wp:positionV>
            <wp:extent cx="831215" cy="960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215" cy="9601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-2151380</wp:posOffset>
            </wp:positionV>
            <wp:extent cx="822960" cy="822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in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We are currently developing the following products and technologies: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ARTAS iX2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working on the next generation ARTAS Hair Restoration system. The iX2 will simulate human hand motion for extracting hair follicles by changing the punch trajectory while in motion with the articulated mechanism and utilizing oscillation along with rotation to improve the ability to capture the entire follicle and reduce transection. The system will also allow the use of Off-The-Shelf punches to allow the physician more flexibility in using punches with which they are familiar.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Venus Nova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working on the next generation of the well-established Venus Legacy product line. This device is intended to extend the capabilities of the original Venus Legacy system product line by combining (MP)² and VariPulse technologies with real-time thermal feedback and ATC to provide homogeneous heating to multiple tissue depths while allowing for adjustable pulsed suction to further support deep energy penetration. This will result in enhanced lymphatic drainage and improved circulation stimulation. The device will come with both hand-held and hands-free applicators which will include (MP)² and EMS technologies.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Developments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efforts also currently include research to expand indications, broaden our offering of system applicators, advance our proprietary (MP)2 technology, add new technologies and indications, develop design improvements and new products, as well as continue to support our harvesting, site making and implantation functions for the ARTAS iX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research and development to support our technology, marketing and post-marketing surveillance. We also have a portfolio of over 40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paid consultants for us.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Research has shown that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technology improves aspects of textural lesions and body contouring. The fractional RF has been shown to improve skin structure, including wrinkles, scars and striae through ablation and resurfacing. IPL technology used in the Venus Versa has shown to be versatile and effective for treating vascular and pigmented lesions, acne and rosacea. Our diode laser technology has been shown to be effective for lipolysis and reduction of fat layer thickness, as well as efficiently effecting hair reduction/removal. Additionally, the Venus Fiore device has demonstrated ability to improve symptoms related to vaginal atrophy.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number of ongoing clinical trials covering both new technologies and the development of expanded indications for existing technology. Clinical trials are conducted frequently to develop new technologies and applications and support existing technologies and applications and their respective enhancements and upgrades.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and sell our products and services to the traditional medical aesthetic market including plastic surgeons and dermatologists, as well as to a broad base of non-traditional physician markets, including general and family practitioners and aesthetic medical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provide our new Venus Prime financing model and traditional sales model, and associated marketing support programs in the United States and Canada. We provide our legacy subscription model and traditional sales model, as well as the associated marketing support programs through our wholly owned subsidiaries in Japan, Mexico, Spain, Germany, Israel, Australia, and China as well as through Venus Concept’s majority-owned subsidiary in Hong Kong.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sales force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and select international markets, we use our direct sales force to sell our systems and other products and services. As of December 31, 2024, we had a direct sales and marketing team of approximately 86 employees, managed by one Executive Vice President, Global Sales and Marketing, three Vice Presidents of Sales for various international markets and one Vice President of Global Marketing and Product Management. We plan to continue to focus our direct sales efforts in the North America market and continue to evaluate and optimize our use of direct and distributor resources in our international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countries where we do not operate directly, we sell our products through distributors. As of December 31, 2024, we had distribution agreements in over 40 countries. We enter into both exclusive and non-exclusive distribution agreements, which generally provide the distributor with a right to distribute certain of our products within a designated territory. Each agreement sets forth certain minimum quarterly purchase commitments and if the distributor fails to meet its minimum purchase commitments, we have the ability to either convert any exclusive distribution rights to non-exclusive rights during the then-remaining term or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ectPr>
          <w:pgSz w:w="11900" w:h="16838" w:orient="portrait"/>
          <w:cols w:equalWidth="0" w:num="1">
            <w:col w:w="11240"/>
          </w:cols>
          <w:pgMar w:left="320" w:top="121"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 Programs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2024, we had a Vice President of Global Marketing and Product Management, with regional marketing support in select countries. We have an internal team of digital marketing, brand, marketing operations and events specialists that support North America and our regional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implemented business to business and business to customer public relations outreach strategies that incorporates both digital media and top national media channels in the fashion and beauty industries and have a presence on the most popular social media channels, such as Facebook, Twitter, YouTube, Pinterest, LinkedIn and Instagram.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and authorized distributors with customer support through our fully integrated marketing program and strong clinical and technical support teams.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Business Development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the growth initiatives of our customers, we have built a business development strategy that provides customers with a fully integrated marketing support program with business and marketing tools to grow their practices, improve their financial and business performance, and maximize their return on investment while also providing sales strategies related to our products and ancillary services. Our customer business development program includes the following features:</w:t>
      </w:r>
    </w:p>
    <w:p>
      <w:pPr>
        <w:spacing w:after="0" w:line="180" w:lineRule="exact"/>
        <w:rPr>
          <w:sz w:val="20"/>
          <w:szCs w:val="20"/>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Inclusion in an advanced clinic directory that is promoted online to consumers. The full-page listing includes the clinic’s contact information, business hours, website, social media profiles and a full list of available Venus Concept device treatments.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comprehensive device launch plan, guidance on effective pricing and bundling strategies and involved in short and long-term business goal reviews and tracking.</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43"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Online courses and private remote workshops related to business strategies and clinic efficiency including customer retention and conversion strategies, effective patient consultation, credentialing, Venus Concept devices sales talking points, telephone skills, cross-selling and up-selling techniques, and photography best practices. Our workshops related to marketing strategies include search engine optimization essentials and cover social media and marketing strategies.</w:t>
      </w:r>
    </w:p>
    <w:p>
      <w:pPr>
        <w:spacing w:after="0" w:line="195"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Customer Launch Kits comprised of a starter package with marketing materials necessary to introduce and promote new Venus Concept products with a heavy emphasis on a digital and social media strategy.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Analysis of business practices with instruction on effective patient consultation and conversion strategies.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Analysis of current social media and online marketing efforts and guidance on how to attract and convert potential consumers more efficiently.</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hair restoration customers, access to specialized VeroHair 12 Step Program designed to assist ARTAS and NeoGraft customers with building a successful hair restoration practice.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Clinical Support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warranty our products against defects in materials and workmanship under normal use and service for a period of one year, with certain other products carrying a different warranty correlating to the number of uses the product undergoes or based upon the perishability of the product. Once the warranty expires, our customers have the option of purchasing an extended warranty service contract, which is typically for a term of one to three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technical and clinical support team to field inquiries, troubleshoot product issues, facilitate sales activities and support the commercial activities of our direct offices and international distributors. In the event that an issue arises, our technical support personnel will work with our customers to determine if a technical issue may be resolved over the telephone or requires a service visit. In markets where we do not have our own service engineers, the service and support of our products is managed by our independent distributors. In order to maximize customer “up time,” we proactively deploy replacement systems, modules, and components to strategic hubs worldwide.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our own research and development centers in Yokneam, Israel, and San Jose, California and use two ISO-certified contract manufacturers in Karmiel, Israel, and Mazet, France. We assemble the ARTAS System in San Jose, California, while reusable and disposable kits are assembled exclusively for us by NPI Solutions, Inc. (“NPI”) based in Morgan Hill, California.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work closely with our manufacturers and perform final quality control testing using our own employees stationed in the manufacturing facilities around the world. Having over 85% of the production of our systems in close proximity to our research and development and operations facilities enables us to control the entire process from product development through manufacturing and final testing, and to provide advanced, high-quality systems as well as the flexibility to create customized solutions for our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Manufacturing facilities that produce medical devices intended for distribution in the United States and internationally are subject to regulation and periodic unannounced inspection by the FDA and other domestic and international regulatory agencies. In the United States, we are required to manufacture our products in compliance with the FDA’s Quality System Regulations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conform with and are in full compliance with ISO:13485:2016, CE (MDD→ MDR) and MDSAP.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quality system designed to be compliant with quality system management and QSR and have procedures in place to ensure that all products and materials we purchase conform to our specifications, including evaluation of suppliers, and where required, qualification of the components supplied. We believe that our current facilities are adequate to support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confidentiality and invention assignment agreements to protect our intellectual property rights. As of December 31, 2024, our patent portfolio is comprised of:</w:t>
      </w:r>
    </w:p>
    <w:p>
      <w:pPr>
        <w:spacing w:after="0" w:line="162" w:lineRule="exact"/>
        <w:rPr>
          <w:sz w:val="20"/>
          <w:szCs w:val="20"/>
          <w:color w:val="auto"/>
        </w:rPr>
      </w:pPr>
    </w:p>
    <w:p>
      <w:pPr>
        <w:jc w:val="both"/>
        <w:ind w:left="340" w:right="20" w:hanging="332"/>
        <w:spacing w:after="0" w:line="213" w:lineRule="auto"/>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16 issued U.S. patents which cover our (MP)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fractional RF and Ai.ME, Directional Skin Tightening technology (including cellulite treatments) that are associated with six different patent families (the earliest of which will expire in 2028), 4 pending U.S. patent applications, 31 issued foreign counterpart patents, and 12 pending foreign counterpart patent applications;</w:t>
      </w:r>
    </w:p>
    <w:p>
      <w:pPr>
        <w:spacing w:after="0" w:line="2" w:lineRule="exact"/>
        <w:rPr>
          <w:rFonts w:ascii="Times New Roman" w:cs="Times New Roman" w:eastAsia="Times New Roman" w:hAnsi="Times New Roman"/>
          <w:sz w:val="22"/>
          <w:szCs w:val="22"/>
          <w:color w:val="auto"/>
        </w:rPr>
      </w:pPr>
    </w:p>
    <w:p>
      <w:pPr>
        <w:ind w:left="340" w:hanging="332"/>
        <w:spacing w:after="0" w:line="204" w:lineRule="auto"/>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4 issued foreign patents covering the NeoGraft system and its methods of use (the earliest of which expired in 2022); and</w:t>
      </w:r>
    </w:p>
    <w:p>
      <w:pPr>
        <w:spacing w:after="0" w:line="29" w:lineRule="exact"/>
        <w:rPr>
          <w:rFonts w:ascii="Times New Roman" w:cs="Times New Roman" w:eastAsia="Times New Roman" w:hAnsi="Times New Roman"/>
          <w:sz w:val="22"/>
          <w:szCs w:val="22"/>
          <w:color w:val="auto"/>
        </w:rPr>
      </w:pPr>
    </w:p>
    <w:p>
      <w:pPr>
        <w:ind w:left="360" w:hanging="352"/>
        <w:spacing w:after="0" w:line="224" w:lineRule="auto"/>
        <w:tabs>
          <w:tab w:leader="none" w:pos="3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92 issued U.S. patents primarily covering the ARTAS System and methods of use (the earliest of which expire in 2025, 176 issued foreign counterpart patents, and 4 pending foreign counterpart patent applications.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our trademark portfolio included the following trademark registrations, pending trademark applications or common law trademark rights, among others: MP2®, Tribella®, Vero Hair®, NANOFRACTIONAL RF®, Venus Viva®, Venus Legacy®, Venus Concept®, Venus Versa®, Venus Bliss™, Venus Bliss Max™, NeoGraft®, ARTAS®, ARTAS iX®, Aesthetic Intelligence™ and AI.ME™. We continue to file new trademark applications in many countries to protect our current and future products and related slogans.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HSC Development LLC and James A. Harris, MD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2006, we entered into a license agreement (the “HSC License Agreement”) HSC Development LLC ("HSC”)</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developed the ARTAS System to be utilized as a robotic system to assist a physician in performing hair restoration procedures. In consideration for the license, we issued to HSC 25,000 shares of our common stock, prior to the Company’s 1-for-10 and 1-for-15 reverse stock splits,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neurotoxins and dermal fillers,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 We also compete generally with medical technology and aesthetic companies, including those offering products and services unrelated to skin treatment. Recently, there has been consolidation in the aesthetic industry leading to companies combining their resources, which increases competition and could result in increased downward pressure on our system prices.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FUT Strip Surgery and some Manual FUE procedures have a greater penetration into the hair restoration market, due in part to having a longer history in the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competitors’ systems compete largely based on the following factors:</w:t>
      </w:r>
    </w:p>
    <w:p>
      <w:pPr>
        <w:spacing w:after="0" w:line="225"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product brand recognition;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education;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experience and access;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support and service;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product enhancements and speed of innovation;</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revenue strategies;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reliability, safety and durability;</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predictability and durability of aesthetic results;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costs to patients.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design, development, manufacture, testing and sale of our products are subject to regulation by numerous governmental authorities, including the FDA, and corresponding state and foreign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by the FDA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Federal Food, Drug, and Cosmetic Act (“FDCA”), the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The FDA enforces the FDCA, and the regulations promulgated pursuant to the FDCA.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medical device that we wish to distribute commercially in the United States requires marketing authorization from the FDA prior to distribution unless an exemption applies. The two primary types of FDA marketing authorizations applicable to a device are premarket notification, also called 510(k) clearance, and premarket approval (“PMA”).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Most Class I devices and some Class II devices are exempted by regulation from the 510(k) clearance requirement and can be marketed without prior authorization from the FDA. By contrast, devices placed in Class III generally require PMA approval or approval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petition prior to commercial marketing. The FDA’s 510(k) clearance process usually takes from three to nine months but can take longer. For products requiring PMA approval, the regulatory process generally takes from one to three years or more, from the time the application is filed with the FDA and involves substantially greater risks and commitment of resources than either the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a premarket notification to the FDA demonstrating that the device is “substantially equivalent” to a previously cleared 510(k) device or a device that was in commercial distribution before May 28, 1976 for which the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Approval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PMA application must be submitted if the device cannot be cleared through the 510(k) process and is found ineligible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reclassification. PMA applications must be supported by valid scientific evidence, which typically requires extensive data, including technical, preclinical, clinical, and manufacturing data, to demonstrate to the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 Approval of FDA review of an initial PMA application may require several years to complete.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are almost always required to support the FDA’s approval of a premarket approval application and are sometimes required for 510(k) clearances. If a device presents a “significant risk,” as defined by the FDA, to human health, the device sponsor may need to file an investigational device exemption (“IDE”) application with the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and the appropriate institutional review boards (“IRB”). Clinical trials are subject to extensive monitoring, recordkeeping and reporting requirements.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(the "MDR") applicable as of May 2021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devices that are manufactured or distributed pursuant to clearance or approval by the FDA are subject to pervasive and continuing regulation by the FDA and certain state agencies. After a device is placed on the market, numerous regulatory requirements continue to apply. These include establishment registration and device listing with the FDA, QSR requirements, labeling and marketing regulations, clearance or approval of product modifications, medical device reporting regulations, correction, removal and recall reporting regulations, Unique Device Identifiers compliance, the FDA’s recall authority, and post-market surveillance activities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our manufacturing operations and the recall or seizure of products. The FDA has broad regulatory compliance and enforcement powers. If the FDA determines that we failed to comply with applicable regulatory requirements, it can take a variety of compliance or enforcement actions. For additional information on these potential actions and other governmental regulation risks,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Government Regulation</w:t>
      </w:r>
      <w:r>
        <w:rPr>
          <w:rFonts w:ascii="Times New Roman" w:cs="Times New Roman" w:eastAsia="Times New Roman" w:hAnsi="Times New Roman"/>
          <w:sz w:val="18"/>
          <w:szCs w:val="18"/>
          <w:color w:val="auto"/>
        </w:rPr>
        <w:t>” included elsewhere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they may have with physicians and other potential purchasers of their products.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Venus Concept’s products, and treatment using our products, are not reimbursable by Medicare, Medicaid or other federal health care programs, or by commercial insurance. As a result, many federal and state fraud and abuse statutes do not apply to Venus Concept.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Compliance with applicable United States and foreign laws and regulations, such as import and export requirements, anti-corruption laws such as the </w:t>
      </w:r>
      <w:r>
        <w:rPr>
          <w:rFonts w:ascii="Times New Roman" w:cs="Times New Roman" w:eastAsia="Times New Roman" w:hAnsi="Times New Roman"/>
          <w:sz w:val="18"/>
          <w:szCs w:val="18"/>
          <w:i w:val="1"/>
          <w:iCs w:val="1"/>
          <w:color w:val="auto"/>
        </w:rPr>
        <w:t xml:space="preserve">Foreign Corrupt Practices Act </w:t>
      </w:r>
      <w:r>
        <w:rPr>
          <w:rFonts w:ascii="Times New Roman" w:cs="Times New Roman" w:eastAsia="Times New Roman" w:hAnsi="Times New Roman"/>
          <w:sz w:val="18"/>
          <w:szCs w:val="18"/>
          <w:color w:val="auto"/>
        </w:rPr>
        <w:t>and similar worldwide anti-bribery laws, tax laws, foreign exchange controls and cash repatriation restrictions, data privacy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data security requirements, 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recent trend of increased foreign, federal, and state regulation of payments and transfers of value provided to healthcare professionals, such as physicians, and entities. However,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European Economic Area (“EEA”), our devices are required to comply with the Essential Requirements set forth in Annex I to the Council Directive 93/42/EEC concerning medical devices, commonly referred to as the Medical Devices Directive. Compliance with the Medical Devices Directive entitles a manufacturer to affix the CE mark to its medical devices, without which they cannot be commercialized in the EEA. To demonstrate compliance with the Essential Requirements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an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a CE Certificate of Conformity, Venus Concept can draw up an EC Declaration of Conformity and affix the CE mark to the products covered by this CE Certificate of Conformity and the EC Declaration of Conformity. We have successfully completed several notified body audits since our original certification in December 2009. Following these audits, our notified body issued ISO 13485:2016 Certificate and CE Certificates of Conformity allowing it to draw up an EC Declaration of Conformity and affix the CE mark to certain of our devices since 2019 MDSAP Certificate.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product has been CE marked and placed on the market in the EEA, a manufacturer must comply with a number of regulatory requirements relating to:</w:t>
      </w:r>
    </w:p>
    <w:p>
      <w:pPr>
        <w:spacing w:after="0" w:line="143"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registration of medical devices in individual EEA countries;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pricing and reimbursement of medical devices;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establishment of post-marketing surveillance and adverse event reporting procedures;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field safety corrective actions, including product recalls and withdrawals;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interactions with physicians.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the EEA member State laws implementing them, in all the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Medical Devices Regulation is now effective. The new regulations will, among other things:</w:t>
      </w:r>
    </w:p>
    <w:p>
      <w:pPr>
        <w:spacing w:after="0" w:line="206"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199"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strengthen rules for the assessment of certain high-risk devices, such as implants, which may have to undergo an additional check by experts before they are placed on the market.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that our products have already been certified under the existing regulatory framework, the MDR (Regulation (EU) 2017/745) allows us to continue to market our CE-marked devices provided that the requirements of its transitional provisions are fulfilled. Under Article 120 of the MDR, certificates issued by Notified Bodies to the MDD (93/42/EEC) prior to May 25, 2017 remain valid until their indicated expiry dates. Following expiration, an agreement must be made between manufacturers and their Notified Body to extend the validity of the MDD issued EC certificates until, at the latest, 31 December 2028. This agreement involves the application of the manufacturer to full MDR certification, something which entails additional and more stringent procedural and product updates when compared to the previous MDD requirements. Among other changes, the MDR introduces annual, comprehensive post-market surveillance update reports, product-centric clinical evaluations, and use of the EUDAMED platform (which remains under development for some modules). The latest update from the European Commission estimates that EUDAMED will be "fully functional" in Q2 2027. Venus Concept has already entered into an agreement for full MDR certification of its products and quality management system with its Notified Body, GMED, and is actively working towards meeting its requirements in full.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environmental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Data 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data security, both in the United States and internationally. New global privacy rules are continually being enacted and existing ones are being updated and strengthened. Failure to comply with any privacy or data security laws or regulations or any security incident or breach involving the misappropriation, loss or other unauthorized access,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 For additional information on the risks we face with regard to data privacy and security, please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included elsewhere in this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could result in the imposition of fines, penalties, orders to stop noncompliant activities, or orders to stop doing business in a jurisdiction.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evolving international laws on data transfer, data localization and electronic marketing. The rules on data transfer will apply when we transfer personal data to group companies or third parties outside of certain geographies. For example, there is currently litigation challenging companies’ data transfers using the EEA’s standard contractual clauses and use of third-party cookies. It is uncertain whether such transfers will be invalidated by the European courts. These changes may require us to find alternative bases for the compliant transfer of personal data from the EEA to the United States to change vendors, or to arrange for local storage of personal data and we are monitoring developments in this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 total of 292 full-time employees. Of the total number of employees, 128 were based in the United States, 69 based in Canada, 33 based in Israel, and 62 in the rest of the world. Of the total number of full-time employees as of December 31, 2024, approximately 75 were direct sales representatives and sales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founded on November 22, 2002 as a Delaware corporation. Our principal executive offices are located at 235 Yorkland Blvd., Suite 900, Toronto, Ontario M2J 4Y8, Canada and our telephone number is (877) 848-8430. You may find our website at www.venus.ai electronic copies of the Annual Report, quarterly reports on Form 10-Q, current reports on Form 8-K, and amendments to those reports filed or furnished pursuant to Section 13(a) or 15(d) of the Exchange Act. Such filings are placed on our website as soon as reasonably practicable after they are filed with the SEC. Our most recent charter for our audit, compensation, and nominating and corporate governance committees and our Code of Business Conduct and Ethics and our Anti-Corruption Policy are available on our website as well. Any waiver of our Code of Business Conduct and Ethics may be made only by the Board of Directors of the Company (the "Board").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and you should not consider information on our website to be part of this Annual Report. We have included our website address as an inactive textual reference only.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Our filings with the SEC are available free of charge on the SEC’s website at www.sec.gov.edgar and on our website under the “Investor Relations” tab as soon as reasonably practicable after we electronically file such material with, or furnish it to, the SEC.</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risks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risks described below and the other information in this Annual Report, including our audited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evaluation of strategic alternatives may not result in any transaction.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execute the current business plan depends on our ability to obtain additional support via a strategic transaction or a series of strategic transactions. The process of exploring strategic alternatives is time-consuming, and our Board has not set a timetable for the conclusion of its review of strategic alternatives. Our review of strategic options and alternatives could result in, among other things, a sale, merger, reverse merger, consolidation or business combination, asset divestiture, partnering, licensing or other collaboration agreements, or potential acquisitions, recapitalizations or restructurings, or in one or more transactions. There can be no assurance that the exploration of strategic alternatives is the correct strategy to pursue or that it will result in the identification or consummation of any transaction or, if consummated, the terms and conditions of any such transaction. Certain potential strategic transaction alternatives, if available and achieved, could result in substantial dilution to existing stockholders and have a material adverse effect on the market price of our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that we will have sufficient capital resources to fund any strategic transaction, if available. If we raise additional funds through the issuance of equity securities, including as part of a strategic transaction, it could result in substantial dilution to our existing stockholders, increased fixed payment obligations, and any issued securities may have rights senior to those of our shares of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and 2023, approximately 26% and 33% of our system revenues were derived from our internal financing programs (Venus Prime and our legacy subscription-based model). Under our internal financing programs,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agreement is recognized as revenue upon shipment of the system to the customer. We cannot provide any assurance that the financial position of customers purchasing products and services under our internal financing programs will not change adversely before we receive all the monthly installment payments due under the contract. In the event that there is a default by any of the customers to whom we have sold systems under our internal financing programs, we may recognize bad debt expenses in our general and administrative expenses. If the extent of such defaults are material, it could negatively affect our results of operations and operating cash flows.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internal financing programs,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are material, it could negatively affect our future results of operations and cash flows.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initiated a review of strategic alternatives to improve our operating performance and achieve cost savings, but we may not be able to implement and/or administer these programs in the manner contemplated and these restructuring programs may not produce the desired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2023, the Company announced its restructuring plan, including workforce reductions, management changes and the discontinuation of operations in unprofitable markets. Although we expect these initiatives to help us achieve operational improvements and cost savings, we may not be able to implement these initiatives in the manner contemplated or achieve the desired results. Additionally, the implementation of restructuring programs may result in additional costs, some of which could be material. Failure to successfully implement our restructuring initiatives may negatively affect our financial performance.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raise substantial doubt about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on a going concern basis, which contemplates the realization of assets and the satisfaction of liabilities in the normal course of business for the foreseeable future, and, as such, the audited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recurring net operating losses and negative cash flows from operations. As of December 31, 2024 and December 31, 2023, the Company had an accumulated deficit of $308,899 and $261,903, respectively, though, the Company was in compliance with all required covenants as of December 31, 2024, and December 31, 2023. The Company’s recurring losses from operations and negative cash flows raise substantial doubt about the Company’s ability to continue as a going concern within 12 months from the date that the audited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may adversely impact our business and we may need additional capital to fund its future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the global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audited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disruption and inflation may have a material adverse effect on the Company's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2022 which continued through 2024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among the United States and other countries, in particular the imposition of new or higher tariffs, may adversely impact costs related to the production, manufacturing and transportation of our products. Increased tariffs or the imposition of other barriers to international trade could decrease demand and have a negative effect on our revenues and operating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has imposed or proposed new or higher tariffs on certain products exported by a number of U.S. trading partners, including China, Europe, Canada, and Mexico. In response, many of those trading partners, including China, have imposed or proposed new or higher tariffs on American products. The Company derives a meaningful percentage of its revenues from outside of the US, and therefore, these developments, or the perception that any of them could occur, may have a material adverse effect on global economic conditions and the stability of global financial markets, and may have a material adverse effect on the Company's business and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and/or its contract manufacturers, source component parts used in our products from countries affected by higher tariffs. We also routinely ship our products internationally. An increase in tariffs may adversely affect our gross profit margins in the future due to higher costs of production, manufacturing and transportation of our products and/or impact our ability to sell our product in certain affected international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compliance with export controls and implementation of additional tariffs may increase compliance costs and further affect our business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agreements contain restrictions that may limit our flexibility to effectively operate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Main Street Priority Lending Program Term Loan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2020, Venus Concept USA Inc. ("Venus USA"), a wholly-owned subsidiary of the Company, executed a loan and security agreement (the “MSLP Loan Agreement”), a promissory note (the “MSLP Note”), and related documents for a loan in the aggregate amount of $50.0 million for which City National Bank of Florida ("CNB") will serve as lender pursuant to the Main Street Priority Loan Facility as established by the Board of Governors of the Federal Reserve System Section 13(3) of the Federal Reserve Act (the “MSLP Loan”). Venus USA’s obligations under the MSLP Loan will be secured pursuant to a guaranty of payment and performance dated as of December 8, 2020 (the “Guaranty Agreement”), by and between the Company and CNB. On December 9, 2020, the MSLP Loan was funded and the transaction closed. On May 24, 2024, and again on September 26, 2024, a portion of the principal was converted into shares of Preferred Stock, however the same terms from the original agreement continued to apply to the remaining loan. For additional details of the MSLP Loan Agreement, see Note 10 “</w:t>
      </w:r>
      <w:r>
        <w:rPr>
          <w:rFonts w:ascii="Times New Roman" w:cs="Times New Roman" w:eastAsia="Times New Roman" w:hAnsi="Times New Roman"/>
          <w:sz w:val="18"/>
          <w:szCs w:val="18"/>
          <w:i w:val="1"/>
          <w:iCs w:val="1"/>
          <w:color w:val="auto"/>
        </w:rPr>
        <w:t>Main Street Term Loan</w:t>
      </w:r>
      <w:r>
        <w:rPr>
          <w:rFonts w:ascii="Times New Roman" w:cs="Times New Roman" w:eastAsia="Times New Roman" w:hAnsi="Times New Roman"/>
          <w:sz w:val="18"/>
          <w:szCs w:val="18"/>
          <w:color w:val="auto"/>
        </w:rPr>
        <w:t>” to our consolidated financial statements included elsewhere in this report.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other restricted payments, and to make certain changes to our ownership structure.</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additional details of the MSLP Loan Agreement, the related agreements and the covenants to which we are subject,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Note 10</w:t>
      </w:r>
      <w:r>
        <w:rPr>
          <w:rFonts w:ascii="Times New Roman" w:cs="Times New Roman" w:eastAsia="Times New Roman" w:hAnsi="Times New Roman"/>
          <w:sz w:val="18"/>
          <w:szCs w:val="18"/>
          <w:i w:val="1"/>
          <w:iCs w:val="1"/>
          <w:color w:val="auto"/>
        </w:rPr>
        <w:t xml:space="preserve"> “Main Street Term Loan” </w:t>
      </w:r>
      <w:r>
        <w:rPr>
          <w:rFonts w:ascii="Times New Roman" w:cs="Times New Roman" w:eastAsia="Times New Roman" w:hAnsi="Times New Roman"/>
          <w:sz w:val="18"/>
          <w:szCs w:val="18"/>
          <w:color w:val="auto"/>
        </w:rPr>
        <w:t>to the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Annual Report.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Madryn Credit Agreement and Exchange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Contemporaneously with the MSLP Loan Agreement, the Company, Venus USA, Venus Concept Canada Corp. (“Venus Canada”), Venus Concept Ltd. ("Venus Ltd."),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 (ii) 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Exchange Agreement, we also entered into a Guaranty and Security Agreement dated as of December 9, 2020 (the “Madryn Security Agreement”), pursuant to which we agreed to grant Madryn a security interest in substantially all of our assets to secure the obligations under the Notes. The Madryn Security Agreement contains various covenants that limit our ability to engage in specified types of transactions. Subject to limited exceptions, these covenants limit our ability, without the Madryn Noteholders’ consent, to, among other things, incur, create or permit to exist additional indebtedness, or liens, and to make certain changes to our ownership structure. The Madryn Security Agreement also contains a covenant which requires that if we or any of our subsidiaries that has guaranteed the Notes consummates a disposition of material assets the result of which is that less than 50% of the consolidated net tangible assets of such entities secure the Notes then, within 90 days thereafter, we and our subsidiaries party to the Madryn Security Agreement must provide certain additional collateral so that more than 50% of the consolidated net tangible assets of the Company and its subsidiaries which have guaranteed the Notes will be collateral securing the Notes.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an Event of Default occurs, then, the Madryn Noteholders may, subject to certain terms, (i) declare the outstanding principal amount of Notes, all accrued and unpaid interest and all other amounts owing under the Notes and other transaction documents entered into in connection therewith to be immediately become due and payable without any further action or notice by any person (ii) foreclose on the collateral granted to it to collateralize the indebtedness and</w:t>
      </w:r>
    </w:p>
    <w:p>
      <w:pPr>
        <w:spacing w:after="0" w:line="2" w:lineRule="exact"/>
        <w:rPr>
          <w:sz w:val="20"/>
          <w:szCs w:val="20"/>
          <w:color w:val="auto"/>
        </w:rPr>
      </w:pPr>
    </w:p>
    <w:p>
      <w:pPr>
        <w:ind w:firstLine="8"/>
        <w:spacing w:after="0" w:line="260"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it under the Notes, the Madryn Security Agreement and any other document entered into in connection with the foregoing, which would significantly affect our ability to operate our business.</w:t>
      </w:r>
    </w:p>
    <w:p>
      <w:pPr>
        <w:spacing w:after="0" w:line="1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the Madryn Credit Agreement, the Exchange Agreement, the Notes and related agreements, see Note 11 </w:t>
      </w:r>
      <w:r>
        <w:rPr>
          <w:rFonts w:ascii="Times New Roman" w:cs="Times New Roman" w:eastAsia="Times New Roman" w:hAnsi="Times New Roman"/>
          <w:sz w:val="18"/>
          <w:szCs w:val="18"/>
          <w:i w:val="1"/>
          <w:iCs w:val="1"/>
          <w:color w:val="auto"/>
        </w:rPr>
        <w:t>“Madryn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and Convertible Notes” </w:t>
      </w:r>
      <w:r>
        <w:rPr>
          <w:rFonts w:ascii="Times New Roman" w:cs="Times New Roman" w:eastAsia="Times New Roman" w:hAnsi="Times New Roman"/>
          <w:sz w:val="18"/>
          <w:szCs w:val="18"/>
          <w:color w:val="auto"/>
        </w:rPr>
        <w:t>to our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Madryn Loan and Security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$2,238,000 and one or more delayed draw term loans of up to an additional principal amount of $21 million (the “Bridge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and Security Agreement also provides that all present and future indebtedness and the obligations of the Borrower to Madryn shall be secured by a priority security interest in all real and personal property collateral of the Loan Parties.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to cause the Borrower’s indebtedness under the Loan and Security Agreement to become immediately due and payable, and to exercise remedies against the Loan Parties and the collateral securing the term loan. Under the Loan and Security Agreement, an event of default will occur if, among other things, any Loan Party fails to make payments under the Loan and Security Agreement, any Loan Party breaches any of the covenants under the Loan and Security Agreement, a Change of Control (as defined in the Loan and Security Agreement) occurs, any Loan Party,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9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Madryn Loan and Security Agreement, see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to our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EW Notes and Security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a Note Purchase and Registration Rights Agreement (the “Note Purchase Agreement”) with EW Healthcare Partners, L.P. (“EW”) and EW Healthcare Partners-A, L.P. (“EW-A,” and together with EW, the “EW Investors”). Pursuant to the Note Purchase Agreement, the Company issued and sold to the Investors $2.0 million in aggregate principal amount of secured subordinated convertible notes (the “EW Notes”). The Notes are secured by a Guaranty and Security Agreement, dated January 18, 2024 (the “EW Security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Security Agreement, during the continuance of an event of default under the Notes, if the Company is unable to repay all outstanding amounts under the EW Notes, the EW Investors may, subject to the terms of the CNB Subordination Agreement (as defined therein),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EW Investor’s consent.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Madryn Loan and Security Agreement, see Note 13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consolidated financial statements included elsewhere in this report.</w:t>
      </w:r>
    </w:p>
    <w:p>
      <w:pPr>
        <w:sectPr>
          <w:pgSz w:w="11900" w:h="16838" w:orient="portrait"/>
          <w:cols w:equalWidth="0" w:num="1">
            <w:col w:w="11240"/>
          </w:cols>
          <w:pgMar w:left="320" w:top="121" w:right="339" w:bottom="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as well as seeking regulatory clearances and approvals to market future products will require substantial funds to complete. As of December 31, 2024, we had capital resources consisting of cash and cash equivalents of approximately $4.3 million. Further, in order to grow our business and increase revenues, we will need to introduce and commercialize new products, maintain an effective sales and marketing force, and implement new software systems. We believe that we will continue to expend substantial resources for the foreseeable future in connection with the ongoing commercializing of our systems, supporting our sales and marketing efforts, and continuing research and development and product enhancements activities. We will have to increase our revenues while effectively managing our expenses in order to achieve profitability and to sustain it. Our operating expenses may fluctuate significantly in the future because of a variety of factors, many of which are outside of our control. Our failure to control expenses could make it difficult to achieve profitability or to sustain profitability in the future.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budgeted expense levels are based in part on our expectations concerning future revenue from systems sales, product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that the net proceeds from our recent and announced financing activities, our recent initiatives in pursuing strategic alternatives, together with our existing cash and cash equivalents, will enable us to fund our operating expenses and capital expenditure requirements for at least the next 12 months, we may need to raise additional capital through public or private equity or debt financings or other sources, such as strategic collaborations sooner than expected or otherwise implement additional cost-saving initiatives.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640" w:val="left"/>
          <w:tab w:leader="none" w:pos="1060" w:val="left"/>
          <w:tab w:leader="none" w:pos="1780" w:val="left"/>
          <w:tab w:leader="none" w:pos="2280" w:val="left"/>
          <w:tab w:leader="none" w:pos="3020" w:val="left"/>
          <w:tab w:leader="none" w:pos="3420" w:val="left"/>
          <w:tab w:leader="none" w:pos="4260" w:val="left"/>
        </w:tabs>
        <w:rPr>
          <w:sz w:val="20"/>
          <w:szCs w:val="20"/>
          <w:color w:val="auto"/>
        </w:rPr>
      </w:pPr>
      <w:r>
        <w:rPr>
          <w:rFonts w:ascii="Times New Roman" w:cs="Times New Roman" w:eastAsia="Times New Roman" w:hAnsi="Times New Roman"/>
          <w:sz w:val="18"/>
          <w:szCs w:val="18"/>
          <w:color w:val="auto"/>
        </w:rPr>
        <w:t>delay</w:t>
        <w:tab/>
        <w:t>or</w:t>
        <w:tab/>
        <w:t>curtail</w:t>
        <w:tab/>
        <w:t>our</w:t>
        <w:tab/>
        <w:t>efforts</w:t>
        <w:tab/>
        <w:t>to</w:t>
        <w:tab/>
        <w:t>develop</w:t>
      </w:r>
      <w:r>
        <w:rPr>
          <w:sz w:val="20"/>
          <w:szCs w:val="20"/>
          <w:color w:val="auto"/>
        </w:rPr>
        <w:tab/>
      </w:r>
      <w:r>
        <w:rPr>
          <w:rFonts w:ascii="Times New Roman" w:cs="Times New Roman" w:eastAsia="Times New Roman" w:hAnsi="Times New Roman"/>
          <w:sz w:val="17"/>
          <w:szCs w:val="17"/>
          <w:color w:val="auto"/>
        </w:rPr>
        <w:t>system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product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enhancements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products,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including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48" w:lineRule="exact"/>
        <w:rPr>
          <w:sz w:val="20"/>
          <w:szCs w:val="20"/>
          <w:color w:val="auto"/>
        </w:rPr>
      </w:pPr>
    </w:p>
    <w:p>
      <w:pPr>
        <w:sectPr>
          <w:pgSz w:w="11900" w:h="16838" w:orient="portrait"/>
          <w:cols w:equalWidth="0" w:num="9">
            <w:col w:w="560" w:space="420"/>
            <w:col w:w="4780" w:space="260"/>
            <w:col w:w="560" w:space="260"/>
            <w:col w:w="1020" w:space="260"/>
            <w:col w:w="160" w:space="260"/>
            <w:col w:w="300" w:space="260"/>
            <w:col w:w="660" w:space="280"/>
            <w:col w:w="680" w:space="260"/>
            <w:col w:w="260"/>
          </w:cols>
          <w:pgMar w:left="320" w:top="121"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clinical trials that may be required to market such enhancements;</w:t>
      </w:r>
    </w:p>
    <w:p>
      <w:pPr>
        <w:sectPr>
          <w:pgSz w:w="11900" w:h="16838" w:orient="portrait"/>
          <w:cols w:equalWidth="0" w:num="1">
            <w:col w:w="11240"/>
          </w:cols>
          <w:pgMar w:left="320" w:top="121" w:right="339" w:bottom="1440" w:gutter="0" w:footer="0" w:header="0"/>
          <w:type w:val="continuous"/>
        </w:sectPr>
      </w:pPr>
    </w:p>
    <w:p>
      <w:pPr>
        <w:spacing w:after="0" w:line="179"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restricted by covenants in the MSLP Loan, the Loan and the Security Agreement (as defined below), the Madryn Security Agreement and the EW Convertible Note. These covenants restrict, among other things, our ability to incur additional indebtedness, which may limit our ability to obtain additional debt financing.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years ended December 31, 2024 and 2023, 69% and 65%, respectively, of our global revenues were denominated in U.S. dollars and our reporting currency was the U.S. dollar. We pay a meaningful portion of our expenses in New Israeli Shekels (“NIS”), Canadian Dollars (“CAD”), and other foreign currencies. Expenses in NIS and CAD accounted for 20% and 18%, respectively, of our expenses for the year ended December 31, 2024, and 26% and 16%, respectively, of our expenses for the year ended December 31, 2023.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and we may be exposed to material adverse effects from such movements. We cannot predict any future trends in the rate of inflation in Israel or the rate of devaluation (if any) of the U.S. dollar or any other currency against the NIS or CAD.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The impact of economic uncertainty on our industry may vary from region to region.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to forecast our future performance and our financial results may fluctuate unpredictably.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rapid evolution of the markets for medical technologies and aesthetic products makes it difficult for us to predict our future performance. Several factors, many of which are outside of our control, may contribute to fluctuations in our financial results, such as:</w:t>
      </w:r>
    </w:p>
    <w:p>
      <w:pPr>
        <w:spacing w:after="0" w:line="143"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variations in market demand for our systems and services from quarter to quarter;</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of our customers to obtain the necessary financing or access capital;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performance of new functionalities and system updates;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performance of third-party distributors, manufacturers or suppliers;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positive or negative media coverage of our systems, positive or negative patient experiences, the procedures or products of our competitors, or our industry generally;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maintain our current, or obtain further, regulatory clearances, approvals or CE Certificates of Conformity;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seasonal or other variations in patient demand for aesthetic procedures;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introduction of new medical aesthetic procedures or products and services that compete with our products and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compete generally with medical technology and aesthetic companies, including those offering products and products unrelated to skin treatment. Aesthetic industry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Our indirect competition in the hair restoration market also includes non-surgical treatments for hair loss, such as prescription therapeutics, including Propecia, and non-prescription remedies, such as wigs, hair pieces and spray-on applications. Some of these companies have greater resources than we do,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Surgical alternatives to the ARTAS System may be able to compete more effectively than the ARTAS procedure in established practices with trained staff and workflows built around performing these surgical alternatives. Practices experienced in offering FUT Strip Surgery or Manual FUE using hand-held devices may be reluctant to incorporate or convert their practices to offer ARTAS procedures due to the effort involved to make such changes. These alternative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aesthetic equipment market is characterized by rapid innovation. Our inability to develop and/or acquire new products and services, obtain regulatory clearance and maintain regulatory compliance, market new products successfully, and identify new markets for our technology may cause us to fail to compete effectively.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innovate and commercialize new products or enhancements,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distributors to market and sell our systems in certain markets.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direct sales and marketing forces, we currently depend on third-party distributors to sell, market, and service our systems in certain markets outside of North America and to train our customers in these markets. For the years ended December 31, 2024 and 2023, we generated 13% and 8%, respectively, of our systems revenues from sales made through third-party distributors. Our agreements with third-party distributors set forth minimum quarterly purchase commitments required for each distributor and provide the distributor the right to distribute our systems within a designated territory. If we continue to expand into new markets outside of North America, we will need to engage additional third-party distributors which exposes us to a number of risks, including:</w:t>
      </w:r>
    </w:p>
    <w:p>
      <w:pPr>
        <w:spacing w:after="0" w:line="169"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lack of day-to-day control over the activities of third-party distributors;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not commit the necessary resources to market, sell, train, support and service our systems to the level of our expectations;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emphasize the sale of third-party products over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line="234" w:lineRule="auto"/>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not be as selective as we would be in choosing customers to purchase our systems or as effective in training those customers in marketing and patient selection;</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third-party distributors may violate applicable laws and regulations, which may limit our ability to sell products in certain markets; and</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senior management and key employees to operate our business. Changes to management or the inability to recruit, hire, train and retain qualified personnel, could harm our ability to successfully manage, develop and expand our business, which could impair our future revenue and profitability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on the skills, experience and efforts of our senior management and other key employees, the majority of whom are employed on an “at will” basis. The loss of any of our senior management and other key employees could weaken our management expertise and harm our business, and it may not be able to find adequate replacements on a timely basis, or at all. Any of our senior management and other key employees may terminate their employment at any time, with or without notice and their knowledge of our business and industry may be difficult to replace.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attract and retain personnel on acceptable terms given the competition for such personnel among technology and healthcare companies and universities. The loss of, or our inability to attract, train and retain qualified personnel could harm our business and our ability to compete and become profitable.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other risks associated with international sales and operations could adversely affect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 markets outside of the United States accounted for approximately 41% of our revenue for the year ended December 31, 2024 and 43% of our revenue for the year ended December 31, 2023. In addition, the majority of our research and development activities and the manufacture of our systems are located outside of the United States. As a result of our international business, we are subject to a number of risks, including:</w:t>
      </w:r>
    </w:p>
    <w:p>
      <w:pPr>
        <w:spacing w:after="0" w:line="157"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competition as a result of more products and procedures receiving regulatory approval or otherwise free to market in international markets;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import and export restrictions, trade regulations, and non-U.S. tax laws;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to import and export tariffs stemming from protectionist measures;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6"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customs clearance and shipping delays;</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social, and economic instability abroad, terrorist attacks, and security concerns in general and uncertainties related to the coronavirus;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preference for locally manufactured products;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one or more of these risks were realized, it could require us to dedicate significant financial and managerial resources, and our results of operations and financial condition could be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cost-effective manner.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third-party contract manufacturers in Karmiel, Israel, Mazet, France, and San Jose, California for the manufacture of the majority of our systems. Other than with respect to the ARTAS iX System and diode stacks for certain of our devices,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180" w:lineRule="exact"/>
        <w:rPr>
          <w:sz w:val="20"/>
          <w:szCs w:val="20"/>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and suppliers may be subject to price fluctuations due to a lack of long-term supply arrangements for key components;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and suppliers may be subject to, directly and indirectly, import or export tariffs imposed under protectionist measures;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contract manufacturers and suppliers may lose access to critical services and components, resulting in an interruption in the manufacture, assembly and shipment of our systems;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experience delays in delivery by our contract manufacturers and suppliers due to changes in demand from us or their other customers;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demand for systems that our contract manufacturers and suppliers manufacture for others may affect their ability or willingness to deliver components to us in a timely manner;</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suppliers or those of our contract manufacturers may wish to discontinue supplying components or services to us for risk management reasons;</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contract manufacturers and suppliers may encounter financial hardships unrelated to our demand, which could inhibit their ability to fulfill its orders and meet our requirements.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the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our manufacturing of certain of our systems and NPI’s manufacturing of the ARTAS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NPI, as the case may be, rely on several sole source suppliers for certain components of the ARTAS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to meet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and given the uncertainty with respect to the tariffs, if any, the new US Federal administration will levy on goods imported from China and other international jurisdictions, access to our existing supply chain may be become impaired, which could result in manufacturing delays and inventory shortages. If we are required to transition to new third-party suppliers for certain components of our systems or our ARTAS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 procedure kits until new sources of supply are identified and qualified. In addition, the use of components or materials furnished by these alternative suppliers could require us to alter our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reliance on these suppliers subjects us to a number of risks that could harm our reputation, business, and financial condition, including, among other things, a lack of long-term supply arrangements for key components with our suppliers, difficulty and cost associated with locating and qualifying alternative suppliers for our components in a timely manner, production delays related to the evaluation and testing of products from alternative suppliers, and corresponding regulatory qualifications, delay in delivery due to our suppliers prioritizing other customer orders over ours, damage to our reputation caused by defective components produced by our suppliers, and increased cost of our warranty program due to product repair or replacement based upon defects in components produced by our suppliers.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practicable, we are seeking, or intending to seek, second-source manufacturers for certain of our components. However, we cannot provide assurances that we will be successful in establishing second-source manufacturers or that the second-source manufacturers will be able to satisfy commercial demand for our systems. 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169" w:lineRule="exact"/>
        <w:rPr>
          <w:sz w:val="20"/>
          <w:szCs w:val="20"/>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decreased demand for our systems, or any future systems or services;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damage to our reputation;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clinical trial participants;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to defend the related litigation;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diversion of management’s time and our resources;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substantial monetary awards to customers, patients or clinical trial participants;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revenue;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commercialize future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 parties have sought in the past, and in the future may seek, to reverse engineer or develop counterfeit products that are substantially similar or compatible with our systems and available to practitioners at lower prices than our own.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Despite our cybersecurity measures, it is possible for security vulnerabilities to remain undetected for an extended time period, up to and including several years. While we have experienced, and expect to continue to experience, threats and disruptions to the Company’s information technology infrastructure, none of them to date has had a material impact to the Company.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and may be subject to financial liability to the extent we are not in compliance with privacy laws to which we are subject at the time of a breach. We could also be exposed to a risk of loss or litigation and potential liability, which could materially adversely affect our business, results of operations and financial condition.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obtain 510(k) clearance for certain of our systems,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pre-clinical or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data we collect from our pre-clinical studies and clinical trials may not be sufficient to support the FDA clearance or approval, and if we are unable to demonstrate the safety and efficacy of our future products in our clinical trials, we will be unable to obtain regulatory clearance or approval to market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estimate and publicly announce the anticipated timing of the accomplishment of various clinical, regulatory and other product development goals, which are often referred to as milestones.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Delays in the commencement or completion of clinical testing could significantly affect our product development costs. The commencement and completion of clinical trials can be delayed or terminated for a number of reasons, including delays or failures related to:</w:t>
      </w:r>
    </w:p>
    <w:p>
      <w:pPr>
        <w:spacing w:after="0" w:line="143"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FDA or comparable foreign regulatory authorities disagreeing as to the level of risk, design or implementation of our clinical studies;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regulatory approval to commence a clinical trial;</w:t>
      </w:r>
    </w:p>
    <w:p>
      <w:pPr>
        <w:spacing w:after="0" w:line="224" w:lineRule="exact"/>
        <w:rPr>
          <w:rFonts w:ascii="Times New Roman" w:cs="Times New Roman" w:eastAsia="Times New Roman" w:hAnsi="Times New Roman"/>
          <w:sz w:val="22"/>
          <w:szCs w:val="22"/>
          <w:color w:val="auto"/>
        </w:rPr>
      </w:pPr>
    </w:p>
    <w:p>
      <w:pPr>
        <w:ind w:left="980" w:right="20" w:hanging="486"/>
        <w:spacing w:after="0" w:line="234" w:lineRule="auto"/>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manufacturing sufficient quantities of a product for use in 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institutional review board, or IRB, or ethics committees’ approval to conduct a clinical trial at each prospective site;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recruiting and enrolling patients and maintaining their participation in 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having clinical sites observe trial protocol or continue to participate in a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addressing any patient safety concerns that arise during the course of a clinical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addressing any conflicts with new or existing laws or regulations;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143"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conduct the clinical trial in accordance with applicable regulatory requirements or our clinical protocols;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inability of a clinical investigator or clinical trial site to continue to participate in the clinical trial;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safety issues, governmental regulation or adverse side effects;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demonstrate a benefit from using the product;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ours, which could adversely affect our ability to compete in the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is dependent in part on obtaining, maintaining, retaining and enforcing our intellectual property rights, including our patents and the patents we exclusively license.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protect our proprietary information and technology through nondisclosure agreements, noncompetition covenants, and other contractual provisions and agreements, as well as through patent, trademark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obtained and maintained our existing patents, sought to diligently prosecute our existing patent applications, and sought to file patent applications and obtain additional patents and other intellectual property rights to restrict the ability of others to market products that compete with our current and future products. As of December 31, 2024, the Company’s patent portfolio was comprised of 16 issued U.S. patents, 8 pending U.S. patent applications, 31 issued foreign counterpart patents, and 12 pending foreign counterpart patent applications relating to the (MP)2, fractional RF and Ai.ME, and Directional Skin Tightening technology (including cellulite treatments), 4 issued foreign patents covering the NeoGraft system and its methods of use, and 92 issued U.S. patents, 176 issued foreign counterpart patents, and 4 pending foreign counterpart patent applications relating to the ARTAS System and methods of use.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United States.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United States,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given time, we may be involved as either a plaintiff or a defendant in a number of patent infringement actions, the outcomes of which may not be known for prolonged periods of time. The large number of patents, the rapid rate of new patent applications and issuances, the complexities of the technologies involved, and the uncertainty of litigation significantly increase the risks related to any patent litigation. Any potential intellectual property litigation may (i) force us to withdraw existing products from the market or may be unable to commercialize one or more of our products, (ii) cause us to incur substantial costs, and (iii) could place a significant strain on our financial resources, divert the attention of management from our core business and harm our reputation.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these technologies and any loss of our rights to them could prevent us from selling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rights to use the technology we license are subject to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devices and our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systems are regulated as medical devices subject to extensive regulation in the United States and elsewhere, including by the FDA and its foreign counterparts. The FDA and foreign regulatory agencies regulate, among other things, with respect to medical devices:</w:t>
      </w:r>
    </w:p>
    <w:p>
      <w:pPr>
        <w:spacing w:after="0" w:line="162"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3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clinical trials;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safety;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marketing, sales and distribution;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premarket clearance and approval;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record keeping procedures;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advertising and promotion;</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recalls and field safety corrective actions;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post-market approval studies;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after we have obtained the proper regulatory clearance or approval to market a product, we have ongoing responsibilities under the FDA regulations. The failure to comply with applicable regulations could jeopardize our ability to sell our systems and result in enforcement actions such as fines, injunctions, civil penalties, recalls or seizure of products, withdrawal of current clearances, and refusal of future clearances.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harm our reputation,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maintain regulatory approval in foreign jurisdictions in which we plan to market and sell our systems. In the EEA, for example, manufacturers of medical devices need to comply with the Essential Requirements laid down in Annex II to the EU Medical Devices Directive (Council Directive 93/42/EEC) and the MDR which is replacing the EU Medical Devices Directive. Compliance with these requirements is a prerequisite to be able to affix the CE mark to medical devices, without which they cannot be marketed or sold in the EEA.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off-label use in both the United States and in foreign countries. The use of one of our systems for indications other than those cleared by the FDA or approved by any foreign regulatory body may not effectively treat such conditions, which could harm our reputation in the marketplace among physicians and patients.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may cause or contribute to adverse medical events that we are required to report to the FDA, and if we fail to do so, we would be subject to sanctions that could harm our reputation,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medical device reporting regulations require us to report to the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state regulating agencies at times,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have received inquiries from regulatory agencies regarding post-market safety concerns in the past.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international regulatory registrations or approvals for our systems, our ability to market and sell our systems outside of the United States will be diminished.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 of our systems, outside the United States, are subject to foreign regulatory requirements that vary widely from country to country. In addition, the FDA regulates exports of medical devices from the United States.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the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processes and facilities are required to comply with the quality management system regulations of its target markets (i.e., the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Regulating agencies, including the FDA, foreign regulatory authorities, and our notified body can institute a wide variety of enforcement actions, ranging from inspectional observations to more severe sanctions such as:</w:t>
      </w:r>
    </w:p>
    <w:p>
      <w:pPr>
        <w:spacing w:after="0" w:line="173"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untitled letters or warning letters;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clinical holds;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administrative or judicially imposed sanctions;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injunctions, fines, consent decrees, or the imposition of civil penalties;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notifications for repair, replacement, or refunds;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 detention, or seizure of products;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restrictions, or total or partial suspension of production or distribution;</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by the FDA, a foreign regulatory authority or the notified body to grant pending future clearance or pre-market approval, or to issue CE Certificates of Conformity for our devices;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debarment of us or our employees;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or suspension of marketing clearances, approvals, and CE Certificates of Conformity;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permit the import or export of our products;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criminal prosecution of us or our employees.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facilities and key third-party suppliers are located in northern Israel, and some of our key employees are residents of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political, economic and military conditions in Israel may directly affect our business.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While these restrictions are loosening and countries previously barred from doing business with Israel are eliminating these restrictions, to the extent they still exist, these restrictions may limit our revenues.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the October 2023 attack by Hamas and other terrorist organizations on Israel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the Israeli population and industrial centers located along the Israeli border with the Gaza Strip. Shortly following the attack, Israel’s security cabinet declared war against Hamas. While a proposed armistice and hostages/prisoners exchange to end the Israel-Hamas war was agreed to by Israel and Hamas on January 15, 2025, and came into effect on January 19, 2025, the intensity, duration and impact of Israel’s current war against Hamas and the corresponding geopolitical instability in the region is difficult to predict, as are the war’s economic implications on the Company’s business and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armed conflict. Iran is also believed to have a strong influence over various proxy militias across the Middle East, and among the Syrian government, Hamas and Hezbollah, in addition to its readiness to engage in conflict with Israel directly. These situations may potentially escalate in the future into more violent events which may affect Israel and us. These situations, including conflicts which involved missile strikes against civilian and military targets in various parts of Israel may negatively impact the Company’s operations in Israel.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are within the range of rockets that have been launched from surrounding territories, though none of our operations or those of our manufacturers have been impacted to date.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be assured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because of the obligation of Israeli citizens to perform military service.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Annual Report,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2023, we received a notice (the “Notice”) from Nasdaq stating that our stockholders’ equity as reported in our Quarterly Report on Form 10-Q for the period ended March 31, 2023 was below the minimum $2,500,000 required for continued listing under Nasdaq Listing Rule 5550(b)(1) (“Minimum Equity Requirement”).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4, 2024, the Company was formally notified by Nasdaq that the Company had regained compliance with the stockholders’ equity Minimum Equity Requirement.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 “Mandatory Panel Monitor,” as defined in Nasdaq Listing Rule 5815(d)(4)(B), through June 4, 2025. If the Company is found to be noncompliant with the Minimum Equity Requirement within the monitoring period, the Company would not be allowed to provide the Nasdaq Listing Qualifications Staff with a plan to regain compliance with the Minimum Equity Requirement; rather, the Nasdaq Listing Qualifications Staff would be required to issue a delist determination. In such case, the Company would have the opportunity to request a new hearing before the Panel, which request would stay any further action by the Nasdaq Listing Qualifications Staff until the time of the hearing.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as required for continued listing under Listing Rule 5550(a)(2).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the Initial Compliance Date, to regain compliance with the Minimum Bid Price Requirement. The Company did not regain compliance with the Bid Price Requirement by the Initial Compliance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 to Nasdaq Listing Rule 5810(c)(3)(H).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2025, the Company effected a 1-for-11 reverse stock split (the “Reverse Stock Split”) of the Company’s issued and outstanding common stock, par value $0.0001 per share by the filing of a Certificate of Amendment of Certificate of Incorporation with the Secretary of State of the State of Delaware pursuant to the Delaware General Corporation Law. The Reverse Stock Split became effective at 5:00 p.m. Eastern Time on March 3, 2025, and began trading on a Reverse Stock Split-adjusted basis as of the opening of the Nasdaq Capital Market on March 4, 2025. On March 18, 2025, the Company received a notice from Nasdaq stating that the Company had regained compliance with the Bid Price Requirement.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the Minimum Bid Price or Minimum Equity Requirement, our shareholders could face significant adverse consequences, including:</w:t>
      </w:r>
    </w:p>
    <w:p>
      <w:pPr>
        <w:spacing w:after="0" w:line="143" w:lineRule="exact"/>
        <w:rPr>
          <w:sz w:val="20"/>
          <w:szCs w:val="20"/>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liquidity of our common stock;</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limited amount of news analysts’ coverage of us;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ectPr>
          <w:pgSz w:w="11900" w:h="16838" w:orient="portrait"/>
          <w:cols w:equalWidth="0" w:num="1">
            <w:col w:w="11240"/>
          </w:cols>
          <w:pgMar w:left="320" w:top="121" w:right="339" w:bottom="114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price may be volatile, and you may not be able to resell shares of our common stock at or above the price you paid.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Some of the factors that may cause the market price of the Company’s common stock to fluctuate include:</w:t>
      </w:r>
    </w:p>
    <w:p>
      <w:pPr>
        <w:spacing w:after="0" w:line="162" w:lineRule="exact"/>
        <w:rPr>
          <w:sz w:val="20"/>
          <w:szCs w:val="20"/>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uncertainties relating to potential strategic alternatives or any strategic transaction, including actual or perceived adverse developments in this process or the announcement or pendency of any such transaction;</w:t>
      </w:r>
    </w:p>
    <w:p>
      <w:pPr>
        <w:spacing w:after="0" w:line="199"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introduction of new products, services or technologies, significant contracts, commercial relationships or capital commitments by competitors;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meet or exceed financial and development projections the Company may provide to the public;</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the Company or its competitors;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additions or departures of key personnel;</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lawsuits or government investigations, including patent or stockholder litigation;</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securities or industry analysts do not publish research or reports about the Company’s business, or if they issue adverse or misleading opinions regarding our business and stock;</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market or macroeconomic conditions;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common stock by us or our stockholders in the future;</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trading volume of our common stock;</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publicity relating to hair restoration or other minimally invasive or non-invasive medical aesthetic procedures generally, including with respect to other products in such markets;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introduction of technological innovations that compete with the products and services of the Company;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period-to-period fluctuations in the Company’s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SEC rules, we are a smaller reporting company and we have taken advantage of certain exemptions from disclosure requirements available to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 rules, we qualify as, a "smaller reporting company". We have taken advantage of certain exemptions from various reporting requirements that are applicable to other public companies that are not smaller reporting companies including, but not limited to, not being required to comply with the auditor attestation requirements of Section 404(b) of the Sarbanes-Oxley Act, because of our non-accelerated filer status, and reduced disclosure obligations regarding executive compensation in our periodic reports and proxy statements.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achieve a return on their investment will depend on appreciation in the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for the foreseeable future. We intend to invest our future earnings, if any, to fund our growth. Payment of future cash dividends, if any, will be at the discretion of the Board, subject to applicable law and will depend on various factors, including our financial condition, operating results, current and anticipated cash needs, the requirements of current or then-existing debt instruments and other factors the Board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more difficult and may discourage any takeover attempts our stockholders may consider favorable, and may lead to entrenchment of management.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These provisions will include the following:</w:t>
      </w:r>
    </w:p>
    <w:p>
      <w:pPr>
        <w:spacing w:after="0" w:line="162" w:lineRule="exact"/>
        <w:rPr>
          <w:sz w:val="20"/>
          <w:szCs w:val="20"/>
          <w:color w:val="auto"/>
        </w:rPr>
      </w:pPr>
    </w:p>
    <w:p>
      <w:pPr>
        <w:ind w:left="980" w:hanging="486"/>
        <w:spacing w:after="0" w:line="234"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exclusive right of the Board to elect a director to fill a vacancy created by the expansion of the Board or the resignation, death or removal of a director, which prevents stockholders from being able to fill vacancies on the Board;</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81"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the Board to alter its bylaws without obtaining stockholder approval;</w:t>
      </w:r>
    </w:p>
    <w:p>
      <w:pPr>
        <w:spacing w:after="0" w:line="95" w:lineRule="exact"/>
        <w:rPr>
          <w:rFonts w:ascii="Times New Roman" w:cs="Times New Roman" w:eastAsia="Times New Roman" w:hAnsi="Times New Roman"/>
          <w:sz w:val="22"/>
          <w:szCs w:val="22"/>
          <w:color w:val="auto"/>
        </w:rPr>
      </w:pPr>
    </w:p>
    <w:p>
      <w:pPr>
        <w:ind w:left="980" w:hanging="486"/>
        <w:spacing w:after="0" w:line="301"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112"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the stockholders;</w:t>
      </w:r>
    </w:p>
    <w:p>
      <w:pPr>
        <w:spacing w:after="0" w:line="199" w:lineRule="exact"/>
        <w:rPr>
          <w:rFonts w:ascii="Times New Roman" w:cs="Times New Roman" w:eastAsia="Times New Roman" w:hAnsi="Times New Roman"/>
          <w:sz w:val="22"/>
          <w:szCs w:val="22"/>
          <w:color w:val="auto"/>
        </w:rPr>
      </w:pPr>
    </w:p>
    <w:p>
      <w:pPr>
        <w:jc w:val="both"/>
        <w:ind w:left="980" w:hanging="486"/>
        <w:spacing w:after="0" w:line="239"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the chief executive officer, the president or the Board, which may delay the ability of the stockholders to force consideration of a proposal or to act, including the removal of directors; and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980" w:hanging="486"/>
        <w:spacing w:after="0" w:line="239" w:lineRule="auto"/>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would apply even if we were to receive an offer that some stockholders may consider beneficial.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(“Section 203”). Under Section 203, a corporation may not, in general, engage in a business combination with any holder of 15% or more of its capital stock unless the holder has held the stock for three years or, among other exceptions, the Board has approved the transaction.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certain of our shareholders who are affiliated with our directors, in the aggregate, beneficially own approximately 25%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This concentration of voting power could delay or prevent an acquisition of the Company on terms that other stockholders may desire.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time-to-time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0" w:lineRule="exact"/>
        <w:rPr>
          <w:sz w:val="20"/>
          <w:szCs w:val="20"/>
          <w:color w:val="auto"/>
        </w:rPr>
      </w:pPr>
    </w:p>
    <w:p>
      <w:pPr>
        <w:spacing w:after="0" w:line="26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We recognize the critical importance of maintaining the safety and security of our systems and data and have a holistic process for overseeing and managing cybersecurity and related risks. This process is supported by both management and our Board. As such, we are committed to maintaining robust governance and oversight of these risks and to implementing mechanisms, controls, technologies, and processes designed to help us assess, identify, and manage these risks. While we have not, as of the date of this Annual Report, experienced a “cybersecurity threat” (as defined in Item 106(a) of Regulation S-K) or “cybersecurity incident” (as defined in Item 106(a) of Regulation S-K) that has materially affected or was reasonably likely to materially affect the Company, including our business strategy, results of operations, or financial condition, there can be no guarantee that we will not experience such a cybersecurity threat or cybersecurity incident in the future. Such threats or incidents, whether or not successful, could result in us incurring significant costs related to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potentially incurring significant reputational harm. In addition, these cybersecurity threats are constantly evolving, thereby increasing the difficulty of successfully defending against them or implementing adequate preventative measures. Our cybersecurity program is designed to detect and investigate cybersecurity threats against our network, products, and services, and to prevent their occurrence and recurrence through changes or updates to our internal processes and tools and changes or updates to our products and services; however, we remain potentially vulnerable to known or unknown cybersecurity threats. In some instances, we, our suppliers and our customers can be unaware of a cybersecurity threat or cybersecurity incident or its magnitude and effects. Further, there is increasing regulation regarding responses to cybersecurity incidents, including reporting to regulators, which could subject us to additional liability and reputational harm.</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aim to incorporate industry best practices throughout our cybersecurity program. To this end, the Company has recently implemented a series of upgrades to its firewalls, improved its network configuration, augmented its managed detection and response services, and implemented the use of new logging tools to network connected devices. Our cybersecurity program focuses on implementing effective and efficient controls, technologies, and other processes to assess, identify, and manage material cybersecurity risks. Our cybersecurity program is designed to be aligned with applicable industry standards and is assessed periodically by independent third-party auditors. We have processes in place to assess, identify, manage, and address material cybersecurity threats and cybersecurity incidents. These include, among other things: ongoing security awareness training for our employees; mechanisms to detect and monitor unusual network activity; and containment and incident response tools. We actively engage with industry groups for benchmarking and awareness of best practices. We monitor potential cybersecurity threats that are internally discovered or externally reported to us that may affect our business and have processes to assess those issues for potential cybersecurity impact or risk. We also have a process in place to manage cybersecurity risks associated with third-party service providers. All transactions with third parties are conducted through secure gateways with access being controlled solely by the Company.</w:t>
      </w:r>
    </w:p>
    <w:p>
      <w:pPr>
        <w:spacing w:after="0" w:line="18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We describe how risks from identified cybersecurity threats, including as a result of any previous cybersecurity incidents, have materially affected or are reasonably likely to materially affect us, including our business strategy, results of operations, or financial condition, in Item 1A. Risk Factors – Security breaches and other disruptions could compromise our information and expose us to liability of this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Director, Information Technology (the “DIT”) and Chief Legal Officer have primary responsibility for assessing and managing material cybersecurity risks and are members of management’s IT steering committee, which is comprised of a cross-functional team that consists, in part, of the executive team and certain members of the senior leadership team (the “Steering Committee”), which is a committee that drives alignment on information technology security decisions across the Company. The Steering Committee meets quarterly, or more frequently as determined to be necessary or advisable, to review security performance metrics, identify security risks, and assess the status of approved security enhancements. The Steering Committee also considers and makes recommendations on security policies and procedures, security service requirements, and risk mitigation strategies. The Steering Committee also receives prompt and timely information regarding any cybersecurity incident that meets established reporting thresholds, as well as ongoing updates regarding any such incident until it has been addressed from members of the Information Technology team. Once the Steering Committee has considered this information and recommended a course of action, senior executives provide the Board with updates concerning cybersecurity risks and the Company's cybersecurity strategies and objectives.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Steering Committee, the Company has formed a cybersecurity subcommittee of the Steering Committee, whose mission is to enhance the reporting, governance and where-necessary, response to cybersecurity incidents and thereby reduce the prevalence and potential harm to the Company and its investors caused by a cybersecurity incident.</w:t>
      </w:r>
    </w:p>
    <w:p>
      <w:pPr>
        <w:spacing w:after="0" w:line="16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Our DIT has served in various roles in information technology and information security for over 20 years, delivering and managing complex information technology systems including the cybersecurity function for governments, industry leaders and public companies. Our DIT holds an undergraduate degree from Tel Aviv University and a postgraduate degree from the London School of Economics. Our Chief Legal Officer has over 14 years of experience managing risks, including risks arising from cybersecurity threats, at other publicly traded companies.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and management. Our Board has ultimate oversight of cybersecurity risk, which it manages as part of our enterprise risk management program. That program is utilized in making decisions with respect to company priorities, resource allocations, and oversight structures. The Board is assisted by the Audit Committee, which is responsible for the oversight of risks from cybersecurity threats and regularly reviews our Company’s risk matrices, including cybersecurity, with management and reports to the Board. Cybersecurity reviews by the Audit Committee or the Board generally occur at least annually, or more frequently as determined to be necessary or advisable. Our Board members also engage in ad hoc conversations with management on cybersecurity-related news events and discuss any updates to our cybersecurity risk management and strategy programs. As noted above, if a significant cybersecurity incident occurs, the Steering Committee will report same promptly to the Board on an ad hoc and as-needed basis. Otherwise, management reports cybersecurity risks and developments to the Board quarterly.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warehouse space.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a facility in San Jose, California which hosts our offices, research and development activities, logistics and manufacturing. We lease these facilities pursuant to a lease agreement that expires July 14, 2027. The facilities consist of approximately 30,011 square feet of total space.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a facility in Davie, Florida, which is used to support our logistics and technical support services for our United States operations. We lease these facilities pursuant to a lease agreement that expires November 30, 2025. The facilities consist of approximately 4,733 square feet of total space.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offices and a research and development center located at 1 Hamelacha Street, Yokne’am Illit 2069200, Israel. We lease these facilities pursuant to a lease agreement that expires on September 30, 2025, with an option to extend the term for an additional 12 months. These facilities consist of approximately 530 square meters of total space.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sufficient to meet our current needs.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not party to any material active or pending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“VERO”.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2025, there were 71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and will depend on our financial condition, operating results, capital requirements, general business conditions and other factors that the Board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historical consolidated financial statements and the notes thereto included in Part II, Item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discussion contains forward-looking statements within the meaning of the U.S. Private Securities Litigation Reform Act of 1995 that reflect our plans, estimates and beliefs and involve numerous risks and uncertainties, including but not limited to those described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this Annual Report. Any statements contained in this Annual Report that are not historical facts may be deemed to be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In some cases, you can identify these statements by words such as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similar expressions that are predictions of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may turn out to be inaccurate or may differ materially from those contained in any forward-looking statements. You should carefully read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Any forward-looking statement made by us in this Annual Report is based only on information currently available to us and speaks only as of the date on which it is made. We undertake no obligation to publicly update any forward-looking statement, whether written or verbal, that may be made from time to time, whether as a result of new information, future developments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general practitioners and aesthetic medical spas. In 2024 and 2023,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December 31, 2024 and 2023, we had an accumulated deficit of $308.9 million and $261.9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December 31, 2024 and 2023, we had cash and cash equivalents of $4.3 million and $5.4 million,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Capital Fund LLC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Subsequent to execution of the 2022 LPC Purchase Agreement the Company issued approximately 39.5 thousand shares of common stock to Lincoln Park at an average price of $49.94 per share, for a total value of $1.97 million through December 31, 2022. During the twelve months ended December 31, 2023, the Company issued an additional 31.1 thousand shares of common stock to Lincoln Park at an average price of $35.53 per share, for a total value of $1.1 million. During 2024, the Company issued an additional 758 shares of common stock to Lincoln Park at an average price of $12.76 per share, for a total value of $10. The 2022 LPC Purchase Agreement expired on August 1, 2024.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2022, we entered into a securities purchase agreement with certain investors (collectively, the "2022 Investors") pursuant to which the Company issued and sold to the 2022 Investors an aggregate of 10,608 shares of common stock, par value $0.0001 per share, and 3,185,000 shares of voting convertible preferred stock, par value $0.0001 per share (the "Voting Preferred Stock"), which are convertible into 193,014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and together with the First Placement, Second Placement and Third Placement, the "Placements").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used the proceeds of the Placements, after the payment of transaction expenses, for general working capital purposes. The accounting effects of the 2023 Multi-Tranche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an Exchange Agreement (the "2023 Exchange Agreement") with the Madryn Noteholders, pursuant to which the Madryn Noteholders agreed to exchange $26,695,110.58 in aggregate principal amount outstanding under the Notes for (i) $22,791,748.32 in aggregate principal amount of new secured convertible notes of the Company and (ii) 248,755 shares of newly-created convertible preferred stock of the Company, par value $0.0001 per share designated as "Series X Convertible Preferred Stock." The transaction is discussed in Note 15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in the notes to our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a securities purchase agreement (the "SPA") with certain institutional investors (each, a "2024 Investor"),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(the "2024 Investor Warrants"), at an initial exercise price of $14.74 per share (the "Offering").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 million and one or more delayed draw term loans of up to an additional principal amount of $2.8 million (the "Bridge Financing"). The Bridge Financing originally had a maturity date of May 26, 2024. Pursuant to the Loan and Security Agreement, each of the 2024 Guarantors, jointly and severally, guarantee, that the Obligations (as defined in the Loan and Security Agreement) will be performed and paid in full when due and payable.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26, 2024, September 11, 2024, and November 1, 2024 additional delayed draws in the amounts of $1.0 million were made, respectively. On November 26, 2024, an additional delayed draw of $1.2 million was made, and on December 9, 2024, an additional delayed draw of $1.5 million was made, for a total drawdown as of December 31, 2024 of $7.9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May 24, 2024 through December 31, 2024 the Loan Parties entered into Bridge Financing Amendments Two through Ten, which among other things, extended the maturity date to January 31, 2025, increased the delayed draw commitment from $2.8 million to $6.0 million, made interest payments payable-in-kind, deleted the net loss covenant, and granted relief from minimum liquidity requirements. These amendments are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Exchange Agreements and Series Y Convertible Preferred Stock Issuance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2024, the Company entered into an exchange agreement, by and among the Company, Venus USA, and Madryn (the "2024 Exchange Agreement") whereby the Company exchanged $52,142 in aggregate principal amount outstanding under the MSLP Loan Agreement for $17,142 in aggregate principal of new secured notes (“New Secured Notes”) and 576,986 shares of newly-created convertible preferred stock of the Company, designated as "Series Y Convertible Preferred Stock." The Series Y Convertible Preferred Stock is priced at $667.26 per share, being equal to the product of (i) the average closing price (as reflected on Nasdaq.com) of the Company's common stock for the five trading days immediately preceding date of the 2024 Exchange Agreement, multiplied by (ii) 9.0909. The New Secured Notes follow the same terms as the MSLP Loan Agreement. As part of the extinguishment of principal, the Company recognized a $10.9 million non-cash loss.</w:t>
      </w:r>
    </w:p>
    <w:p>
      <w:pPr>
        <w:sectPr>
          <w:pgSz w:w="11900" w:h="16838" w:orient="portrait"/>
          <w:cols w:equalWidth="0" w:num="1">
            <w:col w:w="11240"/>
          </w:cols>
          <w:pgMar w:left="320" w:top="121" w:right="339" w:bottom="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2024, the Company entered into an Exchange Agreement, by and among the Company, Venus USA, and Madryn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 Also, on September 26, 2024 the Loan Parties entered into a Third Loan Amendment which, among other things, (i) modify the October 2024 interest payment to be payable-in-kind, (ii) delete the net loss covenant, and (iii) grant relief from minimum liquidity requirements.</w:t>
      </w:r>
    </w:p>
    <w:p>
      <w:pPr>
        <w:spacing w:after="0" w:line="18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 xml:space="preserve">The transactions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right="20" w:hanging="315"/>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contracts directly,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traditional system sales and from sales under our internal financing programs, which are available to customers in North America and select international markets. Approximately 26% and 33% of our system revenues were derived from our internal financing programs in the year ended December 31, 2024 and 2023, respectively. We currently do not offer the ARTAS iX system under our internal financing programs.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40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operated directly in 12 international markets through our 10 direct offices in the United States, Canada, Japan,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year ended December 31, 2024, and 2023 were $64.8 million and $76.4 million, respectively. We had a net loss attributable to the Company of $47.0 million and $37.1 million in the year ended December 31, 2024, and 2023, respectively. We had an Adjusted EBITDA loss of $21.2 million and $20.3 million for the year ended December 31, 2024, and 2023, respectively.</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years presented: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98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gridSpan w:val="5"/>
          </w:tcPr>
          <w:p>
            <w:pPr>
              <w:ind w:left="2240"/>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Adjusted EBITDA</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2020" w:type="dxa"/>
            <w:vAlign w:val="bottom"/>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9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(37,050)</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2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(1)</w:t>
            </w:r>
          </w:p>
        </w:tc>
        <w:tc>
          <w:tcPr>
            <w:tcW w:w="2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(21,232</w:t>
            </w:r>
            <w:r>
              <w:rPr>
                <w:rFonts w:ascii="Times New Roman" w:cs="Times New Roman" w:eastAsia="Times New Roman" w:hAnsi="Times New Roman"/>
                <w:sz w:val="24"/>
                <w:szCs w:val="24"/>
                <w:color w:val="auto"/>
                <w:vertAlign w:val="subscript"/>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(20,263</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08" w:lineRule="auto"/>
        <w:tabs>
          <w:tab w:leader="none" w:pos="229" w:val="left"/>
        </w:tabs>
        <w:numPr>
          <w:ilvl w:val="0"/>
          <w:numId w:val="3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the years ended December 31, 2024 and December 31, 2023, the other adjustments are represented by restructuring activities designed to improve the Company's operations and cost structure.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programs. The following table sets forth the number of systems we have delivered in the geographic regions indicated:</w:t>
      </w:r>
    </w:p>
    <w:p>
      <w:pPr>
        <w:spacing w:after="0" w:line="1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w:t>
            </w:r>
          </w:p>
        </w:tc>
      </w:tr>
      <w:tr>
        <w:trPr>
          <w:trHeight w:val="249"/>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systems delivered</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distributor sales, and sales made under our internal financing programs. </w:t>
      </w:r>
      <w:r>
        <w:rPr>
          <w:rFonts w:ascii="Times New Roman" w:cs="Times New Roman" w:eastAsia="Times New Roman" w:hAnsi="Times New Roman"/>
          <w:sz w:val="18"/>
          <w:szCs w:val="18"/>
          <w:color w:val="auto"/>
        </w:rPr>
        <w:t>We deliver systems through (1) traditional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sales contracts to customers, (2) our internal financing programs, and (3) system sales through distribution agreements. Unit deliveries under direct system sales contracts and internally financed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internally financed sales have similar gross margins, cash collections on sales financed under our internal financing programs generally occur over a three-year period, with approximately 40% to 45% collected in the first year and the balance collected evenly over the remaining two years of the agreement. In the third quarter of 2022 we commenced an initiative to reduce our reliance on system sales sold under our internal financing programs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13 countries across Europe, Asia Pacific, Latin America and Africa and have increased our investment and focus in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years ended December 31, 2024 and 2023, respectively, we did not open any direct sales offices.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customers who purchased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under our internal financing programs who are unable to make the remaining payments required under their agreements. We continue to focus our selling efforts on cash sales and internal financing customers with a stronger credit profile, thereby reducing our exposure to credit losses. In the year ended December 31, 2024, we incurred bad debt expense of $1.4 million consistent to a bad debt expense of $1.4 million in the year ended December 31, 2023. As of December 31, 2024, our allowance for expected credit losses stands at $3.8 million which represents 12.2% of the gross outstanding accounts receivable as of this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In addition, we face uncertainty with respect to the tariffs, if any, the new U.S. Federal administration will levy on goods imported from China, Mexico, Canada and other international jurisdictions. All these factors point to uncertainty about economic stability, and the severity and duration of these conditions on our business cannot be predicted. The bulk of the revenue decline in the year ended December 31, 2024 was due to a significant tightening in credit markets in the U.S. and international markets due to higher interest rates, impacting our customers' ability and/or desire to secure capital equipment financing. In addition, our international results were negatively affected by an acceleration of our international strategy to wind down underperforming countries as we continued to transition to third party distributors. We continue to focus on quality of revenue and despite the revenue decline, our cash used in operations was $1.8 million lower, or 13.9% than the same period in 2023. On a positive note, the Federal Reserve Board (Fed), the European Central Bank, the Swiss National Bank and the Bank of Canada all recently reduced interest rates in an effort to reduce the degree of restrictiveness in monetary policy, and signaling future rate cuts over the near term. We remain focused on adapting to the challenges presented by the current macro-economic environment, as well as the opportunities presented by an easing of monetary policy.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 </w:t>
      </w:r>
      <w:r>
        <w:rPr>
          <w:rFonts w:ascii="Times New Roman" w:cs="Times New Roman" w:eastAsia="Times New Roman" w:hAnsi="Times New Roman"/>
          <w:sz w:val="18"/>
          <w:szCs w:val="18"/>
          <w:color w:val="auto"/>
        </w:rPr>
        <w:t>Following the October 7, 2023 attack by Hamas on Israeli citizens and the declaration of war that followed, we have taken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mitigate exposure to risks related to our Israeli operations, the risks of which are further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in Israel </w:t>
      </w:r>
      <w:r>
        <w:rPr>
          <w:rFonts w:ascii="Times New Roman" w:cs="Times New Roman" w:eastAsia="Times New Roman" w:hAnsi="Times New Roman"/>
          <w:sz w:val="18"/>
          <w:szCs w:val="18"/>
          <w:color w:val="auto"/>
        </w:rPr>
        <w:t>of this Annual Report. These efforts include but are not limited to, working with our contract manufacturers to accelerate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year ended December 31, 2024 as we continue to actively work with our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third-party manufacturers to mitigate supply issues and build inventory of key component parts. We anticipate some supply challenges in 2025,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may continue into 2025. We also face uncertainty with respect to the tariffs, if any, the new U.S. Federal administration will levy on goods imported from China, Mexico, Canada and other international jurisdictions. We expect to mitigate such pressures, where possible, through price increases and margin management.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global economic downturns and macroeconomic trends, including heightened inflation, capital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volatility, interest rate and currency rate fluctuations, the threat of tariffs, and economic slowdowns,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2024. While inflation rates in the U.S., as well as in other countries in which we operate, are showing signs of moderation, the impact of such successive increases on cost structures remains, affecting governments, corporations and small businesses alike. Our customers have also been affected by higher inflation and higher interest rates, impacting their ability to secure third party financing or causing many of them to delay capital purchases due to high interest rates. As noted above, the Federal Reserve in the U.S. and other central banks in various countries have commenced a cycle of interest rate reductions in response to concerns about inflation and stagnant growth.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coexistence of high inflation and high interest rates, we continue to evaluate our direct operations, particularly those outside of North America.</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and thereby reducing bad debt expenses.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2024, our allowance for expected credit losses stands at $3.8 million, which represents 12.2% of the gross outstanding accounts receivable as of that date. This represents a significant decrease of $3.6 million from our December 31, 2023 allowance for expected credit losses balance of $7.4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Foreign exchange fluctuations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NIS, Euro, CAD, British pound, Australian dollar, Chinese renminbi, Hong Kong dollar, Japanese yen, Argentina peso, Colombian peso, and Mexican peso.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 Post the U.S. federal election in November of 2024, most currencies depreciated versus the U.S. dollar, resulting in a $1 million foreign exchange loss in the fourth quarter alone.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sales of systems through our internal financing programs, traditional system sales to customers and distributors, other product revenues from the sale of ARTAS kits, Viva tips, other consumables, marketing supplies, and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2023, approximately 26% and 33%, respectively, of our total system revenues were derived from our internal financing programs. The relative decrease in internal financing program revenues in 2024 is in line with our strategy to prioritize cash deals over internal financing program deals in order to improve cash generation and preserve liquidity. Our internal financing programs are designed to provide a low barrier to ownership of our systems and includes an up-front fee followed by monthly payments, typically over a 36-month period. The up-front fee serves as a down payment. For accounting purposes, these arrangements are considered to be sales-type finance leases, where the present value of all cash flows to be received under the agreement is recognized as revenue upon shipment to the customer and achievement of the required revenue recognition criteria.</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approximately 61% and 59%, respectively, of our total system revenues were derived from traditional sales. The increased focus on traditional sales is in line with our strategy to prioritize cash deals over internal lease program deals in order to improve cash generation and preserve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internal financing programs. These traditional sales are generally made through our sales team in the countries in which the team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approximately 13% and 8% of our total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7.7% for the MSLP Loan (now owned by Madryn), 13.5% for the Madryn Notes, and 12.0% for the 2024 Notes as of December 31, 2024 and 8.71% for the MSLP Loan and 14.03% for the Madryn Notes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ectPr>
          <w:pgSz w:w="11900" w:h="16838" w:orient="portrait"/>
          <w:cols w:equalWidth="0" w:num="1">
            <w:col w:w="11240"/>
          </w:cols>
          <w:pgMar w:left="320" w:top="121" w:right="339" w:bottom="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Debt Extinguishment</w:t>
      </w:r>
    </w:p>
    <w:p>
      <w:pPr>
        <w:sectPr>
          <w:pgSz w:w="11900" w:h="16838" w:orient="portrait"/>
          <w:cols w:equalWidth="0" w:num="1">
            <w:col w:w="11240"/>
          </w:cols>
          <w:pgMar w:left="320" w:top="121" w:right="339" w:bottom="0" w:gutter="0" w:footer="0" w:header="0"/>
          <w:type w:val="continuous"/>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Loss on Debt Extinguishment is due to the May 2024 exchange of $52.1 million in aggregate principal amount outstanding under the MSLP Loan Agreement for $17.1 million in aggregate principal of New Secured Notes and 576,986 shares of Series Y Convertible Preferred Stock. As part of the May 2024 extinguishment of principal, the Company recognized a $10.9 million non-cash loss. Additionally, in September 2024 the Company exchanged $15.0 million in aggregate principal of New Secured Notes for 203,583 shares of Series Y Convertible Preferred Stock. As part of the September 2024 extinguishment of principal, the Company recognized a $0.5 million non-cash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is recognized based on the actual taxable income or loss incurred during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15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13,265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64,833</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20,527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44,306</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28,332</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36,470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6,688</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(27,184)</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2,135</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6,885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11,355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(47,582)</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(46,971</w:t>
            </w: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(37,050)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the Company</w:t>
            </w: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(46,996)</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(37,250)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years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38,176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43,454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26,657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32,900</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64,833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76,354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13,265</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Products—Systems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38,020</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41,874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Products—Other </w:t>
            </w:r>
            <w:r>
              <w:rPr>
                <w:rFonts w:ascii="Times New Roman" w:cs="Times New Roman" w:eastAsia="Times New Roman" w:hAnsi="Times New Roman"/>
                <w:sz w:val="10"/>
                <w:szCs w:val="10"/>
                <w:color w:val="auto"/>
              </w:rPr>
              <w:t>(1)</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10,469</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5"/>
                <w:szCs w:val="25"/>
                <w:color w:val="auto"/>
                <w:vertAlign w:val="superscript"/>
              </w:rPr>
              <w:t>(2)</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64,833</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76,354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Products-Other include ARTAS procedure kits, Viva tips, Glide and other consumables.</w:t>
      </w:r>
    </w:p>
    <w:p>
      <w:pPr>
        <w:spacing w:after="0" w:line="1" w:lineRule="exact"/>
        <w:rPr>
          <w:rFonts w:ascii="Times New Roman" w:cs="Times New Roman" w:eastAsia="Times New Roman" w:hAnsi="Times New Roman"/>
          <w:sz w:val="30"/>
          <w:szCs w:val="30"/>
          <w:color w:val="auto"/>
          <w:vertAlign w:val="superscript"/>
        </w:rPr>
      </w:pPr>
    </w:p>
    <w:p>
      <w:pPr>
        <w:ind w:left="500" w:hanging="492"/>
        <w:spacing w:after="0" w:line="194" w:lineRule="auto"/>
        <w:tabs>
          <w:tab w:leader="none" w:pos="50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Services include extended warranty sales.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(11,521)</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decreased by $11.5 million, or 15.1%, to $64.8 million for the year ended December 31, 2024 from $76.4 million for the year ended December 31, 2023. The decrease in revenue is primarily attributed to the effects of tighter third-party lending practices which negatively impacted capital equipment sales in both the U.S. and international markets, and an acceleration in exiting unprofitable direct markets, partially offset by an improvement in third party international distributor revenues. Despite the challenging credit environment, our focus on quality of revenue continues to have a positive effect on our cash burn rate. Our cash used in operations in the year ended December 31, 2024 was 13.9% less than the year ended December 31,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sold an aggregate of 1,049 systems in the year ended December 31, 2024 compared to 1,170 in the year ended December 31, 2023. Despite comparable system unit sales, revenues during 2024 were below 2023 revenues due to higher international distributor sales, which are sold at lower average selling prices. The percentage of systems revenue derived from our internal financing programs was approximately 26% in the year ended December 31, 2024 compared to 33% in the year ended December 31, 2023. The relative decrease in internal financing programs revenue is in line with our strategy to prioritize cash deals over internal financing program deals in order to improve cash generation and preserve liquidity. Specific to the U.S. market, systems revenue derived from our internal lease programs was approximately 25% and 29% during the twelve months ended December 31, 2024 and 2023, respectively. The Company remains steadfast in ensuring that its in-house financing program accepts only qualified customers in order to minimize future credit losses, often at the expense of topline revenue.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decreased by $0.1 million, or 0.9%, to $10.5 million in the year ended December 31, 2024 from $10.6 million in the year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was $3.1 million in the year ended December 31, 2024 compared to $3.4 million in the year ended December 31, 2023. The decrease is primarily due to the overall decline in device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decreased by $3.7 million, or 15.1%, to $20.5 million in the year ended December 31, 2024 compared to $24.2 million in the year ended December 31, 2023. Gross profit decreased by $7.9 million, or 15.1%, to $44.3 million in the year ended December 31, 2024, compared to $52.2 million in the year ended December 31, 2023. The decrease in gross profit is primarily due to the effects of tighter third party lending practices which negatively impacted capital equipment sales in both the U.S. and international markets. The decrease in revenue in our international markets was also driven by the accelerated exit from unprofitable direct markets, partially offset by an improvement in third party international distributor revenues. Gross margin was 68.3% of revenue in the year ended December 31, 2024, compared to 68.3% of revenue in the year ended December 31, 2023. Despite the decrease in direct market sales, our focus on margin management resulted in flat gross margins year over year. Our margins on distributor revenues are slightly less than margins in our direct markets.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46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71,490</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80,476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Selling and marketing expenses decreased by $2.9 million or 9.3% in the year ended December 31, 2024 compared to the year ended December 31, 2023. This decrease is largely due to lower revenues and reduced activities as we exited unprofitable direct markets, and the effects of tighter third party lending practices which negatively impacted capital equipment sales in both the U.S. and international markets. As a percentage of total revenues, our selling and marketing expenses increased by 2.8%, from 40.9% in the year ended December 31, 2023 to 43.7% in the year ended December 31, 2024. As the business environment improves, we expect sales and marketing expenses to increase in absolute terms, but at a rate slightly below our rate of revenue growth.</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$4.6 million or 11.2% in the year ended December 31, 2024 compared to the year ended December 31, 2023, primarily due to savings from exiting certain unprofitable direct markets and lower restructuring costs, partially offset by inflationary pressures associated with salaries and other cost elements. As a percentage of total revenues, our general and administrative expenses increased by 2.5%, from 53.8% in the year ended December 31, 2023, to 56.3% in the year ended December 31, 2024, primarily due to the decrease in year over year total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$1.5 million or 18.4% in the year ended December 31, 2024 compared to the year ended December 31, 2023.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0.4%, from 10.7% in the year ended December 31, 2023, to 10.3% in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foreign exchange loss of $2.1 million in the year ended December 31, 2024 and a foreign exchange gain of $0.3 million in the year ended December 31, 2023, a variance of $2.4 million year over year. Post the U.S. federal election in November of 2024, most currencies depreciated versus the U.S. dollar, resulting in a $1 million foreign exchange loss in the fourth quarter alone. Changes in foreign exchange are driven mainly by the effect of foreign exchange on accounts receivable balances denominated in currencies other than the U.S. dollar. We do not currently hedge against foreign currency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expenses remained steady at $6.9 million in the year ended December 31, 2024 compared to $6.9 million in the year ended December 31, 2023.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an income tax benefit of $0.443 million in the year ended December 31, 2024, compared to $0.07 million income tax benefit in the year ended December 31, 2023. In 2024, geographic sales mix, true up to tax return, and changes in timing of deductible expenses, resulted in the income tax benefit.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$4.3 million and $5.4 million of cash and cash equivalents as of December 31, 2024 and December 31, 2023, respectively. We have funded our operations with cash generated from operating activities, through the sale of equity securities and through debt financing. We had total debt obligations of approximately $39.7 million as of December 31, 2024, including the MSLP Loan of $2.7 million, convertible notes of $28.7 million, and a note payable (bridge financing) of $8.3 million compared to total debt obligations of approximately $74.9 million as of December 31,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2024 was $11.1 million, representing a 13.9% reduction compared to the year ended December 31, 2023. Working capital is primarily impacted by the ratio of our internal lease program sales (Venus Prime sales and legacy subscription-based sales) to traditional cash sales. Our recent shift to prioritize traditional cash sales over internal lease program sales is designed to improve liquidity and reduce working capital requirements over time. Our expanding product portfolio may require higher inventory levels to meet demand and to accommodate the increased number of technology platforms offered. We had a split of lease program revenue to traditional sales revenue at a ratio of approximately 26:74 in the year ended December 31, 2024, compared to 36:64 in the year ended December 31, 2023. We expect the ratio of lease program sales to traditional sales in 2025 and beyond to approximate a 30:70 split. We expect inventory to remain relatively flat in the short term but increase at a lower rate than the rate of revenue growth over the longer term.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Isarael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$536.25 per share, subject to adjustment. For additional information regarding the Notes, Exchange Agreement, Madryn Loan and Security Agreement and CNB Subordination Agreement, see Note 11 “</w:t>
      </w:r>
      <w:r>
        <w:rPr>
          <w:rFonts w:ascii="Times New Roman" w:cs="Times New Roman" w:eastAsia="Times New Roman" w:hAnsi="Times New Roman"/>
          <w:sz w:val="18"/>
          <w:szCs w:val="18"/>
          <w:i w:val="1"/>
          <w:iCs w:val="1"/>
          <w:color w:val="auto"/>
        </w:rPr>
        <w:t>Madryn 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to our consolidated financial statements included elsewhere in this report. On October 4, 2023, the Company entered into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Agreement with the Madryn Noteholders, pursuant to which the Madryn Noteholders agreed to exchange $26.7 million in aggregate principal amount outstanding under the Notes for (i) $22.8 million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$264 per share, subject to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On April 23, 2024, the MSLP Loan was purchased by Madryn for an undisclosed amount from CNB with the consent of the Company. On May 24, 2024, the Lenders agreed to exchange $52.1 million in aggregate principal amount outstanding for $17.1 million in aggregate principal amount of new secured notes and 576,986 shares of newly-created Series Y Convertible Preferred Stock. On September 26, 2024, the Lenders agreed to another exchange of $17.7 million in aggregate principal amount outstanding for $2.7 million in aggregate principal of remaining secured notes and 203,583 shares of Series Y Convertible Preferred Stock. From June 21, 2024 through December 31, 2024, the Company entered into multiple Amendment and Consent Agreements with Madryn to, among other things, modify interest payments to be payable-in-kind, grant relief from the Minimum Deposit Relationship obligations and minimum liquidity requirements, and delete the net loss covenant. See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to our consolidated financial statements included elsewhere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had a revolving credit facility with CNB pursuant to which CNB agreed to provide a revolving credit facility to us and certain of our subsidiaries to be used to finance working capital requirements. This revolving credit facility expired on July 24, 2023 and has not been renewed. See Note 12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Facility" </w:t>
      </w:r>
      <w:r>
        <w:rPr>
          <w:rFonts w:ascii="Times New Roman" w:cs="Times New Roman" w:eastAsia="Times New Roman" w:hAnsi="Times New Roman"/>
          <w:sz w:val="18"/>
          <w:szCs w:val="18"/>
          <w:color w:val="auto"/>
        </w:rPr>
        <w:t>to our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$13.761 per share, subject to adjustment.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13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 Through December 31, 2024 there were five additional drawdowns totaling $5.7 million and an increase to the delayed draw of up to $6 million through the Ninth Bridge Loan Amendment Agreement, and the Company and Lenders agreed to, among other things, extend the maturity date to January 31, 2025 in the Tenth Bridge Loan Amendment Agreement on December 31, 2024. In the first quarter of 2025, delayed draw capacity was increased up to $21 million through the Thirteenth Bridge Loan Amendment Agreement on March 27, 2025. Pursuant to the Thirteenth Bridge Loan Amendment, the Company and Lenders also agreed to, among other things, extend the maturity date to April 30, 2025.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$655.9575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Through December 31, 2023 we issued an additional 70.6 thousand shares of common stock to Lincoln Park at an average price of $43.67 per share. During the twelve months ended December 31, 2024, the Company issued an additional 758 shares of common stock to Lincoln Park at an average price of $12.76 per share, for a total value of $10. The 2022 LPC Purchase Agreement expired on August 1, 2024.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10,608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at an initial exercise price of $14.74 per share. 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5,204 shares of common stock (the “Placement Agent Warrants”). The Placement Agent Warrants are similar to the 2024 Investor Warrants, except that the initial exercise price of the Placement Agent Warrants is $20.1438 per share.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consolidated financial statements included elsewhere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capital resources consisting of cash and cash equivalents of approximately $4.3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2024 Note, the 2023 Multi-Tranche Private Placement, the 2022 Private Placement, the proceeds from issuance of our common stock to Lincoln Park, the proceeds from the MSLP Loan,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980" w:hanging="486"/>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57"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4" w:lineRule="exact"/>
        <w:rPr>
          <w:rFonts w:ascii="Times New Roman" w:cs="Times New Roman" w:eastAsia="Times New Roman" w:hAnsi="Times New Roman"/>
          <w:sz w:val="22"/>
          <w:szCs w:val="22"/>
          <w:color w:val="auto"/>
        </w:rPr>
      </w:pPr>
    </w:p>
    <w:p>
      <w:pPr>
        <w:ind w:left="980" w:hanging="486"/>
        <w:spacing w:after="0" w:line="234"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80"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06"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indicated:</w:t>
            </w:r>
          </w:p>
        </w:tc>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(in</w:t>
            </w:r>
          </w:p>
        </w:tc>
        <w:tc>
          <w:tcPr>
            <w:tcW w:w="1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71"/>
              </w:rPr>
              <w:t>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(11,066)</w:t>
            </w:r>
          </w:p>
        </w:tc>
        <w:tc>
          <w:tcPr>
            <w:tcW w:w="1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(12,859)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4"/>
                <w:szCs w:val="14"/>
                <w:color w:val="auto"/>
              </w:rPr>
              <w:t>(1,125</w:t>
            </w:r>
            <w:r>
              <w:rPr>
                <w:rFonts w:ascii="Times New Roman" w:cs="Times New Roman" w:eastAsia="Times New Roman" w:hAnsi="Times New Roman"/>
                <w:sz w:val="24"/>
                <w:szCs w:val="24"/>
                <w:color w:val="auto"/>
                <w:vertAlign w:val="subscript"/>
              </w:rPr>
              <w:t>)</w:t>
            </w:r>
          </w:p>
        </w:tc>
        <w:tc>
          <w:tcPr>
            <w:tcW w:w="10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(6,173</w:t>
            </w:r>
            <w:r>
              <w:rPr>
                <w:rFonts w:ascii="Times New Roman" w:cs="Times New Roman" w:eastAsia="Times New Roman" w:hAnsi="Times New Roman"/>
                <w:sz w:val="24"/>
                <w:szCs w:val="24"/>
                <w:color w:val="auto"/>
                <w:vertAlign w:val="subscript"/>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8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81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cash used in operating activities consisted of a net loss of $47.0 million, partially offset by a decrease in net operating assets of $10.8 million and non-cash operating expenses of $25.1 million. The decreased use of cash in net operating assets was attributable to a decrease in accounts receivable of $12.5 million, a decrease in inventories of $4.5 million, and a decrease in operating right-of-use assets net of $1.2 million. These were partially offset by a decrease in unearned interest income of $0.9 million, a decrease in current operating lease liabilities of $0.3 million, a decrease in other long-term operating lease liabilities of $1.2 million, a decrease in trade payables of $2.2 million, and a decrease in accrued expenses and other current liabilities of $1.6 million. The non-cash operating expenses consisted of provision for bad debts of $1.4 million, loss on debt extinguishment of $11.4 million, depreciation and amortization of $3.9 million, finance expenses and accretion of $5.4 million, stock-based compensation expense of $1.0 million, and provision for inventory obsolescence of $1.0 million, partially offset by a deferred tax recovery of $0.4 million.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year ended December 31, 2023, cash used in operating activities consisted of a net loss of $37.0 million, partially offset by a decrease in net operating assets of $10.3 million and non-cash operating expenses of $13.9 million. The decreased use of cash in net operating assets was attributable to a decrease in accounts receivable of $14.9 million, a decrease in other current assets of $1.6 million, and a decrease in operating right-of-use assets net of $1.3 million. These were partially offset by a decrease in unearned interest income of $1.2 million, a decrease in current operating lease liabilities of $0.2 million, a decrease in other long-term operating lease liabilities of $1.1 million, and a decrease in accrued expenses and other current liabilities of $5.1 million. The non-cash operating expenses consisted of provision for bad debts of $1.4 million, loss on debt extinguishment of $2.0 million, depreciation and amortization of $4.1 million, finance expenses and accretion of $2.2 million, stock-based compensation expense of $1.6 million, and provision for inventory obsolescence of $1.2 million, partially offset by a deferred tax recovery of $0.1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2024, and December 31, 2023, cash used in investing activities consisted of $0.1 million for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cash provided by financing activities consisted primarily of net proceeds from the 2024 Convertible Notes issued to EW of $1.6 million and proceeds from Short-term Bridge Financing by Madryn of $7.6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cash provided by financing activities consisted primarily of net proceeds from the 2023 Private Placement of $6.3 million and proceeds from the issuance of common stock of $0.8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non-cancellable purchase orders placed with our contract manufacturers in the amount of $14.1 million. In addition, as of December 31, 2024, we had $2.1 million of open purchase orders that can be cancelled with 270 days’ notice.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which represent material expected or contractually committed future obligations.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w w:val="95"/>
              </w:rPr>
              <w:t>(dollars in thousands)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“Commitments and Contingencies” to the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in this Annual Report.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financing programs,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internal financing programs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to 10% for the year ended December 31, 2024, and 8% to 10% for the year ended December 31, 2023. Unearned interest revenue represents the interest only portion of the respective lease program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recently adopted accounting pronouncements and recently issued accounting pronouncements not yet adopted as of the date of this Annual Report.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20" w:type="dxa"/>
            <w:vAlign w:val="bottom"/>
            <w:gridSpan w:val="8"/>
          </w:tcPr>
          <w:p>
            <w:pPr>
              <w:jc w:val="right"/>
              <w:ind w:right="4640"/>
              <w:spacing w:after="0"/>
              <w:rPr>
                <w:sz w:val="20"/>
                <w:szCs w:val="20"/>
                <w:color w:val="auto"/>
              </w:rPr>
            </w:pPr>
            <w:r>
              <w:rPr>
                <w:rFonts w:ascii="Times New Roman" w:cs="Times New Roman" w:eastAsia="Times New Roman" w:hAnsi="Times New Roman"/>
                <w:sz w:val="18"/>
                <w:szCs w:val="18"/>
                <w:b w:val="1"/>
                <w:bCs w:val="1"/>
                <w:color w:val="auto"/>
              </w:rPr>
              <w:t>Consolidated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(MNP LLP, PCAOB ID: 1930)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86</w:t>
            </w: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6"/>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89</w:t>
            </w:r>
          </w:p>
        </w:tc>
      </w:tr>
      <w:tr>
        <w:trPr>
          <w:trHeight w:val="196"/>
        </w:trPr>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90</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91</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92</w:t>
            </w:r>
          </w:p>
        </w:tc>
      </w:tr>
      <w:tr>
        <w:trPr>
          <w:trHeight w:val="196"/>
        </w:trPr>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20" w:type="dxa"/>
            <w:vAlign w:val="bottom"/>
            <w:tcBorders>
              <w:top w:val="single" w:sz="8" w:color="0000EE"/>
            </w:tcBorders>
            <w:gridSpan w:val="3"/>
          </w:tcPr>
          <w:p>
            <w:pPr>
              <w:spacing w:after="0"/>
              <w:rPr>
                <w:sz w:val="17"/>
                <w:szCs w:val="17"/>
                <w:color w:val="auto"/>
              </w:rPr>
            </w:pPr>
          </w:p>
        </w:tc>
        <w:tc>
          <w:tcPr>
            <w:tcW w:w="64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93</w:t>
            </w: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94</w:t>
            </w:r>
          </w:p>
        </w:tc>
      </w:tr>
      <w:tr>
        <w:trPr>
          <w:trHeight w:val="453"/>
        </w:trPr>
        <w:tc>
          <w:tcPr>
            <w:tcW w:w="920" w:type="dxa"/>
            <w:vAlign w:val="bottom"/>
          </w:tcPr>
          <w:p>
            <w:pPr>
              <w:spacing w:after="0"/>
              <w:rPr>
                <w:sz w:val="24"/>
                <w:szCs w:val="24"/>
                <w:color w:val="auto"/>
              </w:rPr>
            </w:pPr>
          </w:p>
        </w:tc>
        <w:tc>
          <w:tcPr>
            <w:tcW w:w="9720" w:type="dxa"/>
            <w:vAlign w:val="bottom"/>
            <w:gridSpan w:val="8"/>
          </w:tcPr>
          <w:p>
            <w:pPr>
              <w:jc w:val="right"/>
              <w:ind w:right="4920"/>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Venus Concept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Venus Concept Inc. and its subsidiaries (the “Company") as of December 31, 2024, and 2023, and the related consolidated statements of operations, comprehensive loss, stockholders’ equity (deficit), and cash flows for each of the years in the two-year period ended December 31, 2024,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2024 and 2023, and the results of its consolidated operations and its consolidated cash flows for each of the years in the two-year period ended December 31,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reported recurring net losses and negative cash flows from operations, which raises substantial doubt about its ability to continue as a going concern. Management's plans in regard to these matters are also described in Note 1. The consolidated financial statements do not include any adjustments that might result from the outcome of this uncertainty. This matter is also described in the "Critical Audit Matters" section of our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Refer to Note 2 and 6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described in Note 2 and 6 to the consolidated financial statements, inventory is valued at the lower of cost and net realizable value, and management records a provision as necessary to appropriately value inventories that are obsolete, have quality issues, or are damaged. Provision expense is recorded in cost of goods sold. As of December 31, 2024, the Company’s consolidated net inventories balance was $17,561 (‘000) inclusive of the inventory provision.</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management’s inventory carrying value involved significant judgment because the estimates are based on a number of factors that are affected by market, industry, and competitive conditions outside the Company's control. In particular, in estimating inventory net realizable value, management developed assumptions such as forecasts of future sales quantities and the selling prices, which are sensitive to the competitiveness of product offerings, customer requirements, and product life cycles. These significant assumptions are forward-looking and could be affected by future economic and market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addressing the matter included the following procedures, among others:</w:t>
      </w:r>
    </w:p>
    <w:p>
      <w:pPr>
        <w:spacing w:after="0" w:line="225" w:lineRule="exact"/>
        <w:rPr>
          <w:sz w:val="20"/>
          <w:szCs w:val="20"/>
          <w:color w:val="auto"/>
        </w:rPr>
      </w:pPr>
    </w:p>
    <w:p>
      <w:pPr>
        <w:ind w:left="1040" w:hanging="317"/>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implementation of internal controls over the Company's inventory carrying value determination process, including the basis for developing above-described assumptions and management’s judgments.</w:t>
      </w:r>
    </w:p>
    <w:p>
      <w:pPr>
        <w:spacing w:after="0" w:line="161"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the physical condition of inventories during inventory counts.</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management’s process for developing the estimates of net realizable value.</w:t>
      </w:r>
    </w:p>
    <w:p>
      <w:pPr>
        <w:spacing w:after="0" w:line="225"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reliability of reports used by management by agreeing to underlying records.</w:t>
      </w:r>
    </w:p>
    <w:p>
      <w:pPr>
        <w:spacing w:after="0" w:line="225" w:lineRule="exact"/>
        <w:rPr>
          <w:rFonts w:ascii="Times New Roman" w:cs="Times New Roman" w:eastAsia="Times New Roman" w:hAnsi="Times New Roman"/>
          <w:sz w:val="18"/>
          <w:szCs w:val="18"/>
          <w:color w:val="auto"/>
        </w:rPr>
      </w:pPr>
    </w:p>
    <w:p>
      <w:pPr>
        <w:ind w:left="1040" w:hanging="317"/>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the assumptions about faulty inventory, future demand, selling prices and cost necessary to sell by considering historical trends and consistency with evidence obtained in other areas of the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may not have sufficient cash to fund its operations, and therefore, must achieve profitable operations and/or obtain additional equity or debt financing. In addition, the global economy, including the financial and credits markets has recently experienced extreme volatility and disruptions including increases in inflation rates, rising interest rates, foreign currency fluctuations. All these factors point to uncertainty and about economic stability and impacted management’s judgements and estimates. Management has prepared future cash flow forecasts, which involves judgement and estimation of key variables that affect cash flows, such as planned capital expenditures, revenue, production volumes and market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Company’s ability to continue as a going concern as a critical audit matter because auditing the Company’s going concern assessment is complex and involves a high degree of auditor judgment to assess the reasonableness of the cash flow forecasts, planned refinancing actions and other assumptions used in the Company’s going concern analysis. The Company’s ability to execute the planned financing actions are especially judgmental given that the global financial markets and economic conditions have been, and continue to be, volatile.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is also described in the “Material Uncertainty Related to Going Concern” section of our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Response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responded to this matter by evaluating management’s assessment of the Company’s ability to continue as a going concern. Our audit work in relation to this included, but was not restricted to, the following:</w:t>
      </w:r>
    </w:p>
    <w:p>
      <w:pPr>
        <w:spacing w:after="0" w:line="162" w:lineRule="exact"/>
        <w:rPr>
          <w:sz w:val="20"/>
          <w:szCs w:val="20"/>
          <w:color w:val="auto"/>
        </w:rPr>
      </w:pPr>
    </w:p>
    <w:p>
      <w:pPr>
        <w:ind w:left="1080" w:hanging="316"/>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cash flow forecasts prepared by management and evaluated the integrity and arithmetical accuracy of the model.</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key assumptions used in management’s model to estimate future cash flows by comparing assumptions used by management against historical performance, budgets, economic and industry indicators and publicly available information.</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adequacy of the going concern disclosure included in Note 1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Mississauga,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5,396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$3,402 and $7,338 as of December 31, 2024, and 2023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29,151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23,072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Advances to suppliers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5,604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66,446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receivables, net of allowance of $384 and $77 as of December 31, 2024, and 2023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11,318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Severance pay funds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8,446</w:t>
            </w:r>
          </w:p>
        </w:tc>
      </w:tr>
      <w:tr>
        <w:trPr>
          <w:trHeight w:val="196"/>
        </w:trPr>
        <w:tc>
          <w:tcPr>
            <w:tcW w:w="80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long-term assets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68,184</w:t>
            </w:r>
          </w:p>
        </w:tc>
        <w:tc>
          <w:tcPr>
            <w:tcW w:w="120" w:type="dxa"/>
            <w:vAlign w:val="bottom"/>
          </w:tcPr>
          <w:p>
            <w:pPr>
              <w:spacing w:after="0"/>
              <w:rPr>
                <w:sz w:val="17"/>
                <w:szCs w:val="17"/>
                <w:color w:val="auto"/>
              </w:rPr>
            </w:pPr>
          </w:p>
        </w:tc>
        <w:tc>
          <w:tcPr>
            <w:tcW w:w="5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93,654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payables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9,038</w:t>
            </w: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11,433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12,437</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 Payable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4,155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Unearned interest income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Warranty accrual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1,076</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31,159</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70,790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severance pay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634</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Unearned interest revenue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Warranty accrual</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334</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3,162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107,103</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as of December 31, 2024 and 2023; 709,130 and</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552,205 issued and outstanding as of December 31, 2024 and 2023, respectively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311,238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247,854</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(308,899)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(261,903)</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(14,019)</w:t>
            </w:r>
          </w:p>
        </w:tc>
      </w:tr>
      <w:tr>
        <w:trPr>
          <w:trHeight w:val="20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(13,449)</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20,504</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76,354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52,167</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31,231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41,048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8,197</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80,476</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(28,309)</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(46,996)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(37,250)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5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526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6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2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(46,971)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4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7"/>
              </w:rPr>
              <w:t>(46,996)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(37,250)</w:t>
            </w:r>
          </w:p>
        </w:tc>
      </w:tr>
      <w:tr>
        <w:trPr>
          <w:trHeight w:val="216"/>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4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2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(46,971)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(37,050)</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8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Multi-</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Tranche</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2023</w:t>
            </w:r>
          </w:p>
        </w:tc>
        <w:tc>
          <w:tcPr>
            <w:tcW w:w="7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518,745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232,169</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(224,105)</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645</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48"/>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(37,250)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(37,250)</w:t>
            </w: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income — non-</w:t>
            </w:r>
          </w:p>
        </w:tc>
        <w:tc>
          <w:tcPr>
            <w:tcW w:w="9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controlling interest</w:t>
            </w:r>
          </w:p>
        </w:tc>
        <w:tc>
          <w:tcPr>
            <w:tcW w:w="96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Adoption of ASC 326</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48"/>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256,356</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7,040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7,040</w:t>
            </w:r>
          </w:p>
        </w:tc>
        <w:tc>
          <w:tcPr>
            <w:tcW w:w="0" w:type="dxa"/>
            <w:vAlign w:val="bottom"/>
          </w:tcPr>
          <w:p>
            <w:pPr>
              <w:spacing w:after="0"/>
              <w:rPr>
                <w:sz w:val="1"/>
                <w:szCs w:val="1"/>
                <w:color w:val="auto"/>
              </w:rPr>
            </w:pPr>
          </w:p>
        </w:tc>
      </w:tr>
      <w:tr>
        <w:trPr>
          <w:trHeight w:val="171"/>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w:t>
            </w:r>
          </w:p>
        </w:tc>
        <w:tc>
          <w:tcPr>
            <w:tcW w:w="96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Private Placement</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1,575,810</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3,694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3,694</w:t>
            </w:r>
          </w:p>
        </w:tc>
        <w:tc>
          <w:tcPr>
            <w:tcW w:w="0" w:type="dxa"/>
            <w:vAlign w:val="bottom"/>
          </w:tcPr>
          <w:p>
            <w:pPr>
              <w:spacing w:after="0"/>
              <w:rPr>
                <w:sz w:val="1"/>
                <w:szCs w:val="1"/>
                <w:color w:val="auto"/>
              </w:rPr>
            </w:pPr>
          </w:p>
        </w:tc>
      </w:tr>
      <w:tr>
        <w:trPr>
          <w:trHeight w:val="171"/>
        </w:trPr>
        <w:tc>
          <w:tcPr>
            <w:tcW w:w="2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shares, net of costs</w:t>
            </w:r>
          </w:p>
        </w:tc>
        <w:tc>
          <w:tcPr>
            <w:tcW w:w="9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9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48"/>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2023</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256,356</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552,205</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247,854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(261,903</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570</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(13,449)</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3"/>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9"/>
              <w:spacing w:after="0" w:line="129" w:lineRule="exact"/>
              <w:rPr>
                <w:sz w:val="20"/>
                <w:szCs w:val="20"/>
                <w:color w:val="auto"/>
              </w:rPr>
            </w:pPr>
            <w:r>
              <w:rPr>
                <w:rFonts w:ascii="Times New Roman" w:cs="Times New Roman" w:eastAsia="Times New Roman" w:hAnsi="Times New Roman"/>
                <w:sz w:val="14"/>
                <w:szCs w:val="14"/>
                <w:color w:val="auto"/>
              </w:rPr>
              <w:t>(46,996)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(46,996)</w:t>
            </w:r>
          </w:p>
        </w:tc>
        <w:tc>
          <w:tcPr>
            <w:tcW w:w="0" w:type="dxa"/>
            <w:vAlign w:val="bottom"/>
          </w:tcPr>
          <w:p>
            <w:pPr>
              <w:spacing w:after="0"/>
              <w:rPr>
                <w:sz w:val="1"/>
                <w:szCs w:val="1"/>
                <w:color w:val="auto"/>
              </w:rPr>
            </w:pPr>
          </w:p>
        </w:tc>
      </w:tr>
      <w:tr>
        <w:trPr>
          <w:trHeight w:val="126"/>
        </w:trPr>
        <w:tc>
          <w:tcPr>
            <w:tcW w:w="214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income — non-</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controlling interest</w:t>
            </w:r>
          </w:p>
        </w:tc>
        <w:tc>
          <w:tcPr>
            <w:tcW w:w="9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2024 Registered Direct</w:t>
            </w: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Offering shares and warrants,</w:t>
            </w:r>
          </w:p>
        </w:tc>
        <w:tc>
          <w:tcPr>
            <w:tcW w:w="9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74,342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of costs</w:t>
            </w:r>
          </w:p>
        </w:tc>
        <w:tc>
          <w:tcPr>
            <w:tcW w:w="96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33,580</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Conversion of 2022 Private</w:t>
            </w:r>
          </w:p>
        </w:tc>
        <w:tc>
          <w:tcPr>
            <w:tcW w:w="9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(1,350,000)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81,825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w:t>
            </w:r>
          </w:p>
        </w:tc>
        <w:tc>
          <w:tcPr>
            <w:tcW w:w="96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4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Exchange of MSLP Loan for</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Series Y Private Placement</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780,569</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61,354</w:t>
            </w:r>
          </w:p>
        </w:tc>
        <w:tc>
          <w:tcPr>
            <w:tcW w:w="0" w:type="dxa"/>
            <w:vAlign w:val="bottom"/>
          </w:tcPr>
          <w:p>
            <w:pPr>
              <w:spacing w:after="0"/>
              <w:rPr>
                <w:sz w:val="1"/>
                <w:szCs w:val="1"/>
                <w:color w:val="auto"/>
              </w:rPr>
            </w:pPr>
          </w:p>
        </w:tc>
      </w:tr>
      <w:tr>
        <w:trPr>
          <w:trHeight w:val="171"/>
        </w:trPr>
        <w:tc>
          <w:tcPr>
            <w:tcW w:w="2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9"/>
        </w:trPr>
        <w:tc>
          <w:tcPr>
            <w:tcW w:w="21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1,835,000</w:t>
            </w:r>
          </w:p>
        </w:tc>
        <w:tc>
          <w:tcPr>
            <w:tcW w:w="2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289,936</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780,569</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709,130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311,238</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(308,899</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469</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2,838</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9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(USED IN) OPERATING ACTIVITIES:</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(46,971)</w:t>
            </w:r>
          </w:p>
        </w:tc>
        <w:tc>
          <w:tcPr>
            <w:tcW w:w="102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(37,050)</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4,115</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1,569</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Provision for bad debt</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1,350</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Provision for inventory obsolescence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1,158</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Finance expenses and accretion</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5,391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2,206</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Deferred tax recovery</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Loss on sale of subsidiary</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11,355</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2,040</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 short- and long-term</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12,487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14,891</w:t>
            </w: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390</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1,603</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1,345</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Trade payables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(2,211)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1,005</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(5,089)</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(217)</w:t>
            </w: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Severance pay funds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Unearned interest income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(1,215)</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(1,059)</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w:t>
            </w:r>
          </w:p>
        </w:tc>
      </w:tr>
      <w:tr>
        <w:trPr>
          <w:trHeight w:val="142"/>
        </w:trPr>
        <w:tc>
          <w:tcPr>
            <w:tcW w:w="8000" w:type="dxa"/>
            <w:vAlign w:val="bottom"/>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(12,859)</w:t>
            </w: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(USED IN) INVESTING ACTIVITIES: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w:t>
            </w:r>
          </w:p>
        </w:tc>
      </w:tr>
      <w:tr>
        <w:trPr>
          <w:trHeight w:val="142"/>
        </w:trPr>
        <w:tc>
          <w:tcPr>
            <w:tcW w:w="8000" w:type="dxa"/>
            <w:vAlign w:val="bottom"/>
            <w:tcBorders>
              <w:top w:val="single" w:sz="8" w:color="CCEEFF"/>
              <w:bottom w:val="single" w:sz="8" w:color="CCEEFF"/>
            </w:tcBorders>
            <w:shd w:val="clear" w:color="auto" w:fill="CCEEFF"/>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2024 Registered Direct Offering shares and warrants, net of costs $222</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6,261</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2024 Convertible Notes issued to EW, net of costs $393</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816</w:t>
            </w:r>
          </w:p>
        </w:tc>
      </w:tr>
      <w:tr>
        <w:trPr>
          <w:trHeight w:val="149"/>
        </w:trPr>
        <w:tc>
          <w:tcPr>
            <w:tcW w:w="8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Proceeds from Short-term Bridge Financing by Madryn, net of costs $342</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7,596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 paid to non-controlling interest</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w:t>
            </w:r>
          </w:p>
        </w:tc>
      </w:tr>
      <w:tr>
        <w:trPr>
          <w:trHeight w:val="142"/>
        </w:trPr>
        <w:tc>
          <w:tcPr>
            <w:tcW w:w="8000" w:type="dxa"/>
            <w:vAlign w:val="bottom"/>
          </w:tcPr>
          <w:p>
            <w:pPr>
              <w:ind w:left="98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6,802</w:t>
            </w: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(1,125)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(6,173)</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 Beginning of year</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11,569</w:t>
            </w:r>
          </w:p>
        </w:tc>
      </w:tr>
      <w:tr>
        <w:trPr>
          <w:trHeight w:val="182"/>
        </w:trPr>
        <w:tc>
          <w:tcPr>
            <w:tcW w:w="8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 End of year</w:t>
            </w:r>
          </w:p>
        </w:tc>
        <w:tc>
          <w:tcPr>
            <w:tcW w:w="960" w:type="dxa"/>
            <w:vAlign w:val="bottom"/>
            <w:tcBorders>
              <w:top w:val="single" w:sz="8" w:color="auto"/>
              <w:bottom w:val="single" w:sz="8" w:color="auto"/>
            </w:tcBorders>
            <w:shd w:val="clear" w:color="auto" w:fill="CCEEFF"/>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4,271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020" w:type="dxa"/>
            <w:vAlign w:val="bottom"/>
            <w:gridSpan w:val="2"/>
            <w:shd w:val="clear" w:color="auto" w:fill="CCEEFF"/>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w:t>
            </w:r>
          </w:p>
        </w:tc>
      </w:tr>
      <w:tr>
        <w:trPr>
          <w:trHeight w:val="188"/>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1,610</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4,473</w:t>
            </w: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consolidated financial statements, the “Company,” “Venus Concept,” “our,” and “we,”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December 31, 2024 and December 31, 2023, the Company had an accumulated deficit of $308,899 and $261,903, respectively, though, the Company was in compliance with all required covenants as of December 31, 2024, and December 31, 2023. The Company’s recurring losses from operations and negative cash flows raise substantial doubt about the Company’s ability to continue as a going concern within 12 months from the date that the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financial market conditions will continue to adversely impact the Company’s business and the Company may need additional capital or refinance existing debt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Bid-Price Deficiency - Extension and Regain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11, 2024, the Company received a notice from Listing Qualifications Department of Nasdaq ("Nasdaq") stating that for 32 consecutive business days the Company’s common stock did not maintain a minimum closing bid price of $1.00 per share (“Minimum Bid Price Requirement”) as required for continued listing under Listing Rule 5550(a)(2).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October 8, 2024 (the “Initial Compliance Date”), to regain compliance with the Minimum Bid Price Requirement. The Company did not regain compliance with the Bid Price Requirement by the Initial Compliance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April 7, 2025,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 to Nasdaq Listing Rule 5810(c)(3)(H).</w:t>
      </w:r>
    </w:p>
    <w:p>
      <w:pPr>
        <w:sectPr>
          <w:pgSz w:w="11900" w:h="16838" w:orient="portrait"/>
          <w:cols w:equalWidth="0" w:num="1">
            <w:col w:w="11240"/>
          </w:cols>
          <w:pgMar w:left="320" w:top="121" w:right="339" w:bottom="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auto"/>
        </w:rPr>
        <w:t>On March 18, 2025, the Company received a notice from Nasdaq stating that, following the completion of the Reverse Stock Split, the Company regained compliance with the Bid Price Requirement.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with the instructions to Form 10-K and Regulation S-X.</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December 31, 2024 and through the date of this report filing. The accounting matters assessed included, but were not limited to, the allowance for expected credit losses and the carrying value of intangible and long-lived assets.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the special meeting of the Company’s shareholders held on February 14,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shareholders granted the Company’s Board discretionary authority to implement a consolidation of the issued and outstanding common shares of the Company (a "Reverse Stock Split") and to fix the specific ratio within a range of one-for-five (1-for-5) to one-for-sixteen (1-for-16) consolidation. On February 28, 2025, the Company filed an amendment to the Company’s Certificate of Incorporation to implement the Reverse Stock Split based on a one-for-eleven (1-for-11) consolidation ratio on March 3, 2025. The Company’s common shares began trading on the Nasdaq Capital Market on a reverse split-adjusted basis under the Company’s existing trade symbol “VERO” at the opening of the market on March 4, 2025. In accordance with U.S. GAAP, the change has been applied retroactively.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Venus Concept Inc. and its wholly owned subsidiaries. All significant intercompany accounts and transactions have been eliminated on consolidation. Where the Company does not own 100% of its subsidiaries, it accounts for the partial ownership interest through non-controlling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expected credit losses, inventory valuation, stock-based compensation, warranty accrual, the valuation and measurement of deferred tax assets and liabilities, accrued severance pay, useful lives of property and equipment, useful lives of intangible assets, and impairment of long-lived assets.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functional currency is the U.S. dollar as determined by management. All exchange gains and losses from remeasurement of monetary balance sheet items resulting from transactions in non-functional currencies are recorded in the consolidated statements of operations as they arise. 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expected credit losses is provided with respect to all balances for which collection is deemed to be doubtful.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disruptions, including increases to inflation rates, rising interest rates, foreign currency impacts, and declines in economic growth. All these factors point to uncertainty about economic stability, and the severity and duration of these conditions on our Company cannot be predicted.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Food and Drug Administration's ("FDA")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December 31, 2024 and 2023, the most significant financial liabilities are trade payables, accrued expenses and other current liabilities and long-term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there were no customers accounting for more than 10% of the Company’s revenue and no customers accounting for more than 10% of the Company’s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accounts receivable do not bear interest and are typically not collateralized. The Company performs ongoing credit evaluations of its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the Company's consolidated financial position, results of operations and cash flows. The allowance for expected credit losses was $3,786 and $7,415 as of December 31, 2024 and 2023,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raw materials, work in progress ("WIP") and finished goods. Cost for raw materials is determined on a standard cost basis utilizing the weighted average cost of historical purchases, which approximates actual cost.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WIP and finished goods includes the cost of raw materials and the applicable share of the cost of labor and fixed and variable production overheads. The Company regularly evaluates the value of inventory based on a combination of factors including the following: historical usage rates, product end of life dates, technological obsolescence and product introductions. The Company includes demonstration units within inventories. Proceeds from the sale of demonstration units are recorded as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internal lease program revenues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10% for the year ended December 31, 2024 and 8% to 10% for the year ended December 31, 2023. Unearned interest revenue represents the interest only portion of the respective lease program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agreement is, or contains, a lease at inception. An agreement is, or contains, a lease if the contact conveys the right to control the use of an identified asset for a period of time in exchange for consideration. The Company leases assets including land and buildings, vehicles, and equipment. For leases with a term of 12 months or less or of low value, the payments are expensed as incurred.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lease is a lease in which a lessor transfers the use of an asset to a lessee for a period of time but does not effectively transfer control of the underlying asset. For lessees, a lease is a finance lease if the lessee effectively obtains control of the underlying asset, by meeting any of the following five criteria:</w:t>
      </w:r>
    </w:p>
    <w:p>
      <w:pPr>
        <w:spacing w:after="0" w:line="176"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225" w:lineRule="exact"/>
        <w:rPr>
          <w:rFonts w:ascii="Times New Roman" w:cs="Times New Roman" w:eastAsia="Times New Roman" w:hAnsi="Times New Roman"/>
          <w:sz w:val="18"/>
          <w:szCs w:val="18"/>
          <w:color w:val="auto"/>
        </w:rPr>
      </w:pPr>
    </w:p>
    <w:p>
      <w:pPr>
        <w:ind w:left="5540" w:right="1840" w:hanging="5046"/>
        <w:spacing w:after="0" w:line="532" w:lineRule="auto"/>
        <w:tabs>
          <w:tab w:leader="none" w:pos="9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grants the lessee an option to purchase the underlying asset that the lessee is reasonably certain to exercise.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(generally 75%) of the remaining economic life of the underlying asset.</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lease payments and the present value of any residual value guaranteed by the lessee amounts to or exceeds substantially all (generally 90%) of the fair value of the underlying asset.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it is expected to have no alternative use to the lessor at the end of the lease term.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finance lease, the right-of-use asset is subsequently depreciated using the straight-line method from the commencement date to the earlier of the end of the useful life of the right-of-use asset or the end of the lease term. The estimated useful lives of right-of-use assets are determined based upon the lease term. For an operating lease, amortization of the right-of-use asset is calculated on a straight-line rent basis over the lease term. In addition, the right-of-use asset is periodically reduced by impairment losses, if any, and adjusted for certain remeasurements of the lease liability.</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Company uses its incremental borrowing rate. Generally, the Company uses its incremental borrowing rate as the discount rate. The Company has determined that there are no variable payments, residual value guarantees, lease renewal options or early termination options that are reasonably certain to be exercised, and therefore have been excluded these from initial measurement.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leases for which we are the lessee are operating leases and are included within operating lease right-of-use assets, net, operating lease liabilities, and long-term operating lease liabilities in our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consist of customer relationships, brand, technology and supplier agreement. Intangible assets are stated at cost less accumulated amortization. Amortization is computed using the straight-line method over the estimated useful lives of the respective assets, which range from approximately six to fifteen years. 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2024 and 2023, there was no impairment of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related to the issuance of debt are presented as a direct deduction to the carrying value of the debt and are amortized to accretion expenses using the effective interest rate method over the term of the related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terms of convertible notes, equity instruments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their fair value. Derivative financial instruments that are accounted for as liabilities, are initially recorded at fair value and then re-valued at each reporting date, with changes in the fair value recognized in the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t>Deferred revenues represent payments received prior to the income being earned. Once the equipment has been delivered or the services have been rendered, these amounts are recognized in income.</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(1) sales of systems through our internal financing programs, in accordance with ASC 842, "Leases" ("ASC 842"), traditional system sales to customers and distributors, (2) other product revenues from the sale of ARTAS procedure kits, marketing supplies and kits, consumables and (3) and our extended warranty service contracts provided to existing customers.</w:t>
      </w:r>
    </w:p>
    <w:p>
      <w:pPr>
        <w:spacing w:after="0" w:line="176"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8"/>
          <w:szCs w:val="18"/>
          <w:color w:val="auto"/>
        </w:rPr>
        <w:t>Many of the Company’s products are sold under our Venus Prime program and legacy subscription model, with unencumbered title passing to the customer at the earlier of the end of the term and when the payment is received in full. The internal financing programs include an initial deposit followed by monthly installments typically over a period of 36 months. In accordance with ASC 842,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Company recognizes revenues on other products and services in accordance with ASC 606. Revenue is recognized based on the following five steps:</w:t>
      </w:r>
    </w:p>
    <w:p>
      <w:pPr>
        <w:spacing w:after="0" w:line="27" w:lineRule="exact"/>
        <w:rPr>
          <w:sz w:val="20"/>
          <w:szCs w:val="20"/>
          <w:color w:val="auto"/>
        </w:rPr>
      </w:pPr>
    </w:p>
    <w:p>
      <w:pPr>
        <w:jc w:val="both"/>
        <w:ind w:left="10" w:hanging="10"/>
        <w:spacing w:after="0" w:line="255" w:lineRule="auto"/>
        <w:tabs>
          <w:tab w:leader="none" w:pos="2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6"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The Company does not grant rights of return to its end customers. The Company’s products sold through arrangements with distributors are non-refundable, non-returnable and without any rights of price protection. The Company records revenue net of sales tax and shipping and handling costs.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Cost of Goods</w:t>
      </w:r>
    </w:p>
    <w:p>
      <w:pPr>
        <w:spacing w:after="0" w:line="229"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t>For internal lease program sales (qualifying as sales-type lease arrangements) and product sales, the costs are recognized upon shipment to the customer or distributor.</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The cost of advertising and media is expensed as incurred and included within Selling and marketing in the consolidated statements of operations. For the years ended December 31, 2024 and 2023, advertising costs totaled $1,217 and $1,121, respectively.</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Major components of research and development expenses consist of personnel costs, including salaries and benefits, hardware and software research and development costs, and clinical studies.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Company provides a standard warranty against defects for all of its systems. The warranty period begins upon shipment and is for a period of one year.</w:t>
      </w:r>
    </w:p>
    <w:p>
      <w:pPr>
        <w:spacing w:after="0" w:line="225"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8"/>
          <w:szCs w:val="18"/>
          <w:color w:val="auto"/>
        </w:rPr>
        <w:t>The Company records a liability for accrued warranty costs at the time of sale of a system, which consists of the warranty on products sold based on historical warranty costs and management's estimates. The Company periodically assesses the adequacy of its recorded warranty liabilities and adjusts the amounts thereof as necessary. The Company also provides an extended warranty service. Extended warranty can be purchased at any time after the purchase of a system and prior to the expiration of the standard warranty provided with the sale of the system. Extended warranty services include standard warranty services. The Company recognizes the revenue from the sale of an extended warranty over the period of the extended warranty and accounts it for separately from the standard warranty.</w:t>
      </w:r>
    </w:p>
    <w:p>
      <w:pPr>
        <w:spacing w:after="0" w:line="18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 and recognizes interest charges and penalties related to recognized tax positions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requires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On January 1, 2024, the adoption of ASU 2020-06 did not have a material impact on the Company’s consolidated financial statements or disclosures.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must be applied on a retrospective basis to all prior periods presented in the consolidated financial statements. The Company adopted the guidance in the fiscal year beginning January 1, 2024. There was no impact on the Company's reportable segments identified and additional required disclosures have been included in Note 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The Company is currently assessing the impact of applying this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(46,971)</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(37,050)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(46,996)</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(37,250)</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w:t>
            </w:r>
          </w:p>
        </w:tc>
        <w:tc>
          <w:tcPr>
            <w:tcW w:w="9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w:t>
            </w:r>
          </w:p>
        </w:tc>
        <w:tc>
          <w:tcPr>
            <w:tcW w:w="9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years ended December 31, 2024 and 2023 because including them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89,325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89,449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3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7,852,840</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808,050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3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268,356</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89,393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for common stock</w:t>
            </w:r>
          </w:p>
        </w:tc>
        <w:tc>
          <w:tcPr>
            <w:tcW w:w="2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96,598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2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8,363,668</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1,083,490</w:t>
            </w:r>
          </w:p>
        </w:tc>
        <w:tc>
          <w:tcPr>
            <w:tcW w:w="1140" w:type="dxa"/>
            <w:vAlign w:val="bottom"/>
          </w:tcPr>
          <w:p>
            <w:pPr>
              <w:spacing w:after="0"/>
              <w:rPr>
                <w:sz w:val="21"/>
                <w:szCs w:val="21"/>
                <w:color w:val="auto"/>
              </w:rPr>
            </w:pPr>
          </w:p>
        </w:tc>
      </w:tr>
      <w:tr>
        <w:trPr>
          <w:trHeight w:val="629"/>
        </w:trPr>
        <w:tc>
          <w:tcPr>
            <w:tcW w:w="112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either amortized cost using the effective interest method or via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trade payables, accrued expenses and other current liabilities, note payable, embedded derivatives, warranty liability, accrued severance pay,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convertible notes (see Note 13) contain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1"/>
          </w:tcPr>
          <w:p>
            <w:pPr>
              <w:ind w:left="48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Inputs (Level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77"/>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1"/>
          </w:tcPr>
          <w:p>
            <w:pPr>
              <w:ind w:left="48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2023</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Inputs (Level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may be sold under our Venus Prime program and legacy subscription model,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consolidated balance sheets. The Company’s financing receivables, consisting of sales-type leases, totaled $19,262 and $32,393 at December 31, 2024 and 2023,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December 31, 2024 and 2023. Based upon such assessment, the Company recorded an allowance for expected credit losses totaling $3,786 and $7,415 as of December 31, 2024 and 2023, respectively. The balance as of December 31, 2023 included $0.5 million due to the adoption of revised guidance of ASC 326 "Financial Instruments - Credit Losses" (Topic 326) Measurement Credit Losses on Financial Instruments.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47,884</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(3,786)</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(7,415)</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38,330</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6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29,151</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11,318</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38,330</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Current Venus Prime and subscription agreements are reported as part of accounts receivable. The following are the contractual commitments, net of allowance for expected credit losses, to be received by the Company over the next 5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 of</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 allowance</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4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5,678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200" w:type="dxa"/>
            <w:vAlign w:val="bottom"/>
          </w:tcPr>
          <w:p>
            <w:pPr>
              <w:spacing w:after="0"/>
              <w:rPr>
                <w:sz w:val="17"/>
                <w:szCs w:val="17"/>
                <w:color w:val="auto"/>
              </w:rPr>
            </w:pP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7"/>
                <w:szCs w:val="17"/>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 $384</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from our Venus Prime program bear interest commensurate with the customer's credit risk. Accounts receivable from our legacy subscription model do not bear interest and are typically not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receivables are deemed past due in accordance with the contractual terms of the agreement. Actual losses may differ from the Company’s estimates and could be material to its consolidated balance sheets,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7,415</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4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1,649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1,949</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2,048</w:t>
            </w:r>
          </w:p>
        </w:tc>
      </w:tr>
      <w:tr>
        <w:trPr>
          <w:trHeight w:val="234"/>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19,075</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17,561</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-582295</wp:posOffset>
            </wp:positionV>
            <wp:extent cx="570039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570039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year from upgraded sales. The Company expensed $18,137 and $22,687 in cost of goods sold for the years ending December 31, 2024 and December, 31, 2023, respectively. The balance of cost of goods sold represents the sale of applicators, parts, consumables and warranties.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December 31, 2024 and December 31, 2023, a provision for obsolescence of $1,977 and $2,733 was taken against inventory, respectively. The Company had write-offs of inventory of $1,804 and $1,683 for the years ending December 31, 2024 and 2023,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Useful Lives (in</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4 – 10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4,549</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4,356</w:t>
            </w: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6 – 10</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up to 10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1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 – 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(6,659)</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(6,281)</w:t>
            </w:r>
          </w:p>
        </w:tc>
      </w:tr>
      <w:tr>
        <w:trPr>
          <w:trHeight w:val="250"/>
        </w:trPr>
        <w:tc>
          <w:tcPr>
            <w:tcW w:w="11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$415 and $642 for the years ended December 31, 2024 and 2023,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Government remittances </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Government remittances are receivables from the local tax authorities for refunds of sales taxes and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accrual</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12,437</w:t>
            </w:r>
          </w:p>
        </w:tc>
        <w:tc>
          <w:tcPr>
            <w:tcW w:w="11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during the year</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 during the year</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6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917</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1,363</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5680" w:type="dxa"/>
            <w:vAlign w:val="bottom"/>
            <w:tcBorders>
              <w:top w:val="single" w:sz="8" w:color="CCEEFF"/>
            </w:tcBorders>
          </w:tcPr>
          <w:p>
            <w:pPr>
              <w:ind w:left="4360"/>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6,629</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expenses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6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6,893</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lease certain equipment, vehicles, and office space. Leases with an initial term of 12 months or less are not recorded on our consolidated balance sheet. Leases are presented in our consolidated balance sheets within Operating right-of-use-assets, net, Operating lease liabilities – current, and Operating lease liabilities – long-term.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p>
      <w:pPr>
        <w:spacing w:after="0" w:line="22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19685</wp:posOffset>
            </wp:positionV>
            <wp:extent cx="2048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0485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 w:lineRule="exact"/>
        <w:rPr>
          <w:sz w:val="20"/>
          <w:szCs w:val="20"/>
          <w:color w:val="auto"/>
        </w:rPr>
      </w:pPr>
    </w:p>
    <w:p>
      <w:pPr>
        <w:ind w:left="1140"/>
        <w:spacing w:after="0"/>
        <w:tabs>
          <w:tab w:leader="none" w:pos="6780" w:val="left"/>
          <w:tab w:leader="none" w:pos="7920" w:val="left"/>
          <w:tab w:leader="none" w:pos="8480" w:val="left"/>
          <w:tab w:leader="none" w:pos="9600" w:val="left"/>
        </w:tabs>
        <w:rPr>
          <w:sz w:val="20"/>
          <w:szCs w:val="20"/>
          <w:color w:val="auto"/>
        </w:rPr>
      </w:pPr>
      <w:r>
        <w:rPr>
          <w:rFonts w:ascii="Times New Roman" w:cs="Times New Roman" w:eastAsia="Times New Roman" w:hAnsi="Times New Roman"/>
          <w:sz w:val="18"/>
          <w:szCs w:val="18"/>
          <w:color w:val="auto"/>
        </w:rPr>
        <w:t>Operating lease cost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1,455</w:t>
        <w:tab/>
        <w:t>$</w:t>
      </w:r>
      <w:r>
        <w:rPr>
          <w:sz w:val="20"/>
          <w:szCs w:val="20"/>
          <w:color w:val="auto"/>
        </w:rPr>
        <w:tab/>
      </w:r>
      <w:r>
        <w:rPr>
          <w:rFonts w:ascii="Times New Roman" w:cs="Times New Roman" w:eastAsia="Times New Roman" w:hAnsi="Times New Roman"/>
          <w:sz w:val="17"/>
          <w:szCs w:val="17"/>
          <w:color w:val="auto"/>
        </w:rPr>
        <w:t>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19685</wp:posOffset>
            </wp:positionV>
            <wp:extent cx="20485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1" w:lineRule="exact"/>
        <w:rPr>
          <w:sz w:val="20"/>
          <w:szCs w:val="20"/>
          <w:color w:val="auto"/>
        </w:rPr>
      </w:pPr>
    </w:p>
    <w:p>
      <w:pPr>
        <w:ind w:left="740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0485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 w:lineRule="exact"/>
        <w:rPr>
          <w:sz w:val="20"/>
          <w:szCs w:val="20"/>
          <w:color w:val="auto"/>
        </w:rPr>
      </w:pPr>
    </w:p>
    <w:p>
      <w:pPr>
        <w:ind w:left="1140"/>
        <w:spacing w:after="0"/>
        <w:tabs>
          <w:tab w:leader="none" w:pos="6780" w:val="left"/>
          <w:tab w:leader="none" w:pos="7920" w:val="left"/>
          <w:tab w:leader="none" w:pos="8480" w:val="left"/>
          <w:tab w:leader="none" w:pos="9600" w:val="left"/>
        </w:tabs>
        <w:rPr>
          <w:sz w:val="20"/>
          <w:szCs w:val="20"/>
          <w:color w:val="auto"/>
        </w:rPr>
      </w:pPr>
      <w:r>
        <w:rPr>
          <w:rFonts w:ascii="Times New Roman" w:cs="Times New Roman" w:eastAsia="Times New Roman" w:hAnsi="Times New Roman"/>
          <w:sz w:val="18"/>
          <w:szCs w:val="18"/>
          <w:color w:val="auto"/>
        </w:rPr>
        <w:t>Operating cash outflows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1,455</w:t>
        <w:tab/>
        <w:t>$</w:t>
      </w:r>
      <w:r>
        <w:rPr>
          <w:sz w:val="20"/>
          <w:szCs w:val="20"/>
          <w:color w:val="auto"/>
        </w:rPr>
        <w:tab/>
      </w:r>
      <w:r>
        <w:rPr>
          <w:rFonts w:ascii="Times New Roman" w:cs="Times New Roman" w:eastAsia="Times New Roman" w:hAnsi="Times New Roman"/>
          <w:sz w:val="17"/>
          <w:szCs w:val="17"/>
          <w:color w:val="auto"/>
        </w:rPr>
        <w:t>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4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5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 yrs.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yrs.</w:t>
            </w: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gridSpan w:val="2"/>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1,322</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 (1)</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80" w:right="4140" w:hanging="5472"/>
        <w:spacing w:after="0" w:line="372" w:lineRule="auto"/>
        <w:tabs>
          <w:tab w:leader="none" w:pos="485"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Imputed interest represents the difference between undiscounted cash flows and cash flows.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Based on the analysis of the intangible assets performed by management as of December 31, 2024 and 2023, no impairment was considered necessary.</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784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(14,553)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-161925</wp:posOffset>
            </wp:positionV>
            <wp:extent cx="641223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Amortization expense was $3,474 and $3,473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and all years thereafter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3,004</w:t>
            </w: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140" w:type="dxa"/>
            <w:vAlign w:val="bottom"/>
          </w:tcPr>
          <w:p>
            <w:pPr>
              <w:spacing w:after="0"/>
              <w:rPr>
                <w:sz w:val="19"/>
                <w:szCs w:val="19"/>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1140" w:type="dxa"/>
            <w:vAlign w:val="bottom"/>
          </w:tcPr>
          <w:p>
            <w:pPr>
              <w:spacing w:after="0"/>
              <w:rPr>
                <w:sz w:val="18"/>
                <w:szCs w:val="18"/>
                <w:color w:val="auto"/>
              </w:rPr>
            </w:pPr>
          </w:p>
        </w:tc>
      </w:tr>
      <w:tr>
        <w:trPr>
          <w:trHeight w:val="216"/>
        </w:trPr>
        <w:tc>
          <w:tcPr>
            <w:tcW w:w="1140" w:type="dxa"/>
            <w:vAlign w:val="bottom"/>
            <w:tcBorders>
              <w:right w:val="single" w:sz="8" w:color="CCEEFF"/>
            </w:tcBorders>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1140" w:type="dxa"/>
            <w:vAlign w:val="bottom"/>
          </w:tcPr>
          <w:p>
            <w:pPr>
              <w:spacing w:after="0"/>
              <w:rPr>
                <w:sz w:val="18"/>
                <w:szCs w:val="18"/>
                <w:color w:val="auto"/>
              </w:rPr>
            </w:pPr>
          </w:p>
        </w:tc>
      </w:tr>
      <w:tr>
        <w:trPr>
          <w:trHeight w:val="250"/>
        </w:trPr>
        <w:tc>
          <w:tcPr>
            <w:tcW w:w="1140" w:type="dxa"/>
            <w:vAlign w:val="bottom"/>
            <w:tcBorders>
              <w:right w:val="single" w:sz="8" w:color="CCEEFF"/>
            </w:tcBorders>
          </w:tcPr>
          <w:p>
            <w:pPr>
              <w:spacing w:after="0"/>
              <w:rPr>
                <w:sz w:val="21"/>
                <w:szCs w:val="21"/>
                <w:color w:val="auto"/>
              </w:rPr>
            </w:pPr>
          </w:p>
        </w:tc>
        <w:tc>
          <w:tcPr>
            <w:tcW w:w="32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110</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non-cancellable purchase orders placed with its contract manufacturers in the amount of $13.6 million. In addition, as of December 31, 2024, the Company had $2.1 million of open purchase orders that can be cancelled with 270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 and</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140" w:type="dxa"/>
            <w:vAlign w:val="bottom"/>
          </w:tcPr>
          <w:p>
            <w:pPr>
              <w:spacing w:after="0"/>
              <w:rPr>
                <w:sz w:val="18"/>
                <w:szCs w:val="18"/>
                <w:color w:val="auto"/>
              </w:rPr>
            </w:pPr>
          </w:p>
        </w:tc>
      </w:tr>
      <w:tr>
        <w:trPr>
          <w:trHeight w:val="211"/>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40" w:type="dxa"/>
            <w:vAlign w:val="bottom"/>
            <w:tcBorders>
              <w:right w:val="single" w:sz="8" w:color="CCEEFF"/>
            </w:tcBorders>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13,308</w:t>
            </w:r>
          </w:p>
        </w:tc>
        <w:tc>
          <w:tcPr>
            <w:tcW w:w="114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40" w:type="dxa"/>
            <w:vAlign w:val="bottom"/>
            <w:tcBorders>
              <w:right w:val="single" w:sz="8" w:color="CCEEFF"/>
            </w:tcBorders>
          </w:tcPr>
          <w:p>
            <w:pPr>
              <w:spacing w:after="0"/>
              <w:rPr>
                <w:sz w:val="21"/>
                <w:szCs w:val="21"/>
                <w:color w:val="auto"/>
              </w:rPr>
            </w:pPr>
          </w:p>
        </w:tc>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13,594</w:t>
            </w:r>
          </w:p>
        </w:tc>
        <w:tc>
          <w:tcPr>
            <w:tcW w:w="114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4140" w:type="dxa"/>
            <w:vAlign w:val="bottom"/>
            <w:tcBorders>
              <w:top w:val="single" w:sz="8" w:color="CCEEFF"/>
            </w:tcBorders>
          </w:tcPr>
          <w:p>
            <w:pPr>
              <w:jc w:val="right"/>
              <w:ind w:right="265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the MSLP Loan Agreement, the MSLP Note, and related documents for a loan in the aggregate amount of $50,000 for which CNB will serve as a lender pursuant to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at maturity,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the Company, Venus USA Inc., Venus Canada and Venus Ltd. (Venus Ltd., together with Venus USA, Venus Canada and the Company, the "Loan Parties")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On May 24, 2024, the MSLP Loan was amended by way of a loan amendment and consent agreement (the “MSLP Loan Amendment”) with Madryn. The MSLP Loan Amendment amended the Loan Agreement to, among other things, (i) modify the May 2024 and June 2024 interest payments to be payable-in-kind, (ii) grant certain relief from the Minimum Deposit Relationship obligations through June 7,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24, 2024, the Company entered into the 2024 Exchange Agreement whereby the Company exchanged $52,142 in aggregate principal amount outstanding under the MSLP Loan Agreement for $17,142 in New Secured Notes and 576,986 shares of Series Y Convertible Preferred Stock. The Series Y Convertible Preferred Stock is priced at $667.26 per share, being equal to the product of (i) the average closing price (as reflected on Nasdaq.com) of the Company's common stock for the five trading days immediately preceding date of the 2024 Exchange Agreement, multiplied by (ii) 9.0909. The New Secured Notes follow the same terms as the MSLP Loan Agreement. As part of the extinguishment of principal, the Company recognized a $10.9 million non-cash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2024, the Loan Parties entered into a consent agreement with Madryn to amend the MSLP Loan Amendment to, among other things, grant certain relief from minimum liquidity requirements under the MSLP Loan Amendment. On June 21, 2024, the Loan Parties entered into an Amendment and Consent Agreement with the Lenders to, among other things, (i) modify the July 2024 interest payment to be payable-in-kind, (ii) grant relief from the Minimum Deposit Relationship obligations through July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Loan Parties entered into a loan amendment and consent agreement with the Lenders to, among other things, grant relief under the MSLP Loan Agreement, as amended, such that (i) certain minimum liquidity requirements under the MSLP Loan Agreement are waived through August 2, 2024, and (ii) certain operating covenants for the June 30, 2024 measurement period were deleted.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the Loan Parties entered into a consent agreement with the Lenders which granted relief under the MSLP Loan Agreement, such that (i) certain minimum liquidity requirements under the MSLP Loan Agreement are waived through August 30, 2024, and (ii) permit Venus USA to apply the August 8, 2024 cash interest payment due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2024, the Loan Parties entered into a consent agreement with the Lenders which granted relief under the MSLP Loan Agreement, such that</w:t>
      </w:r>
    </w:p>
    <w:p>
      <w:pPr>
        <w:spacing w:after="0" w:line="27" w:lineRule="exact"/>
        <w:rPr>
          <w:sz w:val="20"/>
          <w:szCs w:val="20"/>
          <w:color w:val="auto"/>
        </w:rPr>
      </w:pPr>
    </w:p>
    <w:p>
      <w:pPr>
        <w:ind w:right="20" w:firstLine="8"/>
        <w:spacing w:after="0" w:line="260" w:lineRule="auto"/>
        <w:tabs>
          <w:tab w:leader="none" w:pos="2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September 30, 2024, and (ii) permit Venus USA to apply the September 8, 2024 cash interest payment due to the respective outstanding principal balance of each Note.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 Also, on September 26, 2024 the Loan Parties entered into a Third Loan Amendment which, among other things, (i) modify the October 2024 interest payment to be payable-in-kind, (ii) delete the net loss covenant, and (iii) grant relief from minimum liquidity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31, 2024, the Loan Parties entered into a consent agreement with the Lenders which granted relief under the MSLP Loan Agreement, such that</w:t>
      </w:r>
    </w:p>
    <w:p>
      <w:pPr>
        <w:spacing w:after="0" w:line="27" w:lineRule="exact"/>
        <w:rPr>
          <w:sz w:val="20"/>
          <w:szCs w:val="20"/>
          <w:color w:val="auto"/>
        </w:rPr>
      </w:pPr>
    </w:p>
    <w:p>
      <w:pPr>
        <w:ind w:firstLine="8"/>
        <w:spacing w:after="0" w:line="260" w:lineRule="auto"/>
        <w:tabs>
          <w:tab w:leader="none" w:pos="2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November 30, 2024, and (ii) permit Venus USA to apply the November 8, 2024 cash interest payment due to the respective outstanding principal balance of each Note.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2024, the Loan Parties entered into a consent agreement with the Lenders which granted relief under the MSLP Loan Agreement, such that (i) certain minimum liquidity requirements under the MSLP Loan Agreement are waived through December 31, 2024, (ii) permit Venus USA to apply the December 8, 2024 cash interest payment due to the respective outstanding principal balance of each Note, and (iii) defer the previously scheduled December 2024 principal payment to maturity.</w:t>
      </w:r>
    </w:p>
    <w:p>
      <w:pPr>
        <w:sectPr>
          <w:pgSz w:w="11900" w:h="16838" w:orient="portrait"/>
          <w:cols w:equalWidth="0" w:num="1">
            <w:col w:w="11240"/>
          </w:cols>
          <w:pgMar w:left="320" w:top="121" w:right="339" w:bottom="78"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Loan Parties entered into a consent agreement with the Lenders which granted relief under the MSLP Loan Agreement, such that (i) certain minimum liquidity requirements under the MSLP Loan Agreement are waived through January 31, 2025, and (ii) permit Venus USA to apply the January 8, 2025 cash interest payment due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2460" w:type="dxa"/>
            <w:vAlign w:val="bottom"/>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w w:val="99"/>
              </w:rPr>
              <w:t>2025</w:t>
            </w:r>
          </w:p>
        </w:tc>
        <w:tc>
          <w:tcPr>
            <w:tcW w:w="4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46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w w:val="99"/>
              </w:rPr>
              <w:t>2026</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46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3,135</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4560" w:type="dxa"/>
            <w:vAlign w:val="bottom"/>
            <w:tcBorders>
              <w:top w:val="single" w:sz="8" w:color="CCEEFF"/>
            </w:tcBorders>
          </w:tcPr>
          <w:p>
            <w:pPr>
              <w:jc w:val="right"/>
              <w:ind w:right="229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2016, Venus Ltd. entered into the Madryn Credit Agreement, pursuant to which Madryn agreed to make certain loans to certain of Venus Concept’s subsidiaries.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the Exchange Agreement dated as of December 8, 2020, pursuant to which the Company on December 9, 2020 (i) repaid $42.5 million aggregate principal amount owed under the Madryn Credit Agreement, and (ii) issued to the Madryn Noteholders the Notes. The Madryn Credit Agreement was terminated effective December 9, 2020 upon the funding and closing of the MSLP Loan and the issuance of the Notes.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entered into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Convertible Notes”) and (ii) 248,755 shares of newly-created convertible preferred stock of the Company, par value $0.0001 per share designated as "Series X Convertible Preferred Stock" (the "Series X Preferred Stock"). The Series X Preferred Stock is priced at $221.10 per share, being equal to the "Minimum Price" as set forth in Nasdaq Listing Rule 5635(d), multiplied by 0.9091. The New Convertible Notes accrue interest at a rate of 3-month adjusted term Secured Overnight Financing Rate (SOFR) plus 8.50% per annum. In the case of an event of default under the New Convertible Notes, the then-applicable interest rate will increase by four percent (4.00%) per annum. Interest is payable in kind in arrears on the last business day of each calendar quarter of each year after the original issuance date, beginning on December 31, 2023. The New Convertible Notes mature on December 9, 2025, unless earlier redeemed or converted. As part of the extinguishment of principal, the Company recognized a $2.0 million loss.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New Convertible Notes were amended to, among other things, align the covenant protections in favor of the Madryn Noteholders with the MSLP Loan Agreement, as amended by the MSLP Loan Amendment.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$27.1 million principal and interest of New Convertible Notes and Notes outstanding that were issued pursuant to the 2024 Exchange Agreement.</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connection with the New Convertible Notes and Notes, the Company recognized interest expense of $3,502 and $2,438 during the years ended December 31, 2024 and December 31, 2023, respectively. The conversion feature, providing the Madryn Noteholders with a right to receive the Company’s shares upon conversion of the New Convertible Notes and Notes, was qualified for a scope exception in ASC 815-10-15 and did not require bifurcation. The New Convertible Notes and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New Notes and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consolidated statements of operations.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of the Notes and New Convertible Notes as of December 31, 2024 totals $35,176 and are due in 2026. For the years ended December 31, 2024 and 2023, the Company did not make any principal repayments.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 and one or more delayed draw term loans of up to an additional principal amount of $2,762 (the “Bridge Financing”). The Bridge Financing originally had a maturity date of May 26, 2024. Pursuant to the Loan and Security Agreement, each of the 2024 Guarantors, jointly and severally, guarantee, that the Obligations (as defined in the Loan and Security Agreement) will be performed and paid in full when due and payable.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Loan and Security Agreement will bear interest at a rate per annum equal to 12%, due at maturity. The Loan and Security Agreement also provides that all present and future indebtedness and the obligations of the Bridge Borrower to Madryn Health Partners, LP shall be secured by a priority security interest in all real and personal property collateral of the Bridge Financing Loan Parties.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Health Partners, LP to cause the Bridge Borrower’s indebtedness under the Loan and Security Agreement to become immediately due and payable, and to exercise remedies against the Bridge Financing Loan Parties and the collateral securing the Bridge Financing. Under the Loan and Security Agreement, an event of default will occur if, among other things, any of the Bridge Financing Loan Parties fails to make payments under the Loan and Security Agreement, any of the Bridge Financing Loan Parties breaches any of the covenants under the Loan and Security Agreement, a Change of Control (as defined in the Loan and Security Agreement) occurs, any of the Bridge Financing Loan Parties,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Loan and Security Agreement was amended to extend the maturity date from May 26, 2024 to June 7, 2024. On June 7, 2024, the Loan Parties entered into a Second Bridge Loan Amendment Agreement which further extended the maturity date of the Bridge Financing from June 7, 2024 to June 21, 2024. On June 21, 2024, the Bridge Financing Loan Parties entered into a Third Bridge Loan Amendment Agreement with the 2024 Lenders which further extended the maturity date of the Bridge Financing from June 21, 2024 to July 8, 2024.</w:t>
      </w:r>
    </w:p>
    <w:p>
      <w:pPr>
        <w:sectPr>
          <w:pgSz w:w="11900" w:h="16838" w:orient="portrait"/>
          <w:cols w:equalWidth="0" w:num="1">
            <w:col w:w="11240"/>
          </w:cols>
          <w:pgMar w:left="320" w:top="121" w:right="339" w:bottom="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Bridge Financing Loan Parties entered into a Fourth Bridge Loan Amendment Agreement (the “Fourth Bridge Loan Amendment”). The Fourth Bridge Loan Amendment amended that certain Loan and Security Agreement, dated April 23, 2024, among the Bridge Financing Loan Parties and the 2024 Lenders to extend the maturity date of the bridge loan from July 8, 2024 to August 2,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26, 2024, the 2024 Lenders agreed to provide the Bridge Borrower with a subsequent drawdown under the Loan and Security Agreement in the principal amount of $1,000 (the “July Drawdown”). The July Drawdown was fully funded on July 26, 2024.</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29, 2024, the Bridge Financing Loan Parties entered into a Fifth Bridge Loan Amendment Agreement (the “Fifth Bridge Loan Amendment”). The Fifth Bridge Loan Amendment amended the Loan and Security Agreement to, among other things, (i) modify the availability period for subsequent drawdowns under the Bridge Financing from ten days to two days prior to the maturity date, (ii) increase the Delayed Draw Commitment, as defined in the Loan and Security Agreement, from $2,762 to $3,000, and (iii) extend the maturity date of the Bridge Financing from August 2, 2024 to August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2024 the Bridge Financing Loan Parties entered into a Sixth Bridge Loan Amendment Agreement which extended the maturity date of the Bridge Financing from August 30, 2024 to September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2024, the 2024 Lenders agreed to provide the Bridge Borrower with a subsequent drawdown under the Loan and Security Agreement in the principal amount of $1,000, which was fully funded on September 11,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2024, the Bridge Financing Loan Parties entered into a Seventh Bridge Loan Amendment Agreement which extended the maturity date of the Bridge Financing from September 30, 2024 to October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2024, the 2024 Lenders agreed to provide the Bridge Borrower with a subsequent drawdown under the Loan and Security Agreement in the principal amount of $1,000, which was fully funded on November 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2024, the Bridge Financing Loan Parties entered into an Eighth Bridge Loan Amendment Agreement which extended the maturity date of the Bridge Financing from October 31, 2024 to November 30,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2024, the Bridge Financing Loan Parties entered into a Ninth Bridge Loan Amendment Agreement which (i) increased the Delayed Draw Commitment from $3,000 to $6,000, and (ii) extended the maturity date of the Bridge Financing from November 30, 2024 to December 31, 2024. The 2024 Lenders also agreed to provide the Bridge Borrower with a subsequent drawdown under the Loan and Security Agreement in the principal amount of $1,200, which was fully funded on November 26,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2024, the 2024 Lenders agreed to provide the Bridge Borrower with a subsequent drawdown under the Loan and Security Agreement in the principal amount of $1,500, which was fully funded on December 9,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2024, the Bridge Financing Loan Parties entered into a Tenth Bridge Loan Amendment Agreement which extended the maturity date of the Bridge Financing from December 31, 2024 to January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scheduled payments, inclusive of principal and interest of $8,519 will be paid at maturity. For the year ended December 31, 2024, the Company did not make any principal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and Amended CNB Loan Agreement expired at its maturity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expiration of the credit facility, the Company was in compliance with all required covenants.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EW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72.6691 shares of common stock per one-thousand principal amount of 2024 Notes, which represents an initial conversion price of approximately $13.761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$2.3 million principal and interest of the 2024 Notes outstanding that were issued pursuant to the Note Purchase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$0.3 million during the year ended December 31, 2024.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consolidated statements of operations. The fair value of the embedded derivative liability at issuance and as of December 31, 2024 were $0.9 million and $0.2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required covenants. The scheduled payments, inclusive of principal and interest of $2,965 are due in 2026 as per the amendment discussed in Note 19. For the year ended December 31, 2024, the Company did not make any principal payments.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153,147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96,598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89,325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89,449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7,852,840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808,050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conversion of future preferred share issuance</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500,735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531,262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29,094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8,917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118,182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118,182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190,910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5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8,934,233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572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116</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7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1000" w:hanging="486"/>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1000" w:right="20" w:hanging="486"/>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1000" w:hanging="486"/>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discretionary authority to implement the Reverse Stock Split and to fix the specific consolidation ratio within a range of one-for-five (1-for-5) to one-for-fifteen (1 for 15). On May 11, 2023, the Company filed an amendment to the Company’s Certificate of Incorporation to implement the Reverse Stock Split based on a one-for-fifteen (1-for-15) consolidation ratio. The Company’s common shares began trading on the Nasdaq Capital Market on a reverse split-adjusted basis under the Company’s existing trade symbol “VERO” at the opening of the market on May 12, 2023.</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At the special meeting of the Company’s shareholders held on February 14, 2025, the Company’s shareholders granted the Company’s Board discretionary authority to implement the Reverse Stock Split and to fix the specific consolidation ratio within a range of one-for-five (1-for-5) to one-for-sixteen (1 for 16). On February 28, 2025, the Company filed an amendment to the Company’s Certificate of Incorporation to implement the Reverse Stock Split based on a one-for-eleven (1-for-11) consolidation ratio on March 3, 2025. The Company’s common shares began trading on the Nasdaq Capital Market on a reverse split-adjusted basis under the Company’s existing trade symbol “VERO” at the opening of the market on March 4,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47,050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$655.9575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20,831 shares of its common stock at an average price of $445.50 per share, and 1,271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2,425 shares of its common stock and the proceeds from common stock issuances as of December 31, 2022 were $272, with no issuance costs. The proceeds in the amount of $272 were recorded in the consolidated statements of cash flows as net cash proceeds from issuance of common stock. The Equity Purchase Agreement expired on July 1, 2022, and was replaced with the 2022 LPC Purchase Agreement discussed below.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78,020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4,155 shares of common stock to Lincoln Park as a commitment fee in connection with entering into the 2022 LPC Purchase Agreement at the total amount of $330. Through December 31, 2023 the Company issued an additional 70,587 shares of common stock to Lincoln Park at an average price of $43.626 per share for a total value of $3,080. During the year ended December 31, 2024, the Company issued an additional 758 shares of common stock to Lincoln Park at an average price of $12.76 per share, for a total value of $10. The 2022 LPC Purchase Agreement expired on August 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18, 2022, we entered into a securities purchase agreement pursuant to which we issued and sold to the 2022 Investors an aggregate of 10,608 shares of our common stock and 3,185,000 shares of our Voting Preferred Stock.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480" w:hanging="256"/>
        <w:spacing w:after="0"/>
        <w:tabs>
          <w:tab w:leader="none" w:pos="4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 greater of</w:t>
      </w:r>
    </w:p>
    <w:p>
      <w:pPr>
        <w:spacing w:after="0" w:line="29" w:lineRule="exact"/>
        <w:rPr>
          <w:rFonts w:ascii="Times New Roman" w:cs="Times New Roman" w:eastAsia="Times New Roman" w:hAnsi="Times New Roman"/>
          <w:sz w:val="18"/>
          <w:szCs w:val="18"/>
          <w:color w:val="auto"/>
        </w:rPr>
      </w:pPr>
    </w:p>
    <w:p>
      <w:pPr>
        <w:ind w:lef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9" w:lineRule="exact"/>
        <w:rPr>
          <w:rFonts w:ascii="Times New Roman" w:cs="Times New Roman" w:eastAsia="Times New Roman" w:hAnsi="Times New Roman"/>
          <w:sz w:val="18"/>
          <w:szCs w:val="18"/>
          <w:color w:val="auto"/>
        </w:rPr>
      </w:pPr>
    </w:p>
    <w:p>
      <w:pPr>
        <w:jc w:val="both"/>
        <w:ind w:left="460" w:hanging="250"/>
        <w:spacing w:after="0" w:line="261" w:lineRule="auto"/>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0.0606 basis (i) at the option of a 2022 Investor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a valid conversion notice to the Company or (ii) at the option of the Company within 30 days following the earlier to occur of (a) the date on which the volume-weighted average price of the common stock has been greater than or equal to $206.25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460" w:hanging="263"/>
        <w:spacing w:after="0" w:line="284"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58"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460" w:hanging="250"/>
        <w:spacing w:after="0" w:line="257" w:lineRule="auto"/>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2" w:lineRule="exact"/>
        <w:rPr>
          <w:rFonts w:ascii="Times New Roman" w:cs="Times New Roman" w:eastAsia="Times New Roman" w:hAnsi="Times New Roman"/>
          <w:sz w:val="18"/>
          <w:szCs w:val="18"/>
          <w:color w:val="auto"/>
        </w:rPr>
      </w:pPr>
    </w:p>
    <w:p>
      <w:pPr>
        <w:ind w:left="460" w:hanging="250"/>
        <w:spacing w:after="0" w:line="284" w:lineRule="auto"/>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440" w:hanging="230"/>
        <w:spacing w:after="0" w:line="267" w:lineRule="auto"/>
        <w:tabs>
          <w:tab w:leader="none" w:pos="4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0.2424 basis at the option of (a) the investors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460" w:hanging="263"/>
        <w:spacing w:after="0" w:line="284"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Voting Preferred Stock.</w:t>
      </w:r>
    </w:p>
    <w:p>
      <w:pPr>
        <w:spacing w:after="0" w:line="158"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one-for-0.9091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The following is a summary of the material terms of the Series X Preferred Stock:</w:t>
      </w:r>
    </w:p>
    <w:p>
      <w:pPr>
        <w:spacing w:after="0" w:line="185" w:lineRule="exact"/>
        <w:rPr>
          <w:sz w:val="20"/>
          <w:szCs w:val="20"/>
          <w:color w:val="auto"/>
        </w:rPr>
      </w:pPr>
    </w:p>
    <w:p>
      <w:pPr>
        <w:jc w:val="both"/>
        <w:ind w:left="500" w:hanging="256"/>
        <w:spacing w:after="0" w:line="267" w:lineRule="auto"/>
        <w:tabs>
          <w:tab w:leader="none" w:pos="5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and shall be entitled to a number of votes equal to the Converted Stock Equivalent which is 0.9091 common shares per 1 Series X Preferred Stock.</w:t>
      </w:r>
    </w:p>
    <w:p>
      <w:pPr>
        <w:spacing w:after="0" w:line="173" w:lineRule="exact"/>
        <w:rPr>
          <w:rFonts w:ascii="Times New Roman" w:cs="Times New Roman" w:eastAsia="Times New Roman" w:hAnsi="Times New Roman"/>
          <w:sz w:val="18"/>
          <w:szCs w:val="18"/>
          <w:color w:val="auto"/>
        </w:rPr>
      </w:pPr>
    </w:p>
    <w:p>
      <w:pPr>
        <w:jc w:val="both"/>
        <w:ind w:left="480" w:hanging="250"/>
        <w:spacing w:after="0" w:line="267" w:lineRule="auto"/>
        <w:tabs>
          <w:tab w:leader="none" w:pos="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Unpaid Liquidation Preference (as defined in the Certificate of Designations with respect to the Series X Preferred Stock) at that time.</w:t>
      </w:r>
    </w:p>
    <w:p>
      <w:pPr>
        <w:spacing w:after="0" w:line="173" w:lineRule="exact"/>
        <w:rPr>
          <w:rFonts w:ascii="Times New Roman" w:cs="Times New Roman" w:eastAsia="Times New Roman" w:hAnsi="Times New Roman"/>
          <w:sz w:val="18"/>
          <w:szCs w:val="18"/>
          <w:color w:val="auto"/>
        </w:rPr>
      </w:pPr>
    </w:p>
    <w:p>
      <w:pPr>
        <w:ind w:left="480" w:hanging="250"/>
        <w:spacing w:after="0" w:line="284" w:lineRule="auto"/>
        <w:tabs>
          <w:tab w:leader="none" w:pos="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1-for-0.9091 basis at the option of the holders of Series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at any time.</w:t>
      </w:r>
    </w:p>
    <w:p>
      <w:pPr>
        <w:spacing w:after="0" w:line="158" w:lineRule="exact"/>
        <w:rPr>
          <w:rFonts w:ascii="Times New Roman" w:cs="Times New Roman" w:eastAsia="Times New Roman" w:hAnsi="Times New Roman"/>
          <w:sz w:val="18"/>
          <w:szCs w:val="18"/>
          <w:color w:val="auto"/>
        </w:rPr>
      </w:pPr>
    </w:p>
    <w:p>
      <w:pPr>
        <w:jc w:val="both"/>
        <w:ind w:left="480" w:hanging="263"/>
        <w:spacing w:after="0" w:line="261"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9" w:lineRule="exact"/>
        <w:rPr>
          <w:rFonts w:ascii="Times New Roman" w:cs="Times New Roman" w:eastAsia="Times New Roman" w:hAnsi="Times New Roman"/>
          <w:sz w:val="18"/>
          <w:szCs w:val="18"/>
          <w:color w:val="auto"/>
        </w:rPr>
      </w:pPr>
    </w:p>
    <w:p>
      <w:pPr>
        <w:ind w:left="480" w:hanging="250"/>
        <w:spacing w:after="0"/>
        <w:tabs>
          <w:tab w:leader="none" w:pos="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X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480" w:hanging="250"/>
        <w:spacing w:after="0"/>
        <w:tabs>
          <w:tab w:leader="none" w:pos="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X Preferred Stock shall be perpetual unless converted, however dividends will stop accruing on December 31, 2026.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Series Y Convertible Preferred Stock</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May 24, 2024, the Company filed a Certificate of Designations with respect to the Series Y Preferred Stock with the Secretary of State of the State of Delaware, thereby creating the Series Y Preferred Stock. The Certificate of Designations authorizes the issuance of up to 600,000 shares of Series Y Preferred Stock. The Series Y Preferred Stock is convertible into shares of common stock on a 1-for-9.0909 basis, at the option of the holder, in whole or in part, at any time upon delivery of a valid conversion notice of the Company; or (ii) automatically upon the Company completing an equity financing for common stock (or convertible preferred stock, provided that under such circumstances such financing will not be deemed completed until such preferred stock has been fully converted into common stock) that raises no less than $30.0 million in gross proceeds, among other requirements as set forth in the Certificate of Designations. Notwithstanding the foregoing, the Series Y Preferred Stock is subject to limitations on convertibility to the extent necessary to comply with the rules and regulations of Nasdaq. On September 26, 2024 the Company filed a Certificate of Amendment which increased the authorized number of shares of Series Y Preferred Stock from 600,000 shares to 900,000 shares. The following is a summary of the material terms of the Series Y Preferred Stock:</w:t>
      </w:r>
    </w:p>
    <w:p>
      <w:pPr>
        <w:spacing w:after="0" w:line="192" w:lineRule="exact"/>
        <w:rPr>
          <w:sz w:val="20"/>
          <w:szCs w:val="20"/>
          <w:color w:val="auto"/>
        </w:rPr>
      </w:pPr>
    </w:p>
    <w:p>
      <w:pPr>
        <w:ind w:left="500" w:hanging="256"/>
        <w:spacing w:after="0" w:line="284" w:lineRule="auto"/>
        <w:tabs>
          <w:tab w:leader="none" w:pos="5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Y Preferred Stock shall not be entitled to vote on any matter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w:t>
      </w:r>
    </w:p>
    <w:p>
      <w:pPr>
        <w:spacing w:after="0" w:line="158" w:lineRule="exact"/>
        <w:rPr>
          <w:rFonts w:ascii="Times New Roman" w:cs="Times New Roman" w:eastAsia="Times New Roman" w:hAnsi="Times New Roman"/>
          <w:sz w:val="18"/>
          <w:szCs w:val="18"/>
          <w:color w:val="auto"/>
        </w:rPr>
      </w:pPr>
    </w:p>
    <w:p>
      <w:pPr>
        <w:jc w:val="both"/>
        <w:ind w:left="480" w:hanging="250"/>
        <w:spacing w:after="0" w:line="267" w:lineRule="auto"/>
        <w:tabs>
          <w:tab w:leader="none" w:pos="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Y Preferred Stock carries a liquidation preference, senior to the common stock, Series X Preferred Stock,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and Junior Preferred Stock, in an amount equal to the Unpaid Liquidation Preference (as defined in the Certificate of Designations with respect to the Series Y Preferred Stock) at that time.</w:t>
      </w:r>
    </w:p>
    <w:p>
      <w:pPr>
        <w:spacing w:after="0" w:line="173" w:lineRule="exact"/>
        <w:rPr>
          <w:rFonts w:ascii="Times New Roman" w:cs="Times New Roman" w:eastAsia="Times New Roman" w:hAnsi="Times New Roman"/>
          <w:sz w:val="18"/>
          <w:szCs w:val="18"/>
          <w:color w:val="auto"/>
        </w:rPr>
      </w:pPr>
    </w:p>
    <w:p>
      <w:pPr>
        <w:ind w:left="480" w:hanging="250"/>
        <w:spacing w:after="0" w:line="284" w:lineRule="auto"/>
        <w:tabs>
          <w:tab w:leader="none" w:pos="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Y Preferred Stock will convert into shares of common stock on a 1-for-9.0909 basis at the option of the holders of Series 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at any time, or automatically subject to certain conditions.</w:t>
      </w:r>
    </w:p>
    <w:p>
      <w:pPr>
        <w:spacing w:after="0" w:line="158" w:lineRule="exact"/>
        <w:rPr>
          <w:rFonts w:ascii="Times New Roman" w:cs="Times New Roman" w:eastAsia="Times New Roman" w:hAnsi="Times New Roman"/>
          <w:sz w:val="18"/>
          <w:szCs w:val="18"/>
          <w:color w:val="auto"/>
        </w:rPr>
      </w:pPr>
    </w:p>
    <w:p>
      <w:pPr>
        <w:ind w:left="480" w:hanging="263"/>
        <w:spacing w:after="0" w:line="284"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Series Y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on a pari passu basis with the common stock, Senior Preferred Stock and Junior Preferred Stock.</w:t>
      </w:r>
    </w:p>
    <w:p>
      <w:pPr>
        <w:spacing w:after="0" w:line="158" w:lineRule="exact"/>
        <w:rPr>
          <w:rFonts w:ascii="Times New Roman" w:cs="Times New Roman" w:eastAsia="Times New Roman" w:hAnsi="Times New Roman"/>
          <w:sz w:val="18"/>
          <w:szCs w:val="18"/>
          <w:color w:val="auto"/>
        </w:rPr>
      </w:pPr>
    </w:p>
    <w:p>
      <w:pPr>
        <w:ind w:left="480" w:hanging="250"/>
        <w:spacing w:after="0"/>
        <w:tabs>
          <w:tab w:leader="none" w:pos="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Y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480" w:hanging="250"/>
        <w:spacing w:after="0"/>
        <w:tabs>
          <w:tab w:leader="none" w:pos="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Y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the "2024 Investor Warrants," at an initial exercise price of $14.74 per share.</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 under the Securities Act, on October 15, 2021 and declared effective on October 25, 2021.</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w:t>
      </w:r>
    </w:p>
    <w:p>
      <w:pPr>
        <w:sectPr>
          <w:pgSz w:w="11900" w:h="16838" w:orient="portrait"/>
          <w:cols w:equalWidth="0" w:num="1">
            <w:col w:w="11260"/>
          </w:cols>
          <w:pgMar w:left="300" w:top="121" w:right="339" w:bottom="0" w:gutter="0" w:footer="0" w:header="0"/>
        </w:sectPr>
      </w:pPr>
    </w:p>
    <w:bookmarkStart w:id="131" w:name="page132"/>
    <w:bookmarkEnd w:id="131"/>
    <w:p>
      <w:pPr>
        <w:jc w:val="both"/>
        <w:spacing w:after="0" w:line="282" w:lineRule="auto"/>
        <w:rPr>
          <w:sz w:val="20"/>
          <w:szCs w:val="20"/>
          <w:color w:val="auto"/>
        </w:rPr>
      </w:pPr>
      <w:r>
        <w:rPr>
          <w:rFonts w:ascii="Times New Roman" w:cs="Times New Roman" w:eastAsia="Times New Roman" w:hAnsi="Times New Roman"/>
          <w:sz w:val="18"/>
          <w:szCs w:val="18"/>
          <w:color w:val="auto"/>
        </w:rPr>
        <w:t>prescribed period set forth in the 2024 Investor Warrants, the Company is required to pay the applicable holder liquidated damages in cash as set forth in the 2024 Investor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SPA, no later than March 8, 2024, the Company was required to file a registration statement on Form S-3 (or other appropriate form if the Company is not then S-3 eligible) registering the resale of the shares of common stock issued or issuable upon exercise of the 2024 Investor Warrants. The Company was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5,204 shares of common stock (the “Placement Agent Warrants”). The Placement Agent Warrants are similar to the 2024 Investor Warrants, except that the initial exercise price of the Placement Agent Warrants is $20.1438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2024, the number of shares of the Company’s common stock reserved for issuance and available for grant under the 2010 Share Option Plan was 3,155 (2,566 as of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2,728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December 31, 2024, there were 25,939 of shares of common stock available under the 2019 Plan (6,351 as of December 31, 2023).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consolidated statements of operations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45"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-719455</wp:posOffset>
            </wp:positionV>
            <wp:extent cx="641223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-445135</wp:posOffset>
            </wp:positionV>
            <wp:extent cx="641223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-162560</wp:posOffset>
            </wp:positionV>
            <wp:extent cx="641223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6620" w:space="720"/>
            <w:col w:w="39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r>
        <w:rPr>
          <w:rFonts w:ascii="Times New Roman" w:cs="Times New Roman" w:eastAsia="Times New Roman" w:hAnsi="Times New Roman"/>
          <w:sz w:val="29"/>
          <w:szCs w:val="29"/>
          <w:color w:val="auto"/>
          <w:vertAlign w:val="subscript"/>
        </w:rPr>
        <w:t>:</w:t>
      </w:r>
    </w:p>
    <w:p>
      <w:pPr>
        <w:spacing w:after="0" w:line="23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70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3.37-4.68%</w:t>
            </w: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42.93%</w:t>
            </w:r>
          </w:p>
        </w:tc>
      </w:tr>
      <w:tr>
        <w:trPr>
          <w:trHeight w:val="234"/>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 after December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$0.7051</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85,556</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48,893</w:t>
            </w:r>
          </w:p>
        </w:tc>
        <w:tc>
          <w:tcPr>
            <w:tcW w:w="15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$63.90 - $119.25</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3,554</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1,075.95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1,075.15</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$186.75</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$382.50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3,048.55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3,048.55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$405.00</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$438.75</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4,468.75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4,468.75</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$650.25</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$958.50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8,044.67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8,044.67</w:t>
            </w:r>
          </w:p>
        </w:tc>
      </w:tr>
      <w:tr>
        <w:trPr>
          <w:trHeight w:val="210"/>
        </w:trPr>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6.16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0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was $nil and $nil for the years ended December 31, 2024 and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$7.81 and $30.91 per share for the years ended December 31, 2024 and 2023, respectively. The fair value of options vested was $1,152 and $1,552 for the years ended December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geographical breakdown of loss before provision for income taxes is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(35,667)</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(41,197)</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jurisdictions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(11,915)</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4,076</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(47,582)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(37,121)</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benefit: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tax benefit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benefit for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On the basis of this evaluation, as of December 31, 2024, a valuation allowance of $80,429 ($73,416 as of December 31, 2023) has been recorded to recognize only the portion of the deferred tax asset that is more likely than not to be realized. The amount of the deferred tax asset is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$7,013 and $9,075 for the years ended December 31, 2024 and 2023,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(47,582)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(37,121)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Theoretical tax benefit at the statutory rate (21% in 2024 and 2023)</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(9,992)</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10,479</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(46,971)</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(37,050)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124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deferred tax assets and deferred tax liabilities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12,280</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carryforwards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56,128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54,268</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(80,429)</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(73,416)</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federal, state and foreign non-operating loss (“NOL”) carryforwards of approximately $229,631 ($217,643 in 2023). The use of these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2024 and indefinitely, and valuation allowances have been reserved, where necessary. The Company also had federal and state research and development credit carryforwards of approximately $422 and $377 as of December 31, 2024. The federal credits will expire starting in 2025 if not utilized. The state credits have no expiration date.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recognize the tax benefit from uncertain tax positions only if it is more likely than not that the tax position will be sustained upon examination by the taxing authorities, based on the technical merits of the position. The tax benefits recognized in the consolidated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the Company determined that $1,459 of future tax benefits met this criterion.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various state jurisdictions with varying statutes of limitations. Tax years 2018 through 2024 remain open to examination by the Internal Revenue Service for U.S. federal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related to gross amount of unrecognized tax benefits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28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related to tax positions in prior period</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1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 months.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in the accompanying consolidated statements of operations. Accrued interest and penalties, if applicable, are included in accrued expenses and other current liabilities in the consolidated balance sheets. For the years ended December 31, 2024 and 2023, the Company did not recognize any accrued interest and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activity related to the tax effected amount of the recognized tax position as follows:</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related to tax position taken during the current period</w:t>
            </w: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year</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derecognized the full amount of the potential tax liability plus interest as the uncertain tax position is statute barred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manages the Company's operations on a consolidated basis for purposes of making operating decisions, allocating resources, and evaluating financial performance. When evaluating the Company's financial performance, the CODM regularly reviews gross margin, selling and marketing expenses, general and administrative expenses, and research and development expenses, and the CODM makes decisions using this information on a global basis. Significant expenses evaluated by the CODM are each separately presented on the Company’s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assess the performance of individual product lines on measures of profit or loss, or asset-based metrics. Therefore, the information below is presented only for revenues by geography and type. Revenue by geographic location, which is based on the product shipped to location, is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38,176</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43,454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26,657</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32,900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9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64,833</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76,354</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long-lived assets in the amount of $8,705 were located in the United States and $1,063 were located in foreign locations. As of December 31, 2023, long-lived assets in the amount of $12,346 were located in the United States and $1,431 were located in foreign locations.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50" w:lineRule="exact"/>
        <w:rPr>
          <w:sz w:val="20"/>
          <w:szCs w:val="20"/>
          <w:color w:val="auto"/>
        </w:rPr>
      </w:pPr>
    </w:p>
    <w:p>
      <w:pPr>
        <w:ind w:left="100"/>
        <w:spacing w:after="0"/>
        <w:tabs>
          <w:tab w:leader="none" w:pos="5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System revenue - includes all systems sales with payment terms within 12 months.</w:t>
      </w:r>
    </w:p>
    <w:p>
      <w:pPr>
        <w:spacing w:after="0" w:line="252"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Product revenue - includes skincare, hair and other consumables payable upon receipt.</w:t>
      </w:r>
    </w:p>
    <w:p>
      <w:pPr>
        <w:spacing w:after="0" w:line="252"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Service revenue - includes NeoGraft technician services, ad agency services and extended warranty sales.</w:t>
      </w:r>
    </w:p>
    <w:p>
      <w:pPr>
        <w:sectPr>
          <w:pgSz w:w="11900" w:h="16838" w:orient="portrait"/>
          <w:cols w:equalWidth="0" w:num="1">
            <w:col w:w="11240"/>
          </w:cols>
          <w:pgMar w:left="320" w:top="121" w:right="3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type: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Lease revenue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System revenue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Product revenue</w:t>
      </w:r>
    </w:p>
    <w:p>
      <w:pPr>
        <w:spacing w:after="0" w:line="9"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Service revenue</w:t>
      </w:r>
    </w:p>
    <w:p>
      <w:pPr>
        <w:spacing w:after="0" w:line="4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32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20,504</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41,874</w:t>
            </w:r>
          </w:p>
        </w:tc>
      </w:tr>
      <w:tr>
        <w:trPr>
          <w:trHeight w:val="216"/>
        </w:trPr>
        <w:tc>
          <w:tcPr>
            <w:tcW w:w="3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10,563</w:t>
            </w:r>
          </w:p>
        </w:tc>
      </w:tr>
      <w:tr>
        <w:trPr>
          <w:trHeight w:val="234"/>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3,413</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64,833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-719455</wp:posOffset>
            </wp:positionV>
            <wp:extent cx="570039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-445135</wp:posOffset>
            </wp:positionV>
            <wp:extent cx="570039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-162560</wp:posOffset>
            </wp:positionV>
            <wp:extent cx="570039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60" w:space="720"/>
            <w:col w:w="5760"/>
          </w:cols>
          <w:pgMar w:left="320" w:top="121" w:right="339" w:bottom="1440" w:gutter="0" w:footer="0" w:header="0"/>
          <w:type w:val="continuous"/>
        </w:sectPr>
      </w:pPr>
    </w:p>
    <w:bookmarkStart w:id="138" w:name="page139"/>
    <w:bookmarkEnd w:id="138"/>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year ended December 31, 2024 and 2023, TBC purchased products in the amount of $nil and $322, respectively, under this distribution agreement. These sales are included in products and services revenue. These sales are included in products and services revenue. TBC ceased being a related party as of June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year ended December 31, 2024 and 2023, Aexel Biomed purchased products in the amount of $nil and $122, respectively, under the distribution agreement. These sales are included in products and services revenue. Aexel Biomed ceased being a related party as of June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2025, the Company, Venus USA, Venus Canada, and Venus Ltd. (the “Loan Parties”) entered into a Consent Agreement with Madryn Health Partners, LP (“Madryn”) and Madryn Health Partners (Cayman Master), LP (“Madryn Cayman,” and together with Madryn, the “Lenders”) (the “Consent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Consent Agreement granted relief under the MSLP Loan Agreement, such that (i) certain minimum liquidity requirements under the MSLP Loan Agreement are waived through February 28, 2025, and (ii) to permit Venus USA to apply the February 8, 2025 cash interest payment due under each Note (as defined in the Consent Agreement) to the respective outstanding principal balance of each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Eleventh Bridge Loan Amendment and Sixth Delayed Drawdown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28, 2025, the Loan Parties entered into an Eleventh Bridge Loan Amendment Agreement with the Lenders (the “Eleventh Bridge Loan Amendment”). The Eleventh Bridge Loan Amendment amended the Loan and Security Agreement to (i) increase the Delayed Draw Commitment, as defined in the Loan and Security Agreement, from $6,000,000 to $11,000,000 and (ii) extend the maturity date of the Bridge Financing from January 31, 2025 to February 28,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2025, the Lenders agreed to provide the Borrower with a subsequent drawdown under the Loan and Security Agreement in the principal amount of $3,000,000 (the “Sixth Delayed Drawdown”). The Sixth Delayed Drawdown was fully funded on January 28, 2024 following the effectiveness of the Eleventh Bridge Loan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Seventh Delayed Drawdown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21, 2025, the Lenders agreed to provide the Borrower with a subsequent drawdown under the Loan and Security Agreement in the principal amount of $2,300,000 (the “Seventh Delayed Drawdown”). The Seventh Delayed Drawdown was partially funded on February 21, 2025 in the amount of $2,000,000 with the remainder funded on March 25,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Amendment and Consent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2025, the Loan Parties entered into an Amendment and Consent Agreement with the Lenders (the “Amendment and Consent Agreement”), to extend the maturity date of the MSLP Loan Agreement from December 8, 2025 to December 8,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and Consent Agreement also granted relief under the MSLP Loan Agreement, such that (i) certain minimum liquidity requirements under the MSLP Loan Agreement are waived through March 31, 2025, and (ii) permit Venus USA to apply the March 8, 2025 cash interest payment due under each Note (as defined in the Amendment and Consent Agreement) to the respective outstanding principal balance of each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Amendment to Secure Subordinated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2025, the Loan Parties and Holders entered into an Amendment to Secured Subordinated Convertible Notes agreement (the “Madryn Note Amendment”). The Madryn Note Amendment amended the New Notes to extend the maturity date of the New Notes from December 9, 2025 to December 9,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Twelfth Bridge Loan Amendment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2025, the Loan Parties entered into a Twelfth Bridge Loan Amendment Agreement with the Lenders (the “Twelfth Bridge Loan Amendment”). The Twelfth Bridge Loan Amendment amended the Loan and Security Agreement to extend the maturity date of the Bridge Financing from February 28, 2025 to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Amendment to Secured Subordinated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2025, Loan Parties and EW Investors entered into an Amendment to Secured Subordinated Convertible Notes agreement (the “EW Note Amendment”). The EW Note Amendment amends the EW Notes to extend the maturity date of the EW Notes from December 9, 2025 to December 9,</w:t>
      </w:r>
    </w:p>
    <w:p>
      <w:pPr>
        <w:sectPr>
          <w:pgSz w:w="11900" w:h="16873" w:orient="portrait"/>
          <w:cols w:equalWidth="0" w:num="1">
            <w:col w:w="11240"/>
          </w:cols>
          <w:pgMar w:left="320" w:top="121" w:right="339" w:bottom="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2025, the Company effected a 1-for-11 reverse stock split (the “2025 Reverse Stock Split”) of the Company’s issued and outstanding common stock, par value $0.0001 per share by the filing of a Certificate of Amendment of Certificate of Incorporation (the “Certificate”) with the Secretary of State of the State of Delaware pursuant to the Delaware General Corporation Law. The 2025 Reverse Stock Split became effective at 5:00 p.m. Eastern Time on March 3, 2025. The Company’s common stock began trading on a 2025 Reverse Stock Split-adjusted basis as of the opening of the Nasdaq Capital Market on March 4,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Loan Parties entered into a Consent Agreement with the Lenders (the “March 2025 Consent Agreement”). The March 2025 Consent Agreement granted relief under the MSLP Loan Agreement, such that (i) certain minimum liquidity requirements under the MSLP Loan Agreement are waived through April 30, 2025, and (ii) permit Venus USA to apply the April 8, 2025 cash interest payment due under each Note (as defined in the Consent Agreement)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Thirteenth Bridge Loan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Loan Parties entered into a Thirteenth Bridge Loan Amendment Agreement with the Lenders (the “Thirteenth Bridge Loan Amendment”). The Thirteenth Bridge Loan Amendment amended the Loan and Security Agreement to (i) extend the maturity date of the Bridge Financing from March 31, 2025 to April 30, 2025 and (ii) increase the Delayed Draw Commitment, as defined in the Loan and Security Agreement, from $11,000,000 to $21,000,000.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the company's registered public accounting firm pursuant to rules of the SEC, as the Company is a non-accelerated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year ended December 31, 2024, that have materially affected, or are reasonably likely to materially affect, our internal controls over financial reporting.</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Consolidated Financial Statement Schedules.</w:t>
      </w:r>
    </w:p>
    <w:p>
      <w:pPr>
        <w:spacing w:after="0" w:line="229" w:lineRule="exact"/>
        <w:rPr>
          <w:sz w:val="20"/>
          <w:szCs w:val="20"/>
          <w:color w:val="auto"/>
        </w:rPr>
      </w:pPr>
    </w:p>
    <w:p>
      <w:pPr>
        <w:ind w:right="6380" w:firstLine="8"/>
        <w:spacing w:after="0" w:line="500" w:lineRule="auto"/>
        <w:tabs>
          <w:tab w:leader="none" w:pos="8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 Consolidated Financial Statements</w:t>
      </w:r>
    </w:p>
    <w:p>
      <w:pPr>
        <w:spacing w:after="0" w:line="1" w:lineRule="exact"/>
        <w:rPr>
          <w:rFonts w:ascii="Times New Roman" w:cs="Times New Roman" w:eastAsia="Times New Roman" w:hAnsi="Times New Roman"/>
          <w:sz w:val="18"/>
          <w:szCs w:val="18"/>
          <w:color w:val="auto"/>
        </w:rPr>
      </w:pPr>
    </w:p>
    <w:p>
      <w:pPr>
        <w:ind w:right="65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at Item 8 herein. 2. Consolidated Financial Statement Schedules</w:t>
      </w:r>
    </w:p>
    <w:p>
      <w:pPr>
        <w:spacing w:after="0" w:line="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consolidated financial statement schedules are provided because the information called for is not required or is shown either in the consolidated financial statements or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Annual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gridSpan w:val="11"/>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648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Agreement and Plan or Merger and Reorganization, dated March 15, 2019, by and among</w:t>
              </w:r>
            </w:hyperlink>
          </w:p>
        </w:tc>
        <w:tc>
          <w:tcPr>
            <w:tcW w:w="28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1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Restoration Robotics, Inc., Radiant Merger Sub Ltd., and Venus Concept Ltd.</w:t>
              </w:r>
            </w:hyperlink>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6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Amendment No. 1, dated August 14, 2019, to the Agreement and Plan of Merger and</w:t>
              </w:r>
            </w:hyperlink>
          </w:p>
        </w:tc>
        <w:tc>
          <w:tcPr>
            <w:tcW w:w="6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Reorganization, dated March 15, 2019, by and among Restoration Robotics, Inc., Radiant</w:t>
              </w:r>
            </w:hyperlink>
          </w:p>
        </w:tc>
        <w:tc>
          <w:tcPr>
            <w:tcW w:w="3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Merger Sub Ltd., and Venus Concept Ltd.</w:t>
              </w:r>
            </w:hyperlink>
          </w:p>
        </w:tc>
        <w:tc>
          <w:tcPr>
            <w:tcW w:w="37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8-20-19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6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Second Amendment to the Agreement and Plan of Merger and Reorganization, dated as of</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October 31, 2019, by and among Restoration Robotics, Inc., Radiant Merger Sub Ltd. and</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Venus Concept Ltd.</w:t>
              </w:r>
            </w:hyperlink>
          </w:p>
        </w:tc>
        <w:tc>
          <w:tcPr>
            <w:tcW w:w="5040" w:type="dxa"/>
            <w:vAlign w:val="bottom"/>
            <w:tcBorders>
              <w:top w:val="single" w:sz="8" w:color="0000EE"/>
            </w:tcBorders>
            <w:gridSpan w:val="10"/>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10-31-19</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6760" w:type="dxa"/>
            <w:vAlign w:val="bottom"/>
            <w:gridSpan w:val="13"/>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Master Asset Purchase Agreement between Venus Concept Ltd., the Neograft entities,</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Medicamat and Miriam Merkur, dated January 26, 2018.</w:t>
              </w:r>
            </w:hyperlink>
          </w:p>
        </w:tc>
        <w:tc>
          <w:tcPr>
            <w:tcW w:w="5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Amended and Restated Certificate of Incorporation of Restoration Robotics, Inc.</w:t>
              </w:r>
            </w:hyperlink>
          </w:p>
        </w:tc>
        <w:tc>
          <w:tcPr>
            <w:tcW w:w="9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6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Certificate of Amendment of Certificate of Incorporation of Restoration Robotics, Inc.</w:t>
              </w:r>
            </w:hyperlink>
          </w:p>
        </w:tc>
        <w:tc>
          <w:tcPr>
            <w:tcW w:w="5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44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Second Amended and Restated Bylaws of Venus Concept Inc.</w:t>
              </w:r>
            </w:hyperlink>
          </w:p>
        </w:tc>
        <w:tc>
          <w:tcPr>
            <w:tcW w:w="22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320" w:top="121" w:right="3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840" w:type="dxa"/>
            <w:vAlign w:val="bottom"/>
            <w:gridSpan w:val="11"/>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Certificate of Designations of Voting Convertible Preferred Stock.</w:t>
              </w:r>
            </w:hyperlink>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11-18-22</w:t>
            </w:r>
          </w:p>
        </w:tc>
        <w:tc>
          <w:tcPr>
            <w:tcW w:w="16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840" w:type="dxa"/>
            <w:vAlign w:val="bottom"/>
            <w:gridSpan w:val="11"/>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Certificate of Amendment of Certificate of Incorporation of Venus Concept Inc. dated May</w:t>
              </w:r>
            </w:hyperlink>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69">
              <w:r>
                <w:rPr>
                  <w:rFonts w:ascii="Times New Roman" w:cs="Times New Roman" w:eastAsia="Times New Roman" w:hAnsi="Times New Roman"/>
                  <w:sz w:val="18"/>
                  <w:szCs w:val="18"/>
                  <w:color w:val="0000EE"/>
                  <w:w w:val="95"/>
                </w:rPr>
                <w:t>11, 2023</w:t>
              </w:r>
            </w:hyperlink>
          </w:p>
        </w:tc>
        <w:tc>
          <w:tcPr>
            <w:tcW w:w="72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5-11-23</w:t>
            </w:r>
          </w:p>
        </w:tc>
        <w:tc>
          <w:tcPr>
            <w:tcW w:w="1620" w:type="dxa"/>
            <w:vAlign w:val="bottom"/>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Certificate of Designations of Senior Convertible Preferred Stock</w:t>
              </w:r>
            </w:hyperlink>
          </w:p>
        </w:tc>
        <w:tc>
          <w:tcPr>
            <w:tcW w:w="2080" w:type="dxa"/>
            <w:vAlign w:val="bottom"/>
            <w:gridSpan w:val="7"/>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5-15-23</w:t>
            </w:r>
          </w:p>
        </w:tc>
        <w:tc>
          <w:tcPr>
            <w:tcW w:w="16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6840" w:type="dxa"/>
            <w:vAlign w:val="bottom"/>
            <w:gridSpan w:val="11"/>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Certificate of Amendment to Certificate of Designations of Senior Convertible Preferred</w:t>
              </w:r>
            </w:hyperlink>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3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Stock.</w:t>
              </w:r>
            </w:hyperlink>
          </w:p>
        </w:tc>
        <w:tc>
          <w:tcPr>
            <w:tcW w:w="460" w:type="dxa"/>
            <w:vAlign w:val="bottom"/>
            <w:gridSpan w:val="2"/>
          </w:tcPr>
          <w:p>
            <w:pPr>
              <w:spacing w:after="0"/>
              <w:rPr>
                <w:sz w:val="17"/>
                <w:szCs w:val="17"/>
                <w:color w:val="auto"/>
              </w:rPr>
            </w:pPr>
          </w:p>
        </w:tc>
        <w:tc>
          <w:tcPr>
            <w:tcW w:w="7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6-26-23</w:t>
            </w:r>
          </w:p>
        </w:tc>
        <w:tc>
          <w:tcPr>
            <w:tcW w:w="1620" w:type="dxa"/>
            <w:vAlign w:val="bottom"/>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40" w:type="dxa"/>
            <w:vAlign w:val="bottom"/>
            <w:gridSpan w:val="11"/>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Certificate of Designations of Series X Convertible Preferred Stock.</w:t>
              </w:r>
            </w:hyperlink>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10-05-23</w:t>
            </w:r>
          </w:p>
        </w:tc>
        <w:tc>
          <w:tcPr>
            <w:tcW w:w="16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Certificate of Designations of Series Y Convertible Preferred Stock</w:t>
              </w:r>
            </w:hyperlink>
          </w:p>
        </w:tc>
        <w:tc>
          <w:tcPr>
            <w:tcW w:w="1940" w:type="dxa"/>
            <w:vAlign w:val="bottom"/>
            <w:gridSpan w:val="4"/>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05-24-24</w:t>
            </w:r>
          </w:p>
        </w:tc>
        <w:tc>
          <w:tcPr>
            <w:tcW w:w="16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48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Certificate of Amendment of Series Y Convertible Preferred Stock</w:t>
              </w:r>
            </w:hyperlink>
          </w:p>
        </w:tc>
        <w:tc>
          <w:tcPr>
            <w:tcW w:w="40" w:type="dxa"/>
            <w:vAlign w:val="bottom"/>
            <w:tcBorders>
              <w:top w:val="single" w:sz="8" w:color="0000EE"/>
            </w:tcBorders>
          </w:tcPr>
          <w:p>
            <w:pPr>
              <w:spacing w:after="0"/>
              <w:rPr>
                <w:sz w:val="24"/>
                <w:szCs w:val="24"/>
                <w:color w:val="auto"/>
              </w:rPr>
            </w:pPr>
          </w:p>
        </w:tc>
        <w:tc>
          <w:tcPr>
            <w:tcW w:w="1980" w:type="dxa"/>
            <w:vAlign w:val="bottom"/>
            <w:gridSpan w:val="5"/>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09-27-24</w:t>
            </w:r>
          </w:p>
        </w:tc>
        <w:tc>
          <w:tcPr>
            <w:tcW w:w="16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6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Certificate of Amendment of Certificate of Incorporation of Venus Concept Inc. dated</w:t>
              </w:r>
            </w:hyperlink>
          </w:p>
        </w:tc>
        <w:tc>
          <w:tcPr>
            <w:tcW w:w="6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February 28, 2025</w:t>
              </w:r>
            </w:hyperlink>
          </w:p>
        </w:tc>
        <w:tc>
          <w:tcPr>
            <w:tcW w:w="5500" w:type="dxa"/>
            <w:vAlign w:val="bottom"/>
            <w:gridSpan w:val="8"/>
          </w:tcPr>
          <w:p>
            <w:pPr>
              <w:spacing w:after="0"/>
              <w:rPr>
                <w:sz w:val="17"/>
                <w:szCs w:val="17"/>
                <w:color w:val="auto"/>
              </w:rPr>
            </w:pPr>
          </w:p>
        </w:tc>
        <w:tc>
          <w:tcPr>
            <w:tcW w:w="7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3-4-25</w:t>
            </w:r>
          </w:p>
        </w:tc>
        <w:tc>
          <w:tcPr>
            <w:tcW w:w="1620" w:type="dxa"/>
            <w:vAlign w:val="bottom"/>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53"/>
        </w:trPr>
        <w:tc>
          <w:tcPr>
            <w:tcW w:w="920" w:type="dxa"/>
            <w:vAlign w:val="bottom"/>
          </w:tcPr>
          <w:p>
            <w:pPr>
              <w:spacing w:after="0"/>
              <w:rPr>
                <w:sz w:val="24"/>
                <w:szCs w:val="24"/>
                <w:color w:val="auto"/>
              </w:rPr>
            </w:pPr>
          </w:p>
        </w:tc>
        <w:tc>
          <w:tcPr>
            <w:tcW w:w="4860" w:type="dxa"/>
            <w:vAlign w:val="bottom"/>
            <w:gridSpan w:val="6"/>
          </w:tcPr>
          <w:p>
            <w:pPr>
              <w:ind w:left="456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0"/>
        </w:trPr>
        <w:tc>
          <w:tcPr>
            <w:tcW w:w="8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01"/>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440" w:type="dxa"/>
            <w:vAlign w:val="bottom"/>
            <w:tcBorders>
              <w:top w:val="single" w:sz="8" w:color="auto"/>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Description of Securities Registered under Section 12 of the Exchange Act.</w:t>
            </w:r>
          </w:p>
        </w:tc>
        <w:tc>
          <w:tcPr>
            <w:tcW w:w="1320" w:type="dxa"/>
            <w:vAlign w:val="bottom"/>
            <w:tcBorders>
              <w:top w:val="single" w:sz="8" w:color="auto"/>
            </w:tcBorders>
            <w:gridSpan w:val="6"/>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Common Stock Certificate.</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6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2020 Warrant.</w:t>
              </w:r>
            </w:hyperlink>
          </w:p>
        </w:tc>
        <w:tc>
          <w:tcPr>
            <w:tcW w:w="4160" w:type="dxa"/>
            <w:vAlign w:val="bottom"/>
            <w:gridSpan w:val="1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3-29-21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Form of Madryn Warrant.</w:t>
              </w:r>
            </w:hyperlink>
          </w:p>
        </w:tc>
        <w:tc>
          <w:tcPr>
            <w:tcW w:w="488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Warrant to Purchase Stock, dated November 2, 2018, by and between Restoration</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Robotics, Inc. and Solar Capital Ltd.</w:t>
              </w:r>
            </w:hyperlink>
          </w:p>
        </w:tc>
        <w:tc>
          <w:tcPr>
            <w:tcW w:w="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3-20-19</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Warrant to Purchase Stock, dated May 19, 2015, by and between Restoration</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Robotics, Inc. and Oxford Finance LLC.</w:t>
              </w:r>
            </w:hyperlink>
          </w:p>
        </w:tc>
        <w:tc>
          <w:tcPr>
            <w:tcW w:w="6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Warrant to Purchase Stock, dated November 2, 2018, by and between Restoration</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Robotics, Inc. and Western Alliance Bank.</w:t>
              </w:r>
            </w:hyperlink>
          </w:p>
        </w:tc>
        <w:tc>
          <w:tcPr>
            <w:tcW w:w="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Warrant to Purchase Stock, dated November 2, 2018, by and between Restoration</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Robotics, Inc. and SUNS SPV LLC.</w:t>
              </w:r>
            </w:hyperlink>
          </w:p>
        </w:tc>
        <w:tc>
          <w:tcPr>
            <w:tcW w:w="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Secured Subordinated Convertible Note, dated October 4, 2023, by Venus Concept Inc. in</w:t>
              </w:r>
            </w:hyperlink>
          </w:p>
        </w:tc>
        <w:tc>
          <w:tcPr>
            <w:tcW w:w="2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favor of Madryn Health Partners, LP</w:t>
              </w:r>
            </w:hyperlink>
          </w:p>
        </w:tc>
        <w:tc>
          <w:tcPr>
            <w:tcW w:w="410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Secured Subordinated Convertible Note, dated October 4, 2023, by Venus Concept Inc. in</w:t>
              </w:r>
            </w:hyperlink>
          </w:p>
        </w:tc>
        <w:tc>
          <w:tcPr>
            <w:tcW w:w="2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1"/>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favor of and Madryn Health Partners (Cayman Master), LP</w:t>
              </w:r>
            </w:hyperlink>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6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Form of Secured Subordinated Convertible Note Issued by Venus Concept Inc. to EW</w:t>
              </w:r>
            </w:hyperlink>
          </w:p>
        </w:tc>
        <w:tc>
          <w:tcPr>
            <w:tcW w:w="5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1"/>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Healthcare Partners, L.P.</w:t>
              </w:r>
            </w:hyperlink>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1-19-24</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6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Form of Secured Subordinated Convertible Note Issued by Venus Concept Inc. to EW</w:t>
              </w:r>
            </w:hyperlink>
          </w:p>
        </w:tc>
        <w:tc>
          <w:tcPr>
            <w:tcW w:w="5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Healthcare Partners-A L.P.</w:t>
              </w:r>
            </w:hyperlink>
          </w:p>
        </w:tc>
        <w:tc>
          <w:tcPr>
            <w:tcW w:w="482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1-19-24</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Form of Investor Warrant, dated February 27, 2024</w:t>
              </w:r>
            </w:hyperlink>
          </w:p>
        </w:tc>
        <w:tc>
          <w:tcPr>
            <w:tcW w:w="306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2-27-24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Form of Placement Agent Warrant, dated February 27, 2024</w:t>
              </w:r>
            </w:hyperlink>
          </w:p>
        </w:tc>
        <w:tc>
          <w:tcPr>
            <w:tcW w:w="242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2-27-24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6760" w:type="dxa"/>
            <w:vAlign w:val="bottom"/>
            <w:gridSpan w:val="21"/>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Securities Purchase Agreement, dated as of March 18, 2020, by and between Venus Concept</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Inc. and the investors listed therein.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288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132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600" w:type="dxa"/>
            <w:vAlign w:val="bottom"/>
            <w:tcBorders>
              <w:top w:val="single" w:sz="8" w:color="auto"/>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Amended and Restated Investors' Rights Agreement, dated February 7, 2013, by and among</w:t>
              </w:r>
            </w:hyperlink>
          </w:p>
        </w:tc>
        <w:tc>
          <w:tcPr>
            <w:tcW w:w="140" w:type="dxa"/>
            <w:vAlign w:val="bottom"/>
            <w:tcBorders>
              <w:top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8"/>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Restoration Robotics, Inc. and the investors listed therein, as amended.</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Second Amended and Restated Loan Agreement, dated March 20, 2020, by and among Venus</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Concept USA Inc., Venus Concept Canada Corp., Venus Concept Inc. and City National Bank</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91">
              <w:r>
                <w:rPr>
                  <w:rFonts w:ascii="Times New Roman" w:cs="Times New Roman" w:eastAsia="Times New Roman" w:hAnsi="Times New Roman"/>
                  <w:sz w:val="18"/>
                  <w:szCs w:val="18"/>
                  <w:color w:val="0000EE"/>
                  <w:w w:val="94"/>
                </w:rPr>
                <w:t>of Florida.</w:t>
              </w:r>
            </w:hyperlink>
          </w:p>
        </w:tc>
        <w:tc>
          <w:tcPr>
            <w:tcW w:w="6040" w:type="dxa"/>
            <w:vAlign w:val="bottom"/>
            <w:gridSpan w:val="2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67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Second Amended and Restated Guaranty of Payment and Performance, dated as of March 20,</w:t>
              </w:r>
            </w:hyperlink>
          </w:p>
        </w:tc>
        <w:tc>
          <w:tcPr>
            <w:tcW w:w="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8"/>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2020, by and between Venus Concept USA Inc., Venus Concept Canada Corp., Venus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Concept Inc., and City National Bank of Florida.</w:t>
              </w:r>
            </w:hyperlink>
          </w:p>
        </w:tc>
        <w:tc>
          <w:tcPr>
            <w:tcW w:w="3240" w:type="dxa"/>
            <w:vAlign w:val="bottom"/>
            <w:tcBorders>
              <w:top w:val="single" w:sz="8" w:color="0000EE"/>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64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Security Agreement, dated as of March 20, 2020, by and between Venus Concept Inc. and</w:t>
              </w:r>
            </w:hyperlink>
          </w:p>
        </w:tc>
        <w:tc>
          <w:tcPr>
            <w:tcW w:w="32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8"/>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License Agreement, dated July 25, 2006 by and between Restoration Robotics, Inc., James A.</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Harris, M.D. and HSC Development LLC.</w:t>
              </w:r>
            </w:hyperlink>
          </w:p>
        </w:tc>
        <w:tc>
          <w:tcPr>
            <w:tcW w:w="4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66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First Amendment to License Agreement, dated January 5, 2009, by and between Restoration</w:t>
              </w:r>
            </w:hyperlink>
          </w:p>
        </w:tc>
        <w:tc>
          <w:tcPr>
            <w:tcW w:w="14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Robotics, Inc., James A. Harris, M.D. and HSC Development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Second Amendment to License Agreement, dated February 23, 2015, by and between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Restoration Robotics, Inc., James A. Harris, M.D. and HSC Development LLC.</w:t>
              </w:r>
            </w:hyperlink>
          </w:p>
        </w:tc>
        <w:tc>
          <w:tcPr>
            <w:tcW w:w="420" w:type="dxa"/>
            <w:vAlign w:val="bottom"/>
            <w:tcBorders>
              <w:top w:val="single" w:sz="8" w:color="0000EE"/>
            </w:tcBorders>
            <w:gridSpan w:val="2"/>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3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r:id="rId197">
              <w:r>
                <w:rPr>
                  <w:rFonts w:ascii="Times New Roman" w:cs="Times New Roman" w:eastAsia="Times New Roman" w:hAnsi="Times New Roman"/>
                  <w:sz w:val="18"/>
                  <w:szCs w:val="18"/>
                  <w:color w:val="0000EE"/>
                  <w:w w:val="97"/>
                </w:rPr>
                <w:t>Venus Concept Inc. 2019 Incentive Award Plan.</w:t>
              </w:r>
            </w:hyperlink>
          </w:p>
        </w:tc>
        <w:tc>
          <w:tcPr>
            <w:tcW w:w="3340" w:type="dxa"/>
            <w:vAlign w:val="bottom"/>
            <w:gridSpan w:val="16"/>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Stock Option Grant Notice and Stock Option Agreement under the 2019 Incentive</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Award Plan.</w:t>
              </w:r>
            </w:hyperlink>
          </w:p>
        </w:tc>
        <w:tc>
          <w:tcPr>
            <w:tcW w:w="260" w:type="dxa"/>
            <w:vAlign w:val="bottom"/>
            <w:gridSpan w:val="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2017 Incentive 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of Stock Option Grant Notice and Stock Option Agreement under the 2017 Incentive</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r:id="rId200">
              <w:r>
                <w:rPr>
                  <w:rFonts w:ascii="Times New Roman" w:cs="Times New Roman" w:eastAsia="Times New Roman" w:hAnsi="Times New Roman"/>
                  <w:sz w:val="18"/>
                  <w:szCs w:val="18"/>
                  <w:color w:val="0000EE"/>
                  <w:w w:val="95"/>
                </w:rPr>
                <w:t>Award Plan.</w:t>
              </w:r>
            </w:hyperlink>
          </w:p>
        </w:tc>
        <w:tc>
          <w:tcPr>
            <w:tcW w:w="5860" w:type="dxa"/>
            <w:vAlign w:val="bottom"/>
            <w:tcBorders>
              <w:top w:val="single" w:sz="8" w:color="0000EE"/>
            </w:tcBorders>
            <w:gridSpan w:val="2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6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Form of Restricted Stock Award Grant Notice and Restricted Stock Award Agreement under</w:t>
              </w:r>
            </w:hyperlink>
          </w:p>
        </w:tc>
        <w:tc>
          <w:tcPr>
            <w:tcW w:w="1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the 2017 Incentive Award Plan.</w:t>
              </w:r>
            </w:hyperlink>
          </w:p>
        </w:tc>
        <w:tc>
          <w:tcPr>
            <w:tcW w:w="4520" w:type="dxa"/>
            <w:vAlign w:val="bottom"/>
            <w:gridSpan w:val="1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Restricted Stock Unit Award Grant Notice and Restricted Stock Unit Award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Agreement under the 2017 Incentive Award Plan.</w:t>
              </w:r>
            </w:hyperlink>
          </w:p>
        </w:tc>
        <w:tc>
          <w:tcPr>
            <w:tcW w:w="2520" w:type="dxa"/>
            <w:vAlign w:val="bottom"/>
            <w:tcBorders>
              <w:top w:val="single" w:sz="8" w:color="0000EE"/>
            </w:tcBorders>
            <w:gridSpan w:val="4"/>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2017 Employee Stock Purchase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3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Non-Employee Director Compensation Program.</w:t>
              </w:r>
            </w:hyperlink>
          </w:p>
        </w:tc>
        <w:tc>
          <w:tcPr>
            <w:tcW w:w="3240" w:type="dxa"/>
            <w:vAlign w:val="bottom"/>
            <w:gridSpan w:val="14"/>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2015 Equity Incentive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80" w:type="dxa"/>
            <w:vAlign w:val="bottom"/>
            <w:gridSpan w:val="12"/>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6780" w:type="dxa"/>
            <w:vAlign w:val="bottom"/>
            <w:gridSpan w:val="28"/>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Form of Stock Option Grant Notice and Stock Option Agreement under 2015 Equity</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Incentive Plan.</w:t>
              </w:r>
            </w:hyperlink>
          </w:p>
        </w:tc>
        <w:tc>
          <w:tcPr>
            <w:tcW w:w="5000" w:type="dxa"/>
            <w:vAlign w:val="bottom"/>
            <w:tcBorders>
              <w:top w:val="single" w:sz="8" w:color="0000EE"/>
            </w:tcBorders>
            <w:gridSpan w:val="14"/>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496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6"/>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9-1-17</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3- 24-20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3-24-20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9-22-17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99.11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9-18-17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10-17-17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9-1-17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660" w:type="dxa"/>
            <w:vAlign w:val="bottom"/>
            <w:tcBorders>
              <w:bottom w:val="single" w:sz="8" w:color="0000EE"/>
            </w:tcBorders>
            <w:gridSpan w:val="29"/>
          </w:tcPr>
          <w:p>
            <w:pPr>
              <w:spacing w:after="0" w:line="169"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Form of Stock Purchase Right Grant Notice and Restricted Stock Purchase Agreement under</w:t>
              </w:r>
            </w:hyperlink>
          </w:p>
        </w:tc>
        <w:tc>
          <w:tcPr>
            <w:tcW w:w="8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2015 Equity Incentive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4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Venus Concept Ltd. 2010 Israeli Employee Share Option Plan.</w:t>
              </w:r>
            </w:hyperlink>
          </w:p>
        </w:tc>
        <w:tc>
          <w:tcPr>
            <w:tcW w:w="2220" w:type="dxa"/>
            <w:vAlign w:val="bottom"/>
            <w:gridSpan w:val="16"/>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66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Minutes of Settlement, by and between Domenic Serafino and Venus Concept Canada Corp,</w:t>
              </w:r>
            </w:hyperlink>
          </w:p>
        </w:tc>
        <w:tc>
          <w:tcPr>
            <w:tcW w:w="12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dated December 30, 2022.</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6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Employment Agreement by and between Venus Concept Ltd. and Domenic Della Penna,</w:t>
              </w:r>
            </w:hyperlink>
          </w:p>
        </w:tc>
        <w:tc>
          <w:tcPr>
            <w:tcW w:w="36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effective September 5, 2017.</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6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Employment Agreement by and between Venus Concept Inc. and Ross Portaro, effective</w:t>
              </w:r>
            </w:hyperlink>
          </w:p>
        </w:tc>
        <w:tc>
          <w:tcPr>
            <w:tcW w:w="380" w:type="dxa"/>
            <w:vAlign w:val="bottom"/>
            <w:gridSpan w:val="1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October 15, 2021.</w:t>
              </w:r>
            </w:hyperlink>
          </w:p>
        </w:tc>
        <w:tc>
          <w:tcPr>
            <w:tcW w:w="5460" w:type="dxa"/>
            <w:vAlign w:val="bottom"/>
            <w:gridSpan w:val="2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6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Form of Indemnification Agreement between Venus Concept Inc. and each of its directors</w:t>
              </w:r>
            </w:hyperlink>
          </w:p>
        </w:tc>
        <w:tc>
          <w:tcPr>
            <w:tcW w:w="28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and executive officers.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6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Lease between 235 Investment Limited, Venus Concept Canada Corp and Venus Concept</w:t>
              </w:r>
            </w:hyperlink>
          </w:p>
        </w:tc>
        <w:tc>
          <w:tcPr>
            <w:tcW w:w="3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Ltd, dated March 29, 2019.</w:t>
              </w:r>
            </w:hyperlink>
          </w:p>
        </w:tc>
        <w:tc>
          <w:tcPr>
            <w:tcW w:w="4760" w:type="dxa"/>
            <w:vAlign w:val="bottom"/>
            <w:gridSpan w:val="2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6760" w:type="dxa"/>
            <w:vAlign w:val="bottom"/>
            <w:gridSpan w:val="31"/>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Lease between AMB Tripoint, LLC and Venus Concept Inc., dated July 29,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65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Quality Agreement, dated October 11, 2011, by and between Venus Concept Ltd. and USR</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Electronnic Systems Ltd. (signed December 3, 2017).</w:t>
              </w:r>
            </w:hyperlink>
          </w:p>
        </w:tc>
        <w:tc>
          <w:tcPr>
            <w:tcW w:w="2900" w:type="dxa"/>
            <w:vAlign w:val="bottom"/>
            <w:gridSpan w:val="1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66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Turn-Key Project Manufacturing Agreement, dated March 23, 2014, by and between Venus</w:t>
              </w:r>
            </w:hyperlink>
          </w:p>
        </w:tc>
        <w:tc>
          <w:tcPr>
            <w:tcW w:w="1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Concept Ltd. and USR Electronnic Systems Ltd.</w:t>
              </w:r>
            </w:hyperlink>
          </w:p>
        </w:tc>
        <w:tc>
          <w:tcPr>
            <w:tcW w:w="3260" w:type="dxa"/>
            <w:vAlign w:val="bottom"/>
            <w:gridSpan w:val="1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Quality Agreement, dated July 13/17 2018, by and between Venus Concept Ltd.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Electronique du Mazet.</w:t>
              </w:r>
            </w:hyperlink>
          </w:p>
        </w:tc>
        <w:tc>
          <w:tcPr>
            <w:tcW w:w="700" w:type="dxa"/>
            <w:vAlign w:val="bottom"/>
            <w:gridSpan w:val="1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Intellectual Property Rights Assignment, dated February 15, 2018, by and between Venus</w:t>
              </w:r>
            </w:hyperlink>
          </w:p>
        </w:tc>
        <w:tc>
          <w:tcPr>
            <w:tcW w:w="30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Concept Ltd. and Electronique du Mazet.</w:t>
              </w:r>
            </w:hyperlink>
          </w:p>
        </w:tc>
        <w:tc>
          <w:tcPr>
            <w:tcW w:w="3780" w:type="dxa"/>
            <w:vAlign w:val="bottom"/>
            <w:gridSpan w:val="1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Consent to Transfer Confidentiality and Nonsolicitation Subcontracting Agreement, dated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February 1, 2018, by and between Venus Concept Ltd. and Societe de Promotion et</w:t>
              </w:r>
            </w:hyperlink>
          </w:p>
        </w:tc>
        <w:tc>
          <w:tcPr>
            <w:tcW w:w="28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d'Equipement Medical Medicamat.</w:t>
              </w:r>
            </w:hyperlink>
          </w:p>
        </w:tc>
        <w:tc>
          <w:tcPr>
            <w:tcW w:w="3460" w:type="dxa"/>
            <w:vAlign w:val="bottom"/>
            <w:tcBorders>
              <w:top w:val="single" w:sz="8" w:color="0000EE"/>
            </w:tcBorders>
            <w:gridSpan w:val="8"/>
          </w:tcPr>
          <w:p>
            <w:pPr>
              <w:spacing w:after="0"/>
              <w:rPr>
                <w:sz w:val="17"/>
                <w:szCs w:val="17"/>
                <w:color w:val="auto"/>
              </w:rPr>
            </w:pPr>
          </w:p>
        </w:tc>
        <w:tc>
          <w:tcPr>
            <w:tcW w:w="760" w:type="dxa"/>
            <w:vAlign w:val="bottom"/>
            <w:gridSpan w:val="1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Manufacturing Agreement for Consumables, dated October 26, 2018, by and between NPI</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Solutions and Restoration Robotics, Inc.</w:t>
              </w:r>
            </w:hyperlink>
          </w:p>
        </w:tc>
        <w:tc>
          <w:tcPr>
            <w:tcW w:w="3600" w:type="dxa"/>
            <w:vAlign w:val="bottom"/>
            <w:tcBorders>
              <w:top w:val="single" w:sz="8" w:color="0000EE"/>
            </w:tcBorders>
            <w:gridSpan w:val="14"/>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SBA Payroll Protection Program Note dated April 21, 2020, by Venus Concepts Inc. and in</w:t>
              </w:r>
            </w:hyperlink>
          </w:p>
        </w:tc>
        <w:tc>
          <w:tcPr>
            <w:tcW w:w="18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0"/>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favor of City National Bank of Florida</w:t>
              </w:r>
              <w:r>
                <w:rPr>
                  <w:rFonts w:ascii="Times New Roman" w:cs="Times New Roman" w:eastAsia="Times New Roman" w:hAnsi="Times New Roman"/>
                  <w:sz w:val="18"/>
                  <w:szCs w:val="18"/>
                  <w:color w:val="000000"/>
                </w:rPr>
                <w:t>.</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Purchase Agreement, dated as of June 16, 2020, by and between Venus Concept Inc. and</w:t>
              </w:r>
            </w:hyperlink>
          </w:p>
        </w:tc>
        <w:tc>
          <w:tcPr>
            <w:tcW w:w="34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gridSpan w:val="30"/>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Lincoln Park Capital Fund,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4060" w:type="dxa"/>
            <w:vAlign w:val="bottom"/>
            <w:gridSpan w:val="1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0"/>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Third Amended and Restated Loan Agreement dated as of December 9, 2020, by and among</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the Company, Venus Concept USA Inc., Venus Concept Canada Corp. and City National</w:t>
              </w:r>
            </w:hyperlink>
          </w:p>
        </w:tc>
        <w:tc>
          <w:tcPr>
            <w:tcW w:w="28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24">
              <w:r>
                <w:rPr>
                  <w:rFonts w:ascii="Times New Roman" w:cs="Times New Roman" w:eastAsia="Times New Roman" w:hAnsi="Times New Roman"/>
                  <w:sz w:val="18"/>
                  <w:szCs w:val="18"/>
                  <w:color w:val="0000EE"/>
                  <w:w w:val="97"/>
                </w:rPr>
                <w:t>Bank of Florida.</w:t>
              </w:r>
            </w:hyperlink>
          </w:p>
        </w:tc>
        <w:tc>
          <w:tcPr>
            <w:tcW w:w="5560" w:type="dxa"/>
            <w:vAlign w:val="bottom"/>
            <w:gridSpan w:val="29"/>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5980" w:type="dxa"/>
            <w:vAlign w:val="bottom"/>
            <w:gridSpan w:val="17"/>
          </w:tcPr>
          <w:p>
            <w:pPr>
              <w:jc w:val="right"/>
              <w:ind w:right="102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5"/>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9-1-17</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1-6-23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3-28-22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11-7-19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3-28-22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6-16-20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4"/>
                <w:szCs w:val="14"/>
                <w:color w:val="auto"/>
              </w:rPr>
            </w:pPr>
          </w:p>
        </w:tc>
        <w:tc>
          <w:tcPr>
            <w:tcW w:w="6760" w:type="dxa"/>
            <w:vAlign w:val="bottom"/>
            <w:gridSpan w:val="27"/>
          </w:tcPr>
          <w:p>
            <w:pPr>
              <w:spacing w:after="0" w:line="169"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Second Amended and Restated Security Agreement dated as of December 9,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among the Company, Venus Concept USA Inc. and City National Bank.</w:t>
              </w:r>
            </w:hyperlink>
          </w:p>
        </w:tc>
        <w:tc>
          <w:tcPr>
            <w:tcW w:w="300" w:type="dxa"/>
            <w:vAlign w:val="bottom"/>
            <w:gridSpan w:val="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6760" w:type="dxa"/>
            <w:vAlign w:val="bottom"/>
            <w:gridSpan w:val="27"/>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Third Amended and Restated Guaranty of Payment and Performance dated as of December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9, 2020 by Venus Concept Ltd. in favor of City National Bank of Florida.</w:t>
              </w:r>
            </w:hyperlink>
          </w:p>
        </w:tc>
        <w:tc>
          <w:tcPr>
            <w:tcW w:w="1280" w:type="dxa"/>
            <w:vAlign w:val="bottom"/>
            <w:tcBorders>
              <w:top w:val="single" w:sz="8" w:color="0000EE"/>
            </w:tcBorders>
            <w:gridSpan w:val="11"/>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6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Amendment to General Security Agreement dated as of December 9, 2020 between Venus</w:t>
              </w:r>
            </w:hyperlink>
          </w:p>
        </w:tc>
        <w:tc>
          <w:tcPr>
            <w:tcW w:w="24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Concept Canada Corp. and City National Bank of Florida.</w:t>
              </w:r>
            </w:hyperlink>
          </w:p>
        </w:tc>
        <w:tc>
          <w:tcPr>
            <w:tcW w:w="2560" w:type="dxa"/>
            <w:vAlign w:val="bottom"/>
            <w:gridSpan w:val="1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67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Loan and Security Agreement dated as of December 8, 2020, by and between Venus Concept</w:t>
              </w:r>
            </w:hyperlink>
          </w:p>
        </w:tc>
        <w:tc>
          <w:tcPr>
            <w:tcW w:w="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USA Inc. and City National Bank.</w:t>
              </w:r>
            </w:hyperlink>
          </w:p>
        </w:tc>
        <w:tc>
          <w:tcPr>
            <w:tcW w:w="4280" w:type="dxa"/>
            <w:vAlign w:val="bottom"/>
            <w:gridSpan w:val="2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6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Promissory Note dated December 8, 2020, by Venus Concept USA Inc. in favor of City</w:t>
              </w:r>
            </w:hyperlink>
          </w:p>
        </w:tc>
        <w:tc>
          <w:tcPr>
            <w:tcW w:w="44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National Bank.</w:t>
              </w:r>
            </w:hyperlink>
          </w:p>
        </w:tc>
        <w:tc>
          <w:tcPr>
            <w:tcW w:w="5660" w:type="dxa"/>
            <w:vAlign w:val="bottom"/>
            <w:gridSpan w:val="2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6760" w:type="dxa"/>
            <w:vAlign w:val="bottom"/>
            <w:gridSpan w:val="27"/>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Guaranty of Payment and Performance Agreement dated as of December 8,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between the Company and City National Bank.</w:t>
              </w:r>
            </w:hyperlink>
          </w:p>
        </w:tc>
        <w:tc>
          <w:tcPr>
            <w:tcW w:w="38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6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Securities Exchange and Registration Rights Agreement as of December 8, 2020 by and</w:t>
              </w:r>
            </w:hyperlink>
          </w:p>
        </w:tc>
        <w:tc>
          <w:tcPr>
            <w:tcW w:w="40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among the Company, Venus Concept USA Inc., Venus Concept Canada Corp., Venus</w:t>
              </w:r>
            </w:hyperlink>
          </w:p>
        </w:tc>
        <w:tc>
          <w:tcPr>
            <w:tcW w:w="620" w:type="dxa"/>
            <w:vAlign w:val="bottom"/>
            <w:gridSpan w:val="1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7"/>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Concept Ltd., Madryn Health Partners, LP and the Investors.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6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favor of Madryn Health Partners, LP.</w:t>
              </w:r>
            </w:hyperlink>
          </w:p>
        </w:tc>
        <w:tc>
          <w:tcPr>
            <w:tcW w:w="4080" w:type="dxa"/>
            <w:vAlign w:val="bottom"/>
            <w:gridSpan w:val="2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6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Secured Subordinated Convertible Note dated as of December 9, 2020 by the Company in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favor of and Madryn Health Partners (Cayman Master), LP.</w:t>
              </w:r>
            </w:hyperlink>
          </w:p>
        </w:tc>
        <w:tc>
          <w:tcPr>
            <w:tcW w:w="2460" w:type="dxa"/>
            <w:vAlign w:val="bottom"/>
            <w:gridSpan w:val="1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Guaranty and Security Agreement dated as of December 9, 2020 by and among the</w:t>
              </w:r>
            </w:hyperlink>
          </w:p>
        </w:tc>
        <w:tc>
          <w:tcPr>
            <w:tcW w:w="76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7"/>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Company, Venus Concept USA, Venus Concept Canada Corp., Venus Concept Ltd.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Madryn Health Partners, LP.</w:t>
              </w:r>
            </w:hyperlink>
          </w:p>
        </w:tc>
        <w:tc>
          <w:tcPr>
            <w:tcW w:w="4240" w:type="dxa"/>
            <w:vAlign w:val="bottom"/>
            <w:tcBorders>
              <w:top w:val="single" w:sz="8" w:color="0000EE"/>
            </w:tcBorders>
            <w:gridSpan w:val="12"/>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4"/>
                <w:szCs w:val="24"/>
                <w:color w:val="auto"/>
              </w:rPr>
            </w:pPr>
          </w:p>
        </w:tc>
        <w:tc>
          <w:tcPr>
            <w:tcW w:w="6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7"/>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Venus Concept Inc.</w:t>
              </w:r>
            </w:hyperlink>
          </w:p>
        </w:tc>
        <w:tc>
          <w:tcPr>
            <w:tcW w:w="5180" w:type="dxa"/>
            <w:vAlign w:val="bottom"/>
            <w:tcBorders>
              <w:top w:val="single" w:sz="8" w:color="0000EE"/>
            </w:tcBorders>
            <w:gridSpan w:val="2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6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7"/>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Venus Concept Canada Corp.</w:t>
              </w:r>
            </w:hyperlink>
          </w:p>
        </w:tc>
        <w:tc>
          <w:tcPr>
            <w:tcW w:w="16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40" w:type="dxa"/>
            <w:vAlign w:val="bottom"/>
            <w:gridSpan w:val="2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6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Subordination of Debt Agreement dated as of December 9, 2020 by and among Madryn</w:t>
              </w:r>
            </w:hyperlink>
          </w:p>
        </w:tc>
        <w:tc>
          <w:tcPr>
            <w:tcW w:w="4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7"/>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Venus Concept USA Inc.</w:t>
              </w:r>
            </w:hyperlink>
          </w:p>
        </w:tc>
        <w:tc>
          <w:tcPr>
            <w:tcW w:w="4780" w:type="dxa"/>
            <w:vAlign w:val="bottom"/>
            <w:tcBorders>
              <w:top w:val="single" w:sz="8" w:color="0000EE"/>
            </w:tcBorders>
            <w:gridSpan w:val="22"/>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5300" w:type="dxa"/>
            <w:vAlign w:val="bottom"/>
            <w:gridSpan w:val="13"/>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425"/>
        </w:trPr>
        <w:tc>
          <w:tcPr>
            <w:tcW w:w="7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12-15-20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4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4"/>
                <w:szCs w:val="14"/>
                <w:color w:val="auto"/>
              </w:rPr>
            </w:pPr>
          </w:p>
        </w:tc>
        <w:tc>
          <w:tcPr>
            <w:tcW w:w="6760" w:type="dxa"/>
            <w:vAlign w:val="bottom"/>
            <w:gridSpan w:val="42"/>
          </w:tcPr>
          <w:p>
            <w:pPr>
              <w:spacing w:after="0" w:line="169"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Fourth Amended and Restated Loan Agreement, dated July 24, 2021, by and between Venus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Concept USA Inc., Venus Concept Canada Corp., Venus Concept Inc., and City National</w:t>
              </w:r>
            </w:hyperlink>
          </w:p>
        </w:tc>
        <w:tc>
          <w:tcPr>
            <w:tcW w:w="10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Bank of Florida.</w:t>
              </w:r>
            </w:hyperlink>
          </w:p>
        </w:tc>
        <w:tc>
          <w:tcPr>
            <w:tcW w:w="5200" w:type="dxa"/>
            <w:vAlign w:val="bottom"/>
            <w:tcBorders>
              <w:top w:val="single" w:sz="8" w:color="0000EE"/>
            </w:tcBorders>
            <w:gridSpan w:val="26"/>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4"/>
                <w:szCs w:val="24"/>
                <w:color w:val="auto"/>
              </w:rPr>
            </w:pPr>
          </w:p>
        </w:tc>
        <w:tc>
          <w:tcPr>
            <w:tcW w:w="6100" w:type="dxa"/>
            <w:vAlign w:val="bottom"/>
            <w:gridSpan w:val="25"/>
          </w:tcPr>
          <w:p>
            <w:pPr>
              <w:spacing w:after="0"/>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Fourth Amended and Restated Guaranty of Payment and Performance, dated July 24</w:t>
              </w:r>
            </w:hyperlink>
          </w:p>
        </w:tc>
        <w:tc>
          <w:tcPr>
            <w:tcW w:w="12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85"/>
              </w:rPr>
            </w:pPr>
            <w:hyperlink r:id="rId241">
              <w:r>
                <w:rPr>
                  <w:rFonts w:ascii="Times New Roman" w:cs="Times New Roman" w:eastAsia="Times New Roman" w:hAnsi="Times New Roman"/>
                  <w:sz w:val="15"/>
                  <w:szCs w:val="15"/>
                  <w:color w:val="0000EE"/>
                  <w:w w:val="85"/>
                </w:rPr>
                <w:t>th</w:t>
              </w:r>
            </w:hyperlink>
          </w:p>
        </w:tc>
        <w:tc>
          <w:tcPr>
            <w:tcW w:w="540" w:type="dxa"/>
            <w:vAlign w:val="bottom"/>
            <w:gridSpan w:val="15"/>
          </w:tcPr>
          <w:p>
            <w:pPr>
              <w:jc w:val="right"/>
              <w:ind w:right="40"/>
              <w:spacing w:after="0"/>
              <w:rPr>
                <w:rFonts w:ascii="Times New Roman" w:cs="Times New Roman" w:eastAsia="Times New Roman" w:hAnsi="Times New Roman"/>
                <w:sz w:val="18"/>
                <w:szCs w:val="18"/>
                <w:color w:val="0000EE"/>
                <w:w w:val="96"/>
              </w:rPr>
            </w:pPr>
            <w:hyperlink r:id="rId241">
              <w:r>
                <w:rPr>
                  <w:rFonts w:ascii="Times New Roman" w:cs="Times New Roman" w:eastAsia="Times New Roman" w:hAnsi="Times New Roman"/>
                  <w:sz w:val="18"/>
                  <w:szCs w:val="18"/>
                  <w:color w:val="0000EE"/>
                  <w:w w:val="96"/>
                </w:rPr>
                <w:t>,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gridSpan w:val="42"/>
          </w:tcPr>
          <w:p>
            <w:pPr>
              <w:spacing w:after="0" w:line="183"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by Venus Concept Ltd in favor of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Third Amended and Restated Security Agreement, dated July 24, 2021, by and between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Venus Concept Inc., Venus Concept USA Inc., and City National Bank of Florida.</w:t>
              </w:r>
            </w:hyperlink>
          </w:p>
        </w:tc>
        <w:tc>
          <w:tcPr>
            <w:tcW w:w="440" w:type="dxa"/>
            <w:vAlign w:val="bottom"/>
            <w:gridSpan w:val="1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4"/>
                <w:szCs w:val="24"/>
                <w:color w:val="auto"/>
              </w:rPr>
            </w:pPr>
          </w:p>
        </w:tc>
        <w:tc>
          <w:tcPr>
            <w:tcW w:w="63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Supplement to Subordination of Debt Agreements, dated July 24, 2021, by and between</w:t>
              </w:r>
            </w:hyperlink>
          </w:p>
        </w:tc>
        <w:tc>
          <w:tcPr>
            <w:tcW w:w="42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4"/>
                <w:szCs w:val="24"/>
                <w:color w:val="auto"/>
              </w:rPr>
            </w:pPr>
          </w:p>
        </w:tc>
        <w:tc>
          <w:tcPr>
            <w:tcW w:w="63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Supplement to Subordination of Debt Agreements, dated July 24, 2021, by and between</w:t>
              </w:r>
            </w:hyperlink>
          </w:p>
        </w:tc>
        <w:tc>
          <w:tcPr>
            <w:tcW w:w="42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Madryn Health Partners, LP, Madryn Health Partners (Cayman Master), LP, City National</w:t>
              </w:r>
            </w:hyperlink>
          </w:p>
        </w:tc>
        <w:tc>
          <w:tcPr>
            <w:tcW w:w="26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Bank of Florida, and Venus Concept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Stock Purchase Agreement, dated December 15, 2021, by and between Venus Concept Inc.</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and the investors listed therein.</w:t>
              </w:r>
            </w:hyperlink>
          </w:p>
        </w:tc>
        <w:tc>
          <w:tcPr>
            <w:tcW w:w="4300" w:type="dxa"/>
            <w:vAlign w:val="bottom"/>
            <w:tcBorders>
              <w:top w:val="single" w:sz="8" w:color="0000EE"/>
            </w:tcBorders>
            <w:gridSpan w:val="28"/>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4"/>
                <w:szCs w:val="24"/>
                <w:color w:val="auto"/>
              </w:rPr>
            </w:pPr>
          </w:p>
        </w:tc>
        <w:tc>
          <w:tcPr>
            <w:tcW w:w="64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Resale Registration Rights Agreement, dated December 15, 2021, by and between Venus</w:t>
              </w:r>
            </w:hyperlink>
          </w:p>
        </w:tc>
        <w:tc>
          <w:tcPr>
            <w:tcW w:w="34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Concept Inc. and the Purchasers.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4"/>
                <w:szCs w:val="24"/>
                <w:color w:val="auto"/>
              </w:rPr>
            </w:pPr>
          </w:p>
        </w:tc>
        <w:tc>
          <w:tcPr>
            <w:tcW w:w="66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Investor Rights Agreement, dated December 15, 2021, by and between Venus Concept, Inc.,</w:t>
              </w:r>
            </w:hyperlink>
          </w:p>
        </w:tc>
        <w:tc>
          <w:tcPr>
            <w:tcW w:w="10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Masters Special Situations, LLC, and the other purchasers from time to time party hereto.</w:t>
              </w:r>
            </w:hyperlink>
          </w:p>
        </w:tc>
        <w:tc>
          <w:tcPr>
            <w:tcW w:w="300" w:type="dxa"/>
            <w:vAlign w:val="bottom"/>
            <w:gridSpan w:val="1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4"/>
                <w:szCs w:val="24"/>
                <w:color w:val="auto"/>
              </w:rPr>
            </w:pPr>
          </w:p>
        </w:tc>
        <w:tc>
          <w:tcPr>
            <w:tcW w:w="65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Purchase Agreement, dated as of July 12, 2022, by and between the Company and Lincoln</w:t>
              </w:r>
            </w:hyperlink>
          </w:p>
        </w:tc>
        <w:tc>
          <w:tcPr>
            <w:tcW w:w="22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Park.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4"/>
                <w:szCs w:val="24"/>
                <w:color w:val="auto"/>
              </w:rPr>
            </w:pPr>
          </w:p>
        </w:tc>
        <w:tc>
          <w:tcPr>
            <w:tcW w:w="668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Registration Rights Agreement, dated as of July 12, 2022, by and between the Company and</w:t>
              </w:r>
            </w:hyperlink>
          </w:p>
        </w:tc>
        <w:tc>
          <w:tcPr>
            <w:tcW w:w="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Lincoln Park.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4"/>
                <w:szCs w:val="24"/>
                <w:color w:val="auto"/>
              </w:rPr>
            </w:pPr>
          </w:p>
        </w:tc>
        <w:tc>
          <w:tcPr>
            <w:tcW w:w="670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Employment Agreement, dated October 2, 2022, by and between the Company and Rajiv De</w:t>
              </w:r>
            </w:hyperlink>
          </w:p>
        </w:tc>
        <w:tc>
          <w:tcPr>
            <w:tcW w:w="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Silva.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Employment Agreement, dated October 11, 2022, by and between Venus Concept Canada</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Corp. and Hemanth Varghese,</w:t>
              </w:r>
            </w:hyperlink>
          </w:p>
        </w:tc>
        <w:tc>
          <w:tcPr>
            <w:tcW w:w="260" w:type="dxa"/>
            <w:vAlign w:val="bottom"/>
            <w:gridSpan w:val="9"/>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4"/>
                <w:szCs w:val="24"/>
                <w:color w:val="auto"/>
              </w:rPr>
            </w:pPr>
          </w:p>
        </w:tc>
        <w:tc>
          <w:tcPr>
            <w:tcW w:w="652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Stock Purchase Agreement, dated November 18, 2022, by and among Venus Concept Inc.,</w:t>
              </w:r>
            </w:hyperlink>
          </w:p>
        </w:tc>
        <w:tc>
          <w:tcPr>
            <w:tcW w:w="24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and certain investors listed therein.</w:t>
              </w:r>
            </w:hyperlink>
          </w:p>
        </w:tc>
        <w:tc>
          <w:tcPr>
            <w:tcW w:w="4240" w:type="dxa"/>
            <w:vAlign w:val="bottom"/>
            <w:gridSpan w:val="3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4"/>
                <w:szCs w:val="24"/>
                <w:color w:val="auto"/>
              </w:rPr>
            </w:pPr>
          </w:p>
        </w:tc>
        <w:tc>
          <w:tcPr>
            <w:tcW w:w="65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Amended and Restated Registration Rights Agreement, dated November 18, 2022, by and</w:t>
              </w:r>
            </w:hyperlink>
          </w:p>
        </w:tc>
        <w:tc>
          <w:tcPr>
            <w:tcW w:w="26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between Venus Concept Inc. and certain investors listed therein.</w:t>
              </w:r>
            </w:hyperlink>
          </w:p>
        </w:tc>
        <w:tc>
          <w:tcPr>
            <w:tcW w:w="2100" w:type="dxa"/>
            <w:vAlign w:val="bottom"/>
            <w:gridSpan w:val="2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Amendment to Employment Agreement, dated as of January 1, 2023, by and between Venus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Concept Inc. and Ross Portaro.</w:t>
              </w:r>
            </w:hyperlink>
          </w:p>
        </w:tc>
        <w:tc>
          <w:tcPr>
            <w:tcW w:w="10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4"/>
                <w:szCs w:val="24"/>
                <w:color w:val="auto"/>
              </w:rPr>
            </w:pPr>
          </w:p>
        </w:tc>
        <w:tc>
          <w:tcPr>
            <w:tcW w:w="668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Settlement Agreement, by and between Soeren Maor Sinay and Venus Concept UK Limited,</w:t>
              </w:r>
            </w:hyperlink>
          </w:p>
        </w:tc>
        <w:tc>
          <w:tcPr>
            <w:tcW w:w="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dated March 1, 2023.</w:t>
              </w:r>
            </w:hyperlink>
          </w:p>
        </w:tc>
        <w:tc>
          <w:tcPr>
            <w:tcW w:w="5220" w:type="dxa"/>
            <w:vAlign w:val="bottom"/>
            <w:gridSpan w:val="3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4"/>
                <w:szCs w:val="24"/>
                <w:color w:val="auto"/>
              </w:rPr>
            </w:pPr>
          </w:p>
        </w:tc>
        <w:tc>
          <w:tcPr>
            <w:tcW w:w="64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Stock Purchase Agreement, dated May 15, 2023, by and among Venus Concept Inc., EW</w:t>
              </w:r>
            </w:hyperlink>
          </w:p>
        </w:tc>
        <w:tc>
          <w:tcPr>
            <w:tcW w:w="34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Healthcare Partners, L.P. and EW Healthcare Partners-A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Registration Rights Agreement, dated May 15, 2023, by and among Venus Concept Inc., EW</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top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Healthcare Partners, L.P. and EW Healthcare Partners-A L.P</w:t>
              </w:r>
            </w:hyperlink>
          </w:p>
        </w:tc>
        <w:tc>
          <w:tcPr>
            <w:tcW w:w="6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4"/>
                <w:szCs w:val="24"/>
                <w:color w:val="auto"/>
              </w:rPr>
            </w:pPr>
          </w:p>
        </w:tc>
        <w:tc>
          <w:tcPr>
            <w:tcW w:w="6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Addendum to Employment Agreement of Domenic Della Penna, dated May 9, 2023.</w:t>
              </w:r>
            </w:hyperlink>
          </w:p>
        </w:tc>
        <w:tc>
          <w:tcPr>
            <w:tcW w:w="640" w:type="dxa"/>
            <w:vAlign w:val="bottom"/>
            <w:gridSpan w:val="16"/>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4"/>
                <w:szCs w:val="24"/>
                <w:color w:val="auto"/>
              </w:rPr>
            </w:pPr>
          </w:p>
        </w:tc>
        <w:tc>
          <w:tcPr>
            <w:tcW w:w="54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Addendum to Employment Agreement of Ross Portaro, dated May 9, 2023.</w:t>
              </w:r>
            </w:hyperlink>
          </w:p>
        </w:tc>
        <w:tc>
          <w:tcPr>
            <w:tcW w:w="1300" w:type="dxa"/>
            <w:vAlign w:val="bottom"/>
            <w:gridSpan w:val="20"/>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24"/>
                <w:szCs w:val="24"/>
                <w:color w:val="auto"/>
              </w:rPr>
            </w:pPr>
          </w:p>
        </w:tc>
        <w:tc>
          <w:tcPr>
            <w:tcW w:w="664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Amendment to Stock Purchase Agreement, dated July 6, 2023, by and among the Company,</w:t>
              </w:r>
            </w:hyperlink>
          </w:p>
        </w:tc>
        <w:tc>
          <w:tcPr>
            <w:tcW w:w="1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EW Healthcare Partners, L.P. and EW Healthcare Partners-A.</w:t>
              </w:r>
            </w:hyperlink>
          </w:p>
        </w:tc>
        <w:tc>
          <w:tcPr>
            <w:tcW w:w="2320" w:type="dxa"/>
            <w:vAlign w:val="bottom"/>
            <w:gridSpan w:val="23"/>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4"/>
                <w:szCs w:val="24"/>
                <w:color w:val="auto"/>
              </w:rPr>
            </w:pPr>
          </w:p>
        </w:tc>
        <w:tc>
          <w:tcPr>
            <w:tcW w:w="6760" w:type="dxa"/>
            <w:vAlign w:val="bottom"/>
            <w:gridSpan w:val="42"/>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Exchange Agreement, dated October 4, 2023, by and among Venus Concept Inc., Madryn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Health Partners, LP and Madryn Health Partners (Cayman Master), LP</w:t>
              </w:r>
            </w:hyperlink>
          </w:p>
        </w:tc>
        <w:tc>
          <w:tcPr>
            <w:tcW w:w="300" w:type="dxa"/>
            <w:vAlign w:val="bottom"/>
            <w:gridSpan w:val="10"/>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1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4"/>
                <w:szCs w:val="24"/>
                <w:color w:val="auto"/>
              </w:rPr>
            </w:pPr>
          </w:p>
        </w:tc>
        <w:tc>
          <w:tcPr>
            <w:tcW w:w="65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Registration Rights Agreement, dated October 4, 2023, by and among Venus Concept Inc.,</w:t>
              </w:r>
            </w:hyperlink>
          </w:p>
        </w:tc>
        <w:tc>
          <w:tcPr>
            <w:tcW w:w="22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Madryn Health Partners, LP and Madryn Health Partners (Cayman Master), LP</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1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24"/>
                <w:szCs w:val="24"/>
                <w:color w:val="auto"/>
              </w:rPr>
            </w:pPr>
          </w:p>
        </w:tc>
        <w:tc>
          <w:tcPr>
            <w:tcW w:w="65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Subordination of Debt Agreement, dated October 4, 2023, by and between Venus Concept</w:t>
              </w:r>
            </w:hyperlink>
          </w:p>
        </w:tc>
        <w:tc>
          <w:tcPr>
            <w:tcW w:w="26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2"/>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Ltd., Madryn Health Partners, LP, Madryn Health Partners (Cayman Master), LP and City</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642"/>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8-26-21</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8-26-21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7-12-22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7-12-22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4"/>
        </w:trPr>
        <w:tc>
          <w:tcPr>
            <w:tcW w:w="7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11-18-22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3-27-23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10.67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7-12-23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1" w:right="339" w:bottom="0" w:gutter="0" w:footer="0" w:header="0"/>
        </w:sectPr>
      </w:pPr>
    </w:p>
    <w:bookmarkStart w:id="149" w:name="page150"/>
    <w:bookmarkEnd w:id="149"/>
    <w:p>
      <w:pPr>
        <w:ind w:left="920"/>
        <w:spacing w:after="0"/>
        <w:rPr>
          <w:rFonts w:ascii="Times New Roman" w:cs="Times New Roman" w:eastAsia="Times New Roman" w:hAnsi="Times New Roman"/>
          <w:sz w:val="18"/>
          <w:szCs w:val="18"/>
          <w:u w:val="single" w:color="auto"/>
          <w:color w:val="0000EE"/>
        </w:rPr>
      </w:pPr>
      <w:hyperlink r:id="rId263">
        <w:r>
          <w:rPr>
            <w:rFonts w:ascii="Times New Roman" w:cs="Times New Roman" w:eastAsia="Times New Roman" w:hAnsi="Times New Roman"/>
            <w:sz w:val="18"/>
            <w:szCs w:val="18"/>
            <w:u w:val="single" w:color="auto"/>
            <w:color w:val="0000EE"/>
          </w:rPr>
          <w:t>National Bank of Florida</w:t>
        </w:r>
      </w:hyperlink>
    </w:p>
    <w:p>
      <w:pPr>
        <w:spacing w:after="0" w:line="225" w:lineRule="exact"/>
        <w:rPr>
          <w:sz w:val="20"/>
          <w:szCs w:val="20"/>
          <w:color w:val="auto"/>
        </w:rPr>
      </w:pPr>
    </w:p>
    <w:p>
      <w:pPr>
        <w:ind w:left="920" w:right="18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10.80</w:t>
      </w:r>
      <w:r>
        <w:rPr>
          <w:sz w:val="20"/>
          <w:szCs w:val="20"/>
          <w:color w:val="auto"/>
        </w:rPr>
        <w:tab/>
      </w:r>
      <w:hyperlink r:id="rId264">
        <w:r>
          <w:rPr>
            <w:rFonts w:ascii="Times New Roman" w:cs="Times New Roman" w:eastAsia="Times New Roman" w:hAnsi="Times New Roman"/>
            <w:sz w:val="18"/>
            <w:szCs w:val="18"/>
            <w:u w:val="single" w:color="auto"/>
            <w:color w:val="0000EE"/>
          </w:rPr>
          <w:t>Loan Modification Agreement, dated October 4, 2023, by and between Venus Concept Inc.</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and City National Bank of Florida</w:t>
        </w:r>
      </w:hyperlink>
    </w:p>
    <w:p>
      <w:pPr>
        <w:spacing w:after="0" w:line="162" w:lineRule="exact"/>
        <w:rPr>
          <w:sz w:val="20"/>
          <w:szCs w:val="20"/>
          <w:color w:val="auto"/>
        </w:rPr>
      </w:pPr>
    </w:p>
    <w:p>
      <w:pPr>
        <w:ind w:left="920" w:right="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10.81</w:t>
      </w:r>
      <w:r>
        <w:rPr>
          <w:sz w:val="20"/>
          <w:szCs w:val="20"/>
          <w:color w:val="auto"/>
        </w:rPr>
        <w:tab/>
      </w:r>
      <w:hyperlink r:id="rId265">
        <w:r>
          <w:rPr>
            <w:rFonts w:ascii="Times New Roman" w:cs="Times New Roman" w:eastAsia="Times New Roman" w:hAnsi="Times New Roman"/>
            <w:sz w:val="18"/>
            <w:szCs w:val="18"/>
            <w:u w:val="single" w:color="auto"/>
            <w:color w:val="0000EE"/>
          </w:rPr>
          <w:t>Note Purchase Agreement dated January 18, 2024, by and between Venus Concept Inc., Veus</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Concept USA, Inc., Venus Concept Canada Corp., Venus Concept Ltd., EW Healthcare</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Partners and EW Healthcare Partners-A,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2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10.82</w:t>
      </w:r>
      <w:r>
        <w:rPr>
          <w:sz w:val="20"/>
          <w:szCs w:val="20"/>
          <w:color w:val="auto"/>
        </w:rPr>
        <w:tab/>
      </w:r>
      <w:hyperlink r:id="rId266">
        <w:r>
          <w:rPr>
            <w:rFonts w:ascii="Times New Roman" w:cs="Times New Roman" w:eastAsia="Times New Roman" w:hAnsi="Times New Roman"/>
            <w:sz w:val="18"/>
            <w:szCs w:val="18"/>
            <w:u w:val="single" w:color="auto"/>
            <w:color w:val="0000EE"/>
          </w:rPr>
          <w:t>Guaranty and Security Agreement, dated January 18, 2024, by and among Venus Concept</w:t>
        </w:r>
      </w:hyperlink>
      <w:r>
        <w:rPr>
          <w:rFonts w:ascii="Times New Roman" w:cs="Times New Roman" w:eastAsia="Times New Roman" w:hAnsi="Times New Roman"/>
          <w:sz w:val="18"/>
          <w:szCs w:val="18"/>
          <w:u w:val="single" w:color="auto"/>
          <w:color w:val="0000EE"/>
        </w:rPr>
        <w:t xml:space="preserve"> </w:t>
      </w:r>
      <w:hyperlink r:id="rId266">
        <w:r>
          <w:rPr>
            <w:rFonts w:ascii="Times New Roman" w:cs="Times New Roman" w:eastAsia="Times New Roman" w:hAnsi="Times New Roman"/>
            <w:sz w:val="18"/>
            <w:szCs w:val="18"/>
            <w:u w:val="single" w:color="auto"/>
            <w:color w:val="0000EE"/>
          </w:rPr>
          <w:t>Inc., Venus Concept USA Inc., Venus Concept Canada Corp., Venus Concept Ltd. and EW</w:t>
        </w:r>
      </w:hyperlink>
      <w:r>
        <w:rPr>
          <w:rFonts w:ascii="Times New Roman" w:cs="Times New Roman" w:eastAsia="Times New Roman" w:hAnsi="Times New Roman"/>
          <w:sz w:val="18"/>
          <w:szCs w:val="18"/>
          <w:u w:val="single" w:color="auto"/>
          <w:color w:val="0000EE"/>
        </w:rPr>
        <w:t xml:space="preserve"> </w:t>
      </w:r>
      <w:hyperlink r:id="rId266">
        <w:r>
          <w:rPr>
            <w:rFonts w:ascii="Times New Roman" w:cs="Times New Roman" w:eastAsia="Times New Roman" w:hAnsi="Times New Roman"/>
            <w:sz w:val="18"/>
            <w:szCs w:val="18"/>
            <w:u w:val="single" w:color="auto"/>
            <w:color w:val="0000EE"/>
          </w:rPr>
          <w:t>Healthcare Partners, L.P., as Collateral Agent</w:t>
        </w:r>
      </w:hyperlink>
    </w:p>
    <w:p>
      <w:pPr>
        <w:spacing w:after="0" w:line="176" w:lineRule="exact"/>
        <w:rPr>
          <w:rFonts w:ascii="Times New Roman" w:cs="Times New Roman" w:eastAsia="Times New Roman" w:hAnsi="Times New Roman"/>
          <w:sz w:val="18"/>
          <w:szCs w:val="18"/>
          <w:u w:val="single" w:color="auto"/>
          <w:color w:val="0000EE"/>
        </w:rPr>
      </w:pPr>
    </w:p>
    <w:p>
      <w:pPr>
        <w:ind w:left="920" w:right="120" w:hanging="917"/>
        <w:spacing w:after="0" w:line="289"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10.83</w:t>
      </w:r>
      <w:r>
        <w:rPr>
          <w:sz w:val="20"/>
          <w:szCs w:val="20"/>
          <w:color w:val="auto"/>
        </w:rPr>
        <w:tab/>
      </w:r>
      <w:hyperlink r:id="rId267">
        <w:r>
          <w:rPr>
            <w:rFonts w:ascii="Times New Roman" w:cs="Times New Roman" w:eastAsia="Times New Roman" w:hAnsi="Times New Roman"/>
            <w:sz w:val="17"/>
            <w:szCs w:val="17"/>
            <w:u w:val="single" w:color="auto"/>
            <w:color w:val="0000EE"/>
          </w:rPr>
          <w:t>Subordination of Debt Agreement, dated January 18, 2024, by and among Venus Concept</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Inc., Venus Concept USA Inc., Venus Concept Canada Corp., Venus Concept Ltd., City</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National Bank of Florida, EW Healthcare Partners, L.P. and EW Healthcare Partners-A L.P.</w:t>
        </w:r>
      </w:hyperlink>
    </w:p>
    <w:p>
      <w:pPr>
        <w:spacing w:after="0" w:line="158" w:lineRule="exact"/>
        <w:rPr>
          <w:rFonts w:ascii="Times New Roman" w:cs="Times New Roman" w:eastAsia="Times New Roman" w:hAnsi="Times New Roman"/>
          <w:sz w:val="17"/>
          <w:szCs w:val="17"/>
          <w:u w:val="single" w:color="auto"/>
          <w:color w:val="0000EE"/>
        </w:rPr>
      </w:pPr>
    </w:p>
    <w:p>
      <w:pPr>
        <w:ind w:left="920" w:right="140" w:hanging="917"/>
        <w:spacing w:after="0" w:line="261"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10.84</w:t>
      </w:r>
      <w:r>
        <w:rPr>
          <w:sz w:val="20"/>
          <w:szCs w:val="20"/>
          <w:color w:val="auto"/>
        </w:rPr>
        <w:tab/>
      </w:r>
      <w:hyperlink r:id="rId268">
        <w:r>
          <w:rPr>
            <w:rFonts w:ascii="Times New Roman" w:cs="Times New Roman" w:eastAsia="Times New Roman" w:hAnsi="Times New Roman"/>
            <w:sz w:val="18"/>
            <w:szCs w:val="18"/>
            <w:u w:val="single" w:color="auto"/>
            <w:color w:val="0000EE"/>
          </w:rPr>
          <w:t>Loan Modification Agreement, dated January 18, 2024, by and among Venus Concept Inc.,</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Venus Concept USA Inc., Venus Concept Canada Corp., Venus Concept Ltd. and EW</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Healthcare, City National Bank of Florida, Madryn Health Partners, LP and Madryn Health</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Partners (Cayman Master).</w:t>
        </w:r>
      </w:hyperlink>
    </w:p>
    <w:p>
      <w:pPr>
        <w:spacing w:after="0" w:line="180"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10.85</w:t>
      </w:r>
      <w:r>
        <w:rPr>
          <w:sz w:val="20"/>
          <w:szCs w:val="20"/>
          <w:color w:val="auto"/>
        </w:rPr>
        <w:tab/>
      </w:r>
      <w:hyperlink r:id="rId269">
        <w:r>
          <w:rPr>
            <w:rFonts w:ascii="Times New Roman" w:cs="Times New Roman" w:eastAsia="Times New Roman" w:hAnsi="Times New Roman"/>
            <w:sz w:val="17"/>
            <w:szCs w:val="17"/>
            <w:u w:val="single" w:color="auto"/>
            <w:color w:val="0000EE"/>
          </w:rPr>
          <w:t>Form of Transaction Completion Bonus Award Letter</w:t>
        </w:r>
      </w:hyperlink>
    </w:p>
    <w:p>
      <w:pPr>
        <w:spacing w:after="0" w:line="225" w:lineRule="exact"/>
        <w:rPr>
          <w:rFonts w:ascii="Times New Roman" w:cs="Times New Roman" w:eastAsia="Times New Roman" w:hAnsi="Times New Roman"/>
          <w:sz w:val="18"/>
          <w:szCs w:val="18"/>
          <w:u w:val="single" w:color="auto"/>
          <w:color w:val="0000EE"/>
        </w:rPr>
      </w:pPr>
    </w:p>
    <w:p>
      <w:pPr>
        <w:ind w:left="920" w:right="30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10.86</w:t>
      </w:r>
      <w:r>
        <w:rPr>
          <w:sz w:val="20"/>
          <w:szCs w:val="20"/>
          <w:color w:val="auto"/>
        </w:rPr>
        <w:tab/>
      </w:r>
      <w:hyperlink r:id="rId270">
        <w:r>
          <w:rPr>
            <w:rFonts w:ascii="Times New Roman" w:cs="Times New Roman" w:eastAsia="Times New Roman" w:hAnsi="Times New Roman"/>
            <w:sz w:val="18"/>
            <w:szCs w:val="18"/>
            <w:u w:val="single" w:color="auto"/>
            <w:color w:val="0000EE"/>
          </w:rPr>
          <w:t>Form of Securities Purchase Agreement, dated February 22, 2024, by and between Venus</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Concept Inc., Armistice Capital Master Fund Ltd. and Intracostal Capital LLC.</w:t>
        </w:r>
      </w:hyperlink>
    </w:p>
    <w:p>
      <w:pPr>
        <w:spacing w:after="0" w:line="162" w:lineRule="exact"/>
        <w:rPr>
          <w:sz w:val="20"/>
          <w:szCs w:val="20"/>
          <w:color w:val="auto"/>
        </w:rPr>
      </w:pPr>
    </w:p>
    <w:p>
      <w:pPr>
        <w:ind w:left="920" w:right="1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10.87</w:t>
      </w:r>
      <w:r>
        <w:rPr>
          <w:sz w:val="20"/>
          <w:szCs w:val="20"/>
          <w:color w:val="auto"/>
        </w:rPr>
        <w:tab/>
      </w:r>
      <w:hyperlink r:id="rId271">
        <w:r>
          <w:rPr>
            <w:rFonts w:ascii="Times New Roman" w:cs="Times New Roman" w:eastAsia="Times New Roman" w:hAnsi="Times New Roman"/>
            <w:sz w:val="18"/>
            <w:szCs w:val="18"/>
            <w:u w:val="single" w:color="auto"/>
            <w:color w:val="0000EE"/>
          </w:rPr>
          <w:t>Loan and Security Agreement by and among Venus Concept USA Inc., Venus Concept Inc.,</w:t>
        </w:r>
      </w:hyperlink>
      <w:r>
        <w:rPr>
          <w:rFonts w:ascii="Times New Roman" w:cs="Times New Roman" w:eastAsia="Times New Roman" w:hAnsi="Times New Roman"/>
          <w:sz w:val="18"/>
          <w:szCs w:val="18"/>
          <w:u w:val="single" w:color="auto"/>
          <w:color w:val="0000EE"/>
        </w:rPr>
        <w:t xml:space="preserve"> </w:t>
      </w:r>
      <w:hyperlink r:id="rId271">
        <w:r>
          <w:rPr>
            <w:rFonts w:ascii="Times New Roman" w:cs="Times New Roman" w:eastAsia="Times New Roman" w:hAnsi="Times New Roman"/>
            <w:sz w:val="18"/>
            <w:szCs w:val="18"/>
            <w:u w:val="single" w:color="auto"/>
            <w:color w:val="0000EE"/>
          </w:rPr>
          <w:t>Venus Concept Canada Corp., Venus Concept Ltd and Madryn Health Partners, LP dated</w:t>
        </w:r>
      </w:hyperlink>
      <w:r>
        <w:rPr>
          <w:rFonts w:ascii="Times New Roman" w:cs="Times New Roman" w:eastAsia="Times New Roman" w:hAnsi="Times New Roman"/>
          <w:sz w:val="18"/>
          <w:szCs w:val="18"/>
          <w:u w:val="single" w:color="auto"/>
          <w:color w:val="0000EE"/>
        </w:rPr>
        <w:t xml:space="preserve"> </w:t>
      </w:r>
      <w:hyperlink r:id="rId271">
        <w:r>
          <w:rPr>
            <w:rFonts w:ascii="Times New Roman" w:cs="Times New Roman" w:eastAsia="Times New Roman" w:hAnsi="Times New Roman"/>
            <w:sz w:val="18"/>
            <w:szCs w:val="18"/>
            <w:u w:val="single" w:color="auto"/>
            <w:color w:val="0000EE"/>
          </w:rPr>
          <w:t>April 23, 2024.</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5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10.88</w:t>
      </w:r>
      <w:r>
        <w:rPr>
          <w:sz w:val="20"/>
          <w:szCs w:val="20"/>
          <w:color w:val="auto"/>
        </w:rPr>
        <w:tab/>
      </w:r>
      <w:hyperlink r:id="rId173">
        <w:r>
          <w:rPr>
            <w:rFonts w:ascii="Times New Roman" w:cs="Times New Roman" w:eastAsia="Times New Roman" w:hAnsi="Times New Roman"/>
            <w:sz w:val="18"/>
            <w:szCs w:val="18"/>
            <w:u w:val="single" w:color="auto"/>
            <w:color w:val="0000EE"/>
          </w:rPr>
          <w:t>Exchange Agreement, dated May 24, 2024, by and among Venus Concept Inc., Venus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Concept USA Inc., Madryn Health Partners, LP and Madryn Health Partners (Cayman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Master), LP</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10.89</w:t>
      </w:r>
      <w:r>
        <w:rPr>
          <w:sz w:val="20"/>
          <w:szCs w:val="20"/>
          <w:color w:val="auto"/>
        </w:rPr>
        <w:tab/>
      </w:r>
      <w:hyperlink r:id="rId173">
        <w:r>
          <w:rPr>
            <w:rFonts w:ascii="Times New Roman" w:cs="Times New Roman" w:eastAsia="Times New Roman" w:hAnsi="Times New Roman"/>
            <w:sz w:val="17"/>
            <w:szCs w:val="17"/>
            <w:u w:val="single" w:color="auto"/>
            <w:color w:val="0000EE"/>
          </w:rPr>
          <w:t>Form of Promissory Note, dated May 24, 2024, of Venus Concept USA Inc.</w:t>
        </w:r>
      </w:hyperlink>
    </w:p>
    <w:p>
      <w:pPr>
        <w:spacing w:after="0" w:line="225" w:lineRule="exact"/>
        <w:rPr>
          <w:rFonts w:ascii="Times New Roman" w:cs="Times New Roman" w:eastAsia="Times New Roman" w:hAnsi="Times New Roman"/>
          <w:sz w:val="18"/>
          <w:szCs w:val="18"/>
          <w:u w:val="single" w:color="auto"/>
          <w:color w:val="0000EE"/>
        </w:rPr>
      </w:pPr>
    </w:p>
    <w:p>
      <w:pPr>
        <w:ind w:left="920" w:right="36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10.90</w:t>
      </w:r>
      <w:r>
        <w:rPr>
          <w:sz w:val="20"/>
          <w:szCs w:val="20"/>
          <w:color w:val="auto"/>
        </w:rPr>
        <w:tab/>
      </w:r>
      <w:hyperlink r:id="rId173">
        <w:r>
          <w:rPr>
            <w:rFonts w:ascii="Times New Roman" w:cs="Times New Roman" w:eastAsia="Times New Roman" w:hAnsi="Times New Roman"/>
            <w:sz w:val="18"/>
            <w:szCs w:val="18"/>
            <w:u w:val="single" w:color="auto"/>
            <w:color w:val="0000EE"/>
          </w:rPr>
          <w:t>Registration Rights Agreement, dated May 24, 2024, by and among Venus Concept Inc.,</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62" w:lineRule="exact"/>
        <w:rPr>
          <w:sz w:val="20"/>
          <w:szCs w:val="20"/>
          <w:color w:val="auto"/>
        </w:rPr>
      </w:pPr>
    </w:p>
    <w:p>
      <w:pPr>
        <w:ind w:left="920" w:right="28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10.91</w:t>
      </w:r>
      <w:r>
        <w:rPr>
          <w:sz w:val="20"/>
          <w:szCs w:val="20"/>
          <w:color w:val="auto"/>
        </w:rPr>
        <w:tab/>
      </w:r>
      <w:hyperlink r:id="rId173">
        <w:r>
          <w:rPr>
            <w:rFonts w:ascii="Times New Roman" w:cs="Times New Roman" w:eastAsia="Times New Roman" w:hAnsi="Times New Roman"/>
            <w:sz w:val="18"/>
            <w:szCs w:val="18"/>
            <w:u w:val="single" w:color="auto"/>
            <w:color w:val="0000EE"/>
          </w:rPr>
          <w:t>Loan Amendment and Consent Agreement, dated May 24, 2024, by and among Venus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Concept Inc., Venus Concept USA Inc., Venus Concept Ltd., Madryn Health Partners, LP</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10.92</w:t>
      </w:r>
      <w:r>
        <w:rPr>
          <w:sz w:val="20"/>
          <w:szCs w:val="20"/>
          <w:color w:val="auto"/>
        </w:rPr>
        <w:tab/>
      </w:r>
      <w:hyperlink r:id="rId173">
        <w:r>
          <w:rPr>
            <w:rFonts w:ascii="Times New Roman" w:cs="Times New Roman" w:eastAsia="Times New Roman" w:hAnsi="Times New Roman"/>
            <w:sz w:val="18"/>
            <w:szCs w:val="18"/>
            <w:u w:val="single" w:color="auto"/>
            <w:color w:val="0000EE"/>
          </w:rPr>
          <w:t>Amendment to Secured Subordinated Convertible Notes, dated May 24, 2024, by and among</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Venus Concept Inc., Venus Concept USA Inc., Venus Concept Ltd., Madryn Health Partners,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10.93</w:t>
      </w:r>
      <w:r>
        <w:rPr>
          <w:sz w:val="20"/>
          <w:szCs w:val="20"/>
          <w:color w:val="auto"/>
        </w:rPr>
        <w:tab/>
      </w:r>
      <w:hyperlink r:id="rId173">
        <w:r>
          <w:rPr>
            <w:rFonts w:ascii="Times New Roman" w:cs="Times New Roman" w:eastAsia="Times New Roman" w:hAnsi="Times New Roman"/>
            <w:sz w:val="18"/>
            <w:szCs w:val="18"/>
            <w:u w:val="single" w:color="auto"/>
            <w:color w:val="0000EE"/>
          </w:rPr>
          <w:t>Bridge Loan Amendment Agreement, dated May 24, 2024, by and among Venus Concept</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Inc., Venus Concept USA Inc., Venus Concept Ltd., Madryn Health Partners, LP and Madryn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1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10.94</w:t>
      </w:r>
      <w:r>
        <w:rPr>
          <w:sz w:val="20"/>
          <w:szCs w:val="20"/>
          <w:color w:val="auto"/>
        </w:rPr>
        <w:tab/>
      </w:r>
      <w:hyperlink r:id="rId272">
        <w:r>
          <w:rPr>
            <w:rFonts w:ascii="Times New Roman" w:cs="Times New Roman" w:eastAsia="Times New Roman" w:hAnsi="Times New Roman"/>
            <w:sz w:val="18"/>
            <w:szCs w:val="18"/>
            <w:u w:val="single" w:color="auto"/>
            <w:color w:val="0000EE"/>
          </w:rPr>
          <w:t>Consent Agreement, dated June 7, 2024, by and among Venus Concept Inc., Venus Concept</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Canada Corp., Venus Concept USA Inc., Venus Concept Ltd., Madryn Health Partners, LP</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10.95</w:t>
      </w:r>
      <w:r>
        <w:rPr>
          <w:sz w:val="20"/>
          <w:szCs w:val="20"/>
          <w:color w:val="auto"/>
        </w:rPr>
        <w:tab/>
      </w:r>
      <w:hyperlink r:id="rId272">
        <w:r>
          <w:rPr>
            <w:rFonts w:ascii="Times New Roman" w:cs="Times New Roman" w:eastAsia="Times New Roman" w:hAnsi="Times New Roman"/>
            <w:sz w:val="18"/>
            <w:szCs w:val="18"/>
            <w:u w:val="single" w:color="auto"/>
            <w:color w:val="0000EE"/>
          </w:rPr>
          <w:t>Second Amendment to Bridge Loan Agreement, dated June 7, 2024, by and among Venus</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10.96</w:t>
      </w:r>
      <w:r>
        <w:rPr>
          <w:sz w:val="20"/>
          <w:szCs w:val="20"/>
          <w:color w:val="auto"/>
        </w:rPr>
        <w:tab/>
      </w:r>
      <w:hyperlink r:id="rId273">
        <w:r>
          <w:rPr>
            <w:rFonts w:ascii="Times New Roman" w:cs="Times New Roman" w:eastAsia="Times New Roman" w:hAnsi="Times New Roman"/>
            <w:sz w:val="18"/>
            <w:szCs w:val="18"/>
            <w:u w:val="single" w:color="auto"/>
            <w:color w:val="0000EE"/>
          </w:rPr>
          <w:t>Note Amendment and Consent Agreement, dated June 21, 2024, by and among Venus</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Concept Inc., Venus Concept Canada Corp., Venus Concept USA Inc., Venus Concept Ltd.,</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10.97</w:t>
      </w:r>
      <w:r>
        <w:rPr>
          <w:sz w:val="20"/>
          <w:szCs w:val="20"/>
          <w:color w:val="auto"/>
        </w:rPr>
        <w:tab/>
      </w:r>
      <w:hyperlink r:id="rId273">
        <w:r>
          <w:rPr>
            <w:rFonts w:ascii="Times New Roman" w:cs="Times New Roman" w:eastAsia="Times New Roman" w:hAnsi="Times New Roman"/>
            <w:sz w:val="18"/>
            <w:szCs w:val="18"/>
            <w:u w:val="single" w:color="auto"/>
            <w:color w:val="0000EE"/>
          </w:rPr>
          <w:t>Third Amendment to Bridge Loan Agreement, dated June 21, 2024, by and among Venus</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10.98</w:t>
      </w:r>
      <w:r>
        <w:rPr>
          <w:sz w:val="20"/>
          <w:szCs w:val="20"/>
          <w:color w:val="auto"/>
        </w:rPr>
        <w:tab/>
      </w:r>
      <w:hyperlink r:id="rId274">
        <w:r>
          <w:rPr>
            <w:rFonts w:ascii="Times New Roman" w:cs="Times New Roman" w:eastAsia="Times New Roman" w:hAnsi="Times New Roman"/>
            <w:sz w:val="18"/>
            <w:szCs w:val="18"/>
            <w:u w:val="single" w:color="auto"/>
            <w:color w:val="0000EE"/>
          </w:rPr>
          <w:t>Loan Amendment and Consent Agreement, dated July 8, 2024, by and among Venus Concept</w:t>
        </w:r>
      </w:hyperlink>
      <w:r>
        <w:rPr>
          <w:rFonts w:ascii="Times New Roman" w:cs="Times New Roman" w:eastAsia="Times New Roman" w:hAnsi="Times New Roman"/>
          <w:sz w:val="18"/>
          <w:szCs w:val="18"/>
          <w:u w:val="single" w:color="auto"/>
          <w:color w:val="0000EE"/>
        </w:rPr>
        <w:t xml:space="preserve"> </w:t>
      </w:r>
      <w:hyperlink r:id="rId274">
        <w:r>
          <w:rPr>
            <w:rFonts w:ascii="Times New Roman" w:cs="Times New Roman" w:eastAsia="Times New Roman" w:hAnsi="Times New Roman"/>
            <w:sz w:val="18"/>
            <w:szCs w:val="18"/>
            <w:u w:val="single" w:color="auto"/>
            <w:color w:val="0000EE"/>
          </w:rPr>
          <w:t>Inc., Venus Concept Canada Corp., Venus Concept USA Inc., Venus Concept Ltd., Madryn</w:t>
        </w:r>
      </w:hyperlink>
      <w:r>
        <w:rPr>
          <w:rFonts w:ascii="Times New Roman" w:cs="Times New Roman" w:eastAsia="Times New Roman" w:hAnsi="Times New Roman"/>
          <w:sz w:val="18"/>
          <w:szCs w:val="18"/>
          <w:u w:val="single" w:color="auto"/>
          <w:color w:val="0000EE"/>
        </w:rPr>
        <w:t xml:space="preserve"> </w:t>
      </w:r>
      <w:hyperlink r:id="rId274">
        <w:r>
          <w:rPr>
            <w:rFonts w:ascii="Times New Roman" w:cs="Times New Roman" w:eastAsia="Times New Roman" w:hAnsi="Times New Roman"/>
            <w:sz w:val="18"/>
            <w:szCs w:val="18"/>
            <w:u w:val="single" w:color="auto"/>
            <w:color w:val="0000EE"/>
          </w:rPr>
          <w:t>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10.99</w:t>
      </w:r>
      <w:r>
        <w:rPr>
          <w:sz w:val="20"/>
          <w:szCs w:val="20"/>
          <w:color w:val="auto"/>
        </w:rPr>
        <w:tab/>
      </w:r>
      <w:hyperlink r:id="rId274">
        <w:r>
          <w:rPr>
            <w:rFonts w:ascii="Times New Roman" w:cs="Times New Roman" w:eastAsia="Times New Roman" w:hAnsi="Times New Roman"/>
            <w:sz w:val="18"/>
            <w:szCs w:val="18"/>
            <w:u w:val="single" w:color="auto"/>
            <w:color w:val="0000EE"/>
          </w:rPr>
          <w:t>Fourth Amendment to Bridge Loan Agreement, dated July 8, 2024, by and among Venus</w:t>
        </w:r>
      </w:hyperlink>
      <w:r>
        <w:rPr>
          <w:rFonts w:ascii="Times New Roman" w:cs="Times New Roman" w:eastAsia="Times New Roman" w:hAnsi="Times New Roman"/>
          <w:sz w:val="18"/>
          <w:szCs w:val="18"/>
          <w:u w:val="single" w:color="auto"/>
          <w:color w:val="0000EE"/>
        </w:rPr>
        <w:t xml:space="preserve"> </w:t>
      </w:r>
      <w:hyperlink r:id="rId274">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4">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8"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0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7-12-24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7-12-24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7660" w:space="380"/>
            <w:col w:w="2099"/>
          </w:cols>
          <w:pgMar w:left="320" w:top="121" w:right="1440" w:bottom="0" w:gutter="0" w:footer="0" w:header="0"/>
        </w:sectPr>
      </w:pPr>
    </w:p>
    <w:bookmarkStart w:id="150" w:name="page151"/>
    <w:bookmarkEnd w:id="150"/>
    <w:p>
      <w:pPr>
        <w:ind w:left="920" w:right="6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10.100</w:t>
      </w:r>
      <w:r>
        <w:rPr>
          <w:sz w:val="20"/>
          <w:szCs w:val="20"/>
          <w:color w:val="auto"/>
        </w:rPr>
        <w:tab/>
      </w:r>
      <w:hyperlink r:id="rId275">
        <w:r>
          <w:rPr>
            <w:rFonts w:ascii="Times New Roman" w:cs="Times New Roman" w:eastAsia="Times New Roman" w:hAnsi="Times New Roman"/>
            <w:sz w:val="18"/>
            <w:szCs w:val="18"/>
            <w:u w:val="single" w:color="auto"/>
            <w:color w:val="0000EE"/>
          </w:rPr>
          <w:t>Consent Agreement, dated July 29, 2024, by and among Venus Concept Inc., Venus Concept</w:t>
        </w:r>
      </w:hyperlink>
      <w:r>
        <w:rPr>
          <w:rFonts w:ascii="Times New Roman" w:cs="Times New Roman" w:eastAsia="Times New Roman" w:hAnsi="Times New Roman"/>
          <w:sz w:val="18"/>
          <w:szCs w:val="18"/>
          <w:u w:val="single" w:color="auto"/>
          <w:color w:val="0000EE"/>
        </w:rPr>
        <w:t xml:space="preserve"> </w:t>
      </w:r>
      <w:hyperlink r:id="rId275">
        <w:r>
          <w:rPr>
            <w:rFonts w:ascii="Times New Roman" w:cs="Times New Roman" w:eastAsia="Times New Roman" w:hAnsi="Times New Roman"/>
            <w:sz w:val="18"/>
            <w:szCs w:val="18"/>
            <w:u w:val="single" w:color="auto"/>
            <w:color w:val="0000EE"/>
          </w:rPr>
          <w:t>Canada Corp., Venus Concept USA Inc., Venus Concept Ltd., Madryn Health Partners, LP</w:t>
        </w:r>
      </w:hyperlink>
      <w:r>
        <w:rPr>
          <w:rFonts w:ascii="Times New Roman" w:cs="Times New Roman" w:eastAsia="Times New Roman" w:hAnsi="Times New Roman"/>
          <w:sz w:val="18"/>
          <w:szCs w:val="18"/>
          <w:u w:val="single" w:color="auto"/>
          <w:color w:val="0000EE"/>
        </w:rPr>
        <w:t xml:space="preserve"> </w:t>
      </w:r>
      <w:hyperlink r:id="rId275">
        <w:r>
          <w:rPr>
            <w:rFonts w:ascii="Times New Roman" w:cs="Times New Roman" w:eastAsia="Times New Roman" w:hAnsi="Times New Roman"/>
            <w:sz w:val="18"/>
            <w:szCs w:val="18"/>
            <w:u w:val="single" w:color="auto"/>
            <w:color w:val="0000EE"/>
          </w:rPr>
          <w:t>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10.101</w:t>
      </w:r>
      <w:r>
        <w:rPr>
          <w:sz w:val="20"/>
          <w:szCs w:val="20"/>
          <w:color w:val="auto"/>
        </w:rPr>
        <w:tab/>
      </w:r>
      <w:hyperlink r:id="rId275">
        <w:r>
          <w:rPr>
            <w:rFonts w:ascii="Times New Roman" w:cs="Times New Roman" w:eastAsia="Times New Roman" w:hAnsi="Times New Roman"/>
            <w:sz w:val="18"/>
            <w:szCs w:val="18"/>
            <w:u w:val="single" w:color="auto"/>
            <w:color w:val="0000EE"/>
          </w:rPr>
          <w:t>Fifth Amendment to Bridge Loan Agreement, dated July 29, 2024, by and among Venus</w:t>
        </w:r>
      </w:hyperlink>
      <w:r>
        <w:rPr>
          <w:rFonts w:ascii="Times New Roman" w:cs="Times New Roman" w:eastAsia="Times New Roman" w:hAnsi="Times New Roman"/>
          <w:sz w:val="18"/>
          <w:szCs w:val="18"/>
          <w:u w:val="single" w:color="auto"/>
          <w:color w:val="0000EE"/>
        </w:rPr>
        <w:t xml:space="preserve"> </w:t>
      </w:r>
      <w:hyperlink r:id="rId275">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5">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5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10.102</w:t>
      </w:r>
      <w:r>
        <w:rPr>
          <w:sz w:val="20"/>
          <w:szCs w:val="20"/>
          <w:color w:val="auto"/>
        </w:rPr>
        <w:tab/>
      </w:r>
      <w:hyperlink r:id="rId276">
        <w:r>
          <w:rPr>
            <w:rFonts w:ascii="Times New Roman" w:cs="Times New Roman" w:eastAsia="Times New Roman" w:hAnsi="Times New Roman"/>
            <w:sz w:val="18"/>
            <w:szCs w:val="18"/>
            <w:u w:val="single" w:color="auto"/>
            <w:color w:val="0000EE"/>
          </w:rPr>
          <w:t>Consent Agreement, dated August 30, 2024, by and among Venus Concept Inc., Venus</w:t>
        </w:r>
      </w:hyperlink>
      <w:r>
        <w:rPr>
          <w:rFonts w:ascii="Times New Roman" w:cs="Times New Roman" w:eastAsia="Times New Roman" w:hAnsi="Times New Roman"/>
          <w:sz w:val="18"/>
          <w:szCs w:val="18"/>
          <w:u w:val="single" w:color="auto"/>
          <w:color w:val="0000EE"/>
        </w:rPr>
        <w:t xml:space="preserve"> </w:t>
      </w:r>
      <w:hyperlink r:id="rId276">
        <w:r>
          <w:rPr>
            <w:rFonts w:ascii="Times New Roman" w:cs="Times New Roman" w:eastAsia="Times New Roman" w:hAnsi="Times New Roman"/>
            <w:sz w:val="18"/>
            <w:szCs w:val="18"/>
            <w:u w:val="single" w:color="auto"/>
            <w:color w:val="0000EE"/>
          </w:rPr>
          <w:t>Concept Canada Corp., Venus Concept USA Inc., Venus Concept Ltd., Madryn Health</w:t>
        </w:r>
      </w:hyperlink>
      <w:r>
        <w:rPr>
          <w:rFonts w:ascii="Times New Roman" w:cs="Times New Roman" w:eastAsia="Times New Roman" w:hAnsi="Times New Roman"/>
          <w:sz w:val="18"/>
          <w:szCs w:val="18"/>
          <w:u w:val="single" w:color="auto"/>
          <w:color w:val="0000EE"/>
        </w:rPr>
        <w:t xml:space="preserve"> </w:t>
      </w:r>
      <w:hyperlink r:id="rId276">
        <w:r>
          <w:rPr>
            <w:rFonts w:ascii="Times New Roman" w:cs="Times New Roman" w:eastAsia="Times New Roman" w:hAnsi="Times New Roman"/>
            <w:sz w:val="18"/>
            <w:szCs w:val="18"/>
            <w:u w:val="single" w:color="auto"/>
            <w:color w:val="0000EE"/>
          </w:rPr>
          <w:t>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10.103</w:t>
      </w:r>
      <w:r>
        <w:rPr>
          <w:sz w:val="20"/>
          <w:szCs w:val="20"/>
          <w:color w:val="auto"/>
        </w:rPr>
        <w:tab/>
      </w:r>
      <w:hyperlink r:id="rId276">
        <w:r>
          <w:rPr>
            <w:rFonts w:ascii="Times New Roman" w:cs="Times New Roman" w:eastAsia="Times New Roman" w:hAnsi="Times New Roman"/>
            <w:sz w:val="18"/>
            <w:szCs w:val="18"/>
            <w:u w:val="single" w:color="auto"/>
            <w:color w:val="0000EE"/>
          </w:rPr>
          <w:t>Sixth Amendment to Bridge Loan Agreement, dated August 30, 2024, by and among Venus</w:t>
        </w:r>
      </w:hyperlink>
      <w:r>
        <w:rPr>
          <w:rFonts w:ascii="Times New Roman" w:cs="Times New Roman" w:eastAsia="Times New Roman" w:hAnsi="Times New Roman"/>
          <w:sz w:val="18"/>
          <w:szCs w:val="18"/>
          <w:u w:val="single" w:color="auto"/>
          <w:color w:val="0000EE"/>
        </w:rPr>
        <w:t xml:space="preserve"> </w:t>
      </w:r>
      <w:hyperlink r:id="rId276">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6">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2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10.104</w:t>
      </w:r>
      <w:r>
        <w:rPr>
          <w:sz w:val="20"/>
          <w:szCs w:val="20"/>
          <w:color w:val="auto"/>
        </w:rPr>
        <w:tab/>
      </w:r>
      <w:hyperlink r:id="rId174">
        <w:r>
          <w:rPr>
            <w:rFonts w:ascii="Times New Roman" w:cs="Times New Roman" w:eastAsia="Times New Roman" w:hAnsi="Times New Roman"/>
            <w:sz w:val="18"/>
            <w:szCs w:val="18"/>
            <w:u w:val="single" w:color="auto"/>
            <w:color w:val="0000EE"/>
          </w:rPr>
          <w:t>Exchange Agreement, dated September 26, 2024, by and among Venus Concept Inc., Venus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Concept USA Inc., Madryn Health Partners, LP and Madryn Health Partners (Cayman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Master), LP</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10.105</w:t>
      </w:r>
      <w:r>
        <w:rPr>
          <w:sz w:val="20"/>
          <w:szCs w:val="20"/>
          <w:color w:val="auto"/>
        </w:rPr>
        <w:tab/>
      </w:r>
      <w:hyperlink r:id="rId277">
        <w:r>
          <w:rPr>
            <w:rFonts w:ascii="Times New Roman" w:cs="Times New Roman" w:eastAsia="Times New Roman" w:hAnsi="Times New Roman"/>
            <w:sz w:val="17"/>
            <w:szCs w:val="17"/>
            <w:u w:val="single" w:color="auto"/>
            <w:color w:val="0000EE"/>
          </w:rPr>
          <w:t>Form of Promissory Note, dated September 26, 2024, of Venus Concept USA Inc.</w:t>
        </w:r>
      </w:hyperlink>
    </w:p>
    <w:p>
      <w:pPr>
        <w:spacing w:after="0" w:line="225" w:lineRule="exact"/>
        <w:rPr>
          <w:rFonts w:ascii="Times New Roman" w:cs="Times New Roman" w:eastAsia="Times New Roman" w:hAnsi="Times New Roman"/>
          <w:sz w:val="18"/>
          <w:szCs w:val="18"/>
          <w:u w:val="single" w:color="auto"/>
          <w:color w:val="0000EE"/>
        </w:rPr>
      </w:pPr>
    </w:p>
    <w:p>
      <w:pPr>
        <w:ind w:left="920" w:right="2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10.106</w:t>
      </w:r>
      <w:r>
        <w:rPr>
          <w:sz w:val="20"/>
          <w:szCs w:val="20"/>
          <w:color w:val="auto"/>
        </w:rPr>
        <w:tab/>
      </w:r>
      <w:hyperlink r:id="rId174">
        <w:r>
          <w:rPr>
            <w:rFonts w:ascii="Times New Roman" w:cs="Times New Roman" w:eastAsia="Times New Roman" w:hAnsi="Times New Roman"/>
            <w:sz w:val="18"/>
            <w:szCs w:val="18"/>
            <w:u w:val="single" w:color="auto"/>
            <w:color w:val="0000EE"/>
          </w:rPr>
          <w:t>Amended and Restated Registration Rights Agreement, dated September 26, 2024, by and</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among Venus Concept Inc., Madryn Health Partners, LP and Madryn Health Partners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240" w:hanging="917"/>
        <w:spacing w:after="0" w:line="261"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10.107</w:t>
      </w:r>
      <w:r>
        <w:rPr>
          <w:sz w:val="20"/>
          <w:szCs w:val="20"/>
          <w:color w:val="auto"/>
        </w:rPr>
        <w:tab/>
      </w:r>
      <w:hyperlink r:id="rId174">
        <w:r>
          <w:rPr>
            <w:rFonts w:ascii="Times New Roman" w:cs="Times New Roman" w:eastAsia="Times New Roman" w:hAnsi="Times New Roman"/>
            <w:sz w:val="18"/>
            <w:szCs w:val="18"/>
            <w:u w:val="single" w:color="auto"/>
            <w:color w:val="0000EE"/>
          </w:rPr>
          <w:t>Third Loan Amendment, First Subordination Agreement Amendment and Consent</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Agreement, dated September 26, 2024, by and among Venus Concept Inc., Venus Concept</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USA Inc., Venus Concept Ltd., Madryn Health Partners, LP and Madryn Health Partners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(Cayman Master), LP</w:t>
        </w:r>
      </w:hyperlink>
    </w:p>
    <w:p>
      <w:pPr>
        <w:spacing w:after="0" w:line="180" w:lineRule="exact"/>
        <w:rPr>
          <w:rFonts w:ascii="Times New Roman" w:cs="Times New Roman" w:eastAsia="Times New Roman" w:hAnsi="Times New Roman"/>
          <w:sz w:val="18"/>
          <w:szCs w:val="18"/>
          <w:u w:val="single" w:color="auto"/>
          <w:color w:val="0000EE"/>
        </w:rPr>
      </w:pPr>
    </w:p>
    <w:p>
      <w:pPr>
        <w:ind w:left="920" w:right="6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10.108</w:t>
      </w:r>
      <w:r>
        <w:rPr>
          <w:sz w:val="20"/>
          <w:szCs w:val="20"/>
          <w:color w:val="auto"/>
        </w:rPr>
        <w:tab/>
      </w:r>
      <w:hyperlink r:id="rId174">
        <w:r>
          <w:rPr>
            <w:rFonts w:ascii="Times New Roman" w:cs="Times New Roman" w:eastAsia="Times New Roman" w:hAnsi="Times New Roman"/>
            <w:sz w:val="18"/>
            <w:szCs w:val="18"/>
            <w:u w:val="single" w:color="auto"/>
            <w:color w:val="0000EE"/>
          </w:rPr>
          <w:t>Seventh Amendment to Bridge Loan Agreement, dated September 26, 2024, by and among</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Venus Concept Inc., Venus Concept USA Inc., Venus Concept Ltd., Madryn Health Partners,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10.109</w:t>
      </w:r>
      <w:r>
        <w:rPr>
          <w:sz w:val="20"/>
          <w:szCs w:val="20"/>
          <w:color w:val="auto"/>
        </w:rPr>
        <w:tab/>
      </w:r>
      <w:hyperlink r:id="rId278">
        <w:r>
          <w:rPr>
            <w:rFonts w:ascii="Times New Roman" w:cs="Times New Roman" w:eastAsia="Times New Roman" w:hAnsi="Times New Roman"/>
            <w:sz w:val="17"/>
            <w:szCs w:val="17"/>
            <w:u w:val="single" w:color="auto"/>
            <w:color w:val="0000EE"/>
          </w:rPr>
          <w:t>Form of Extension Letter (Transaction Completion Bonus Award)</w:t>
        </w:r>
      </w:hyperlink>
    </w:p>
    <w:p>
      <w:pPr>
        <w:spacing w:after="0" w:line="225" w:lineRule="exact"/>
        <w:rPr>
          <w:rFonts w:ascii="Times New Roman" w:cs="Times New Roman" w:eastAsia="Times New Roman" w:hAnsi="Times New Roman"/>
          <w:sz w:val="18"/>
          <w:szCs w:val="18"/>
          <w:u w:val="single" w:color="auto"/>
          <w:color w:val="0000EE"/>
        </w:rPr>
      </w:pPr>
    </w:p>
    <w:p>
      <w:pPr>
        <w:jc w:val="both"/>
        <w:ind w:left="920" w:right="4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10.110</w:t>
      </w:r>
      <w:r>
        <w:rPr>
          <w:sz w:val="20"/>
          <w:szCs w:val="20"/>
          <w:color w:val="auto"/>
        </w:rPr>
        <w:tab/>
      </w:r>
      <w:hyperlink r:id="rId279">
        <w:r>
          <w:rPr>
            <w:rFonts w:ascii="Times New Roman" w:cs="Times New Roman" w:eastAsia="Times New Roman" w:hAnsi="Times New Roman"/>
            <w:sz w:val="18"/>
            <w:szCs w:val="18"/>
            <w:u w:val="single" w:color="auto"/>
            <w:color w:val="0000EE"/>
          </w:rPr>
          <w:t>Consent Agreement, dated October 31, 2024, by and among Venus Concept Inc., Venus</w:t>
        </w:r>
      </w:hyperlink>
      <w:r>
        <w:rPr>
          <w:rFonts w:ascii="Times New Roman" w:cs="Times New Roman" w:eastAsia="Times New Roman" w:hAnsi="Times New Roman"/>
          <w:sz w:val="18"/>
          <w:szCs w:val="18"/>
          <w:u w:val="single" w:color="auto"/>
          <w:color w:val="0000EE"/>
        </w:rPr>
        <w:t xml:space="preserve"> </w:t>
      </w:r>
      <w:hyperlink r:id="rId279">
        <w:r>
          <w:rPr>
            <w:rFonts w:ascii="Times New Roman" w:cs="Times New Roman" w:eastAsia="Times New Roman" w:hAnsi="Times New Roman"/>
            <w:sz w:val="18"/>
            <w:szCs w:val="18"/>
            <w:u w:val="single" w:color="auto"/>
            <w:color w:val="0000EE"/>
          </w:rPr>
          <w:t>Concept Canada Corp., Venus Concept USA Inc., Venus Concept Ltd., Madryn Health</w:t>
        </w:r>
      </w:hyperlink>
      <w:r>
        <w:rPr>
          <w:rFonts w:ascii="Times New Roman" w:cs="Times New Roman" w:eastAsia="Times New Roman" w:hAnsi="Times New Roman"/>
          <w:sz w:val="18"/>
          <w:szCs w:val="18"/>
          <w:u w:val="single" w:color="auto"/>
          <w:color w:val="0000EE"/>
        </w:rPr>
        <w:t xml:space="preserve"> </w:t>
      </w:r>
      <w:hyperlink r:id="rId279">
        <w:r>
          <w:rPr>
            <w:rFonts w:ascii="Times New Roman" w:cs="Times New Roman" w:eastAsia="Times New Roman" w:hAnsi="Times New Roman"/>
            <w:sz w:val="18"/>
            <w:szCs w:val="18"/>
            <w:u w:val="single" w:color="auto"/>
            <w:color w:val="0000EE"/>
          </w:rPr>
          <w:t>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10.111</w:t>
      </w:r>
      <w:r>
        <w:rPr>
          <w:sz w:val="20"/>
          <w:szCs w:val="20"/>
          <w:color w:val="auto"/>
        </w:rPr>
        <w:tab/>
      </w:r>
      <w:hyperlink r:id="rId279">
        <w:r>
          <w:rPr>
            <w:rFonts w:ascii="Times New Roman" w:cs="Times New Roman" w:eastAsia="Times New Roman" w:hAnsi="Times New Roman"/>
            <w:sz w:val="18"/>
            <w:szCs w:val="18"/>
            <w:u w:val="single" w:color="auto"/>
            <w:color w:val="0000EE"/>
          </w:rPr>
          <w:t>Eighth Amendment to Bridge Loan Agreement, dated July 29, 2024, by and among Venus</w:t>
        </w:r>
      </w:hyperlink>
      <w:r>
        <w:rPr>
          <w:rFonts w:ascii="Times New Roman" w:cs="Times New Roman" w:eastAsia="Times New Roman" w:hAnsi="Times New Roman"/>
          <w:sz w:val="18"/>
          <w:szCs w:val="18"/>
          <w:u w:val="single" w:color="auto"/>
          <w:color w:val="0000EE"/>
        </w:rPr>
        <w:t xml:space="preserve"> </w:t>
      </w:r>
      <w:hyperlink r:id="rId279">
        <w:r>
          <w:rPr>
            <w:rFonts w:ascii="Times New Roman" w:cs="Times New Roman" w:eastAsia="Times New Roman" w:hAnsi="Times New Roman"/>
            <w:sz w:val="18"/>
            <w:szCs w:val="18"/>
            <w:u w:val="single" w:color="auto"/>
            <w:color w:val="0000EE"/>
          </w:rPr>
          <w:t>Concept USA, Inc., Venus Concept Inc., Venus Concept Canada Corp., Venus Concept Ltd.,</w:t>
        </w:r>
      </w:hyperlink>
      <w:r>
        <w:rPr>
          <w:rFonts w:ascii="Times New Roman" w:cs="Times New Roman" w:eastAsia="Times New Roman" w:hAnsi="Times New Roman"/>
          <w:sz w:val="18"/>
          <w:szCs w:val="18"/>
          <w:u w:val="single" w:color="auto"/>
          <w:color w:val="0000EE"/>
        </w:rPr>
        <w:t xml:space="preserve"> </w:t>
      </w:r>
      <w:hyperlink r:id="rId279">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20" w:right="100" w:hanging="917"/>
        <w:spacing w:after="0" w:line="289"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10.112</w:t>
      </w:r>
      <w:r>
        <w:rPr>
          <w:sz w:val="20"/>
          <w:szCs w:val="20"/>
          <w:color w:val="auto"/>
        </w:rPr>
        <w:tab/>
      </w:r>
      <w:hyperlink r:id="rId280">
        <w:r>
          <w:rPr>
            <w:rFonts w:ascii="Times New Roman" w:cs="Times New Roman" w:eastAsia="Times New Roman" w:hAnsi="Times New Roman"/>
            <w:sz w:val="17"/>
            <w:szCs w:val="17"/>
            <w:u w:val="single" w:color="auto"/>
            <w:color w:val="0000EE"/>
          </w:rPr>
          <w:t>Loan Amendment and Consent Agreement, dated November 26. 2024, by and among Venus</w:t>
        </w:r>
      </w:hyperlink>
      <w:r>
        <w:rPr>
          <w:rFonts w:ascii="Times New Roman" w:cs="Times New Roman" w:eastAsia="Times New Roman" w:hAnsi="Times New Roman"/>
          <w:sz w:val="17"/>
          <w:szCs w:val="17"/>
          <w:u w:val="single" w:color="auto"/>
          <w:color w:val="0000EE"/>
        </w:rPr>
        <w:t xml:space="preserve"> </w:t>
      </w:r>
      <w:hyperlink r:id="rId280">
        <w:r>
          <w:rPr>
            <w:rFonts w:ascii="Times New Roman" w:cs="Times New Roman" w:eastAsia="Times New Roman" w:hAnsi="Times New Roman"/>
            <w:sz w:val="17"/>
            <w:szCs w:val="17"/>
            <w:u w:val="single" w:color="auto"/>
            <w:color w:val="0000EE"/>
          </w:rPr>
          <w:t>Concept Inc., Venus Concept Canada Corp., Venus Concept USA Inc., Venus Concept Ltd.,</w:t>
        </w:r>
      </w:hyperlink>
      <w:r>
        <w:rPr>
          <w:rFonts w:ascii="Times New Roman" w:cs="Times New Roman" w:eastAsia="Times New Roman" w:hAnsi="Times New Roman"/>
          <w:sz w:val="17"/>
          <w:szCs w:val="17"/>
          <w:u w:val="single" w:color="auto"/>
          <w:color w:val="0000EE"/>
        </w:rPr>
        <w:t xml:space="preserve"> </w:t>
      </w:r>
      <w:hyperlink r:id="rId280">
        <w:r>
          <w:rPr>
            <w:rFonts w:ascii="Times New Roman" w:cs="Times New Roman" w:eastAsia="Times New Roman" w:hAnsi="Times New Roman"/>
            <w:sz w:val="17"/>
            <w:szCs w:val="17"/>
            <w:u w:val="single" w:color="auto"/>
            <w:color w:val="0000EE"/>
          </w:rPr>
          <w:t>Madryn Health Partners, LP and Madryn Health Partners (Cayman Master), LP</w:t>
        </w:r>
      </w:hyperlink>
    </w:p>
    <w:p>
      <w:pPr>
        <w:spacing w:after="0" w:line="158" w:lineRule="exact"/>
        <w:rPr>
          <w:rFonts w:ascii="Times New Roman" w:cs="Times New Roman" w:eastAsia="Times New Roman" w:hAnsi="Times New Roman"/>
          <w:sz w:val="17"/>
          <w:szCs w:val="17"/>
          <w:u w:val="single" w:color="auto"/>
          <w:color w:val="0000EE"/>
        </w:rPr>
      </w:pPr>
    </w:p>
    <w:p>
      <w:pPr>
        <w:ind w:left="920" w:hanging="917"/>
        <w:spacing w:after="0" w:line="289"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10.113</w:t>
      </w:r>
      <w:r>
        <w:rPr>
          <w:sz w:val="20"/>
          <w:szCs w:val="20"/>
          <w:color w:val="auto"/>
        </w:rPr>
        <w:tab/>
      </w:r>
      <w:hyperlink r:id="rId280">
        <w:r>
          <w:rPr>
            <w:rFonts w:ascii="Times New Roman" w:cs="Times New Roman" w:eastAsia="Times New Roman" w:hAnsi="Times New Roman"/>
            <w:sz w:val="17"/>
            <w:szCs w:val="17"/>
            <w:u w:val="single" w:color="auto"/>
            <w:color w:val="0000EE"/>
          </w:rPr>
          <w:t>Ninth Amendment to Bridge Loan Agreement, dated November 26, 2024, by and among</w:t>
        </w:r>
      </w:hyperlink>
      <w:r>
        <w:rPr>
          <w:rFonts w:ascii="Times New Roman" w:cs="Times New Roman" w:eastAsia="Times New Roman" w:hAnsi="Times New Roman"/>
          <w:sz w:val="17"/>
          <w:szCs w:val="17"/>
          <w:u w:val="single" w:color="auto"/>
          <w:color w:val="0000EE"/>
        </w:rPr>
        <w:t xml:space="preserve"> </w:t>
      </w:r>
      <w:hyperlink r:id="rId280">
        <w:r>
          <w:rPr>
            <w:rFonts w:ascii="Times New Roman" w:cs="Times New Roman" w:eastAsia="Times New Roman" w:hAnsi="Times New Roman"/>
            <w:sz w:val="17"/>
            <w:szCs w:val="17"/>
            <w:u w:val="single" w:color="auto"/>
            <w:color w:val="0000EE"/>
          </w:rPr>
          <w:t>Venus Concept USA, Inc., Venus Concept Inc., Venus Concept Canada Corp., Venus Concept</w:t>
        </w:r>
      </w:hyperlink>
      <w:r>
        <w:rPr>
          <w:rFonts w:ascii="Times New Roman" w:cs="Times New Roman" w:eastAsia="Times New Roman" w:hAnsi="Times New Roman"/>
          <w:sz w:val="17"/>
          <w:szCs w:val="17"/>
          <w:u w:val="single" w:color="auto"/>
          <w:color w:val="0000EE"/>
        </w:rPr>
        <w:t xml:space="preserve"> </w:t>
      </w:r>
      <w:hyperlink r:id="rId280">
        <w:r>
          <w:rPr>
            <w:rFonts w:ascii="Times New Roman" w:cs="Times New Roman" w:eastAsia="Times New Roman" w:hAnsi="Times New Roman"/>
            <w:sz w:val="17"/>
            <w:szCs w:val="17"/>
            <w:u w:val="single" w:color="auto"/>
            <w:color w:val="0000EE"/>
          </w:rPr>
          <w:t>Ltd., Madryn Health Partners, LP and Madryn Health Partners (Cayman Master), LP</w:t>
        </w:r>
      </w:hyperlink>
    </w:p>
    <w:p>
      <w:pPr>
        <w:spacing w:after="0" w:line="158" w:lineRule="exact"/>
        <w:rPr>
          <w:rFonts w:ascii="Times New Roman" w:cs="Times New Roman" w:eastAsia="Times New Roman" w:hAnsi="Times New Roman"/>
          <w:sz w:val="17"/>
          <w:szCs w:val="17"/>
          <w:u w:val="single" w:color="auto"/>
          <w:color w:val="0000EE"/>
        </w:rPr>
      </w:pPr>
    </w:p>
    <w:p>
      <w:pPr>
        <w:ind w:left="920" w:right="28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10.114</w:t>
      </w:r>
      <w:r>
        <w:rPr>
          <w:sz w:val="20"/>
          <w:szCs w:val="20"/>
          <w:color w:val="auto"/>
        </w:rPr>
        <w:tab/>
      </w:r>
      <w:hyperlink r:id="rId281">
        <w:r>
          <w:rPr>
            <w:rFonts w:ascii="Times New Roman" w:cs="Times New Roman" w:eastAsia="Times New Roman" w:hAnsi="Times New Roman"/>
            <w:sz w:val="18"/>
            <w:szCs w:val="18"/>
            <w:u w:val="single" w:color="auto"/>
            <w:color w:val="0000EE"/>
          </w:rPr>
          <w:t>Consent Agreement, dated December 31, 2024, by and among Venus Concept Inc., Venus</w:t>
        </w:r>
      </w:hyperlink>
      <w:r>
        <w:rPr>
          <w:rFonts w:ascii="Times New Roman" w:cs="Times New Roman" w:eastAsia="Times New Roman" w:hAnsi="Times New Roman"/>
          <w:sz w:val="18"/>
          <w:szCs w:val="18"/>
          <w:u w:val="single" w:color="auto"/>
          <w:color w:val="0000EE"/>
        </w:rPr>
        <w:t xml:space="preserve"> </w:t>
      </w:r>
      <w:hyperlink r:id="rId281">
        <w:r>
          <w:rPr>
            <w:rFonts w:ascii="Times New Roman" w:cs="Times New Roman" w:eastAsia="Times New Roman" w:hAnsi="Times New Roman"/>
            <w:sz w:val="18"/>
            <w:szCs w:val="18"/>
            <w:u w:val="single" w:color="auto"/>
            <w:color w:val="0000EE"/>
          </w:rPr>
          <w:t>Concept Canada Corp., Venus Concept USA Inc., Venus Concept Ltd., Madryn Health</w:t>
        </w:r>
      </w:hyperlink>
      <w:r>
        <w:rPr>
          <w:rFonts w:ascii="Times New Roman" w:cs="Times New Roman" w:eastAsia="Times New Roman" w:hAnsi="Times New Roman"/>
          <w:sz w:val="18"/>
          <w:szCs w:val="18"/>
          <w:u w:val="single" w:color="auto"/>
          <w:color w:val="0000EE"/>
        </w:rPr>
        <w:t xml:space="preserve"> </w:t>
      </w:r>
      <w:hyperlink r:id="rId281">
        <w:r>
          <w:rPr>
            <w:rFonts w:ascii="Times New Roman" w:cs="Times New Roman" w:eastAsia="Times New Roman" w:hAnsi="Times New Roman"/>
            <w:sz w:val="18"/>
            <w:szCs w:val="18"/>
            <w:u w:val="single" w:color="auto"/>
            <w:color w:val="0000EE"/>
          </w:rPr>
          <w:t>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hanging="917"/>
        <w:spacing w:after="0" w:line="289"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10.115</w:t>
      </w:r>
      <w:r>
        <w:rPr>
          <w:sz w:val="20"/>
          <w:szCs w:val="20"/>
          <w:color w:val="auto"/>
        </w:rPr>
        <w:tab/>
      </w:r>
      <w:hyperlink r:id="rId282">
        <w:r>
          <w:rPr>
            <w:rFonts w:ascii="Times New Roman" w:cs="Times New Roman" w:eastAsia="Times New Roman" w:hAnsi="Times New Roman"/>
            <w:sz w:val="17"/>
            <w:szCs w:val="17"/>
            <w:u w:val="single" w:color="auto"/>
            <w:color w:val="0000EE"/>
          </w:rPr>
          <w:t>Tenth Amendment to Bridge Loan Agreement, dated December 31, 2024, by and among</w:t>
        </w:r>
      </w:hyperlink>
      <w:r>
        <w:rPr>
          <w:rFonts w:ascii="Times New Roman" w:cs="Times New Roman" w:eastAsia="Times New Roman" w:hAnsi="Times New Roman"/>
          <w:sz w:val="17"/>
          <w:szCs w:val="17"/>
          <w:u w:val="single" w:color="auto"/>
          <w:color w:val="0000EE"/>
        </w:rPr>
        <w:t xml:space="preserve"> </w:t>
      </w:r>
      <w:hyperlink r:id="rId282">
        <w:r>
          <w:rPr>
            <w:rFonts w:ascii="Times New Roman" w:cs="Times New Roman" w:eastAsia="Times New Roman" w:hAnsi="Times New Roman"/>
            <w:sz w:val="17"/>
            <w:szCs w:val="17"/>
            <w:u w:val="single" w:color="auto"/>
            <w:color w:val="0000EE"/>
          </w:rPr>
          <w:t>Venus Concept USA, Inc., Venus Concept Inc., Venus Concept Canada Corp., Venus Concept</w:t>
        </w:r>
      </w:hyperlink>
      <w:r>
        <w:rPr>
          <w:rFonts w:ascii="Times New Roman" w:cs="Times New Roman" w:eastAsia="Times New Roman" w:hAnsi="Times New Roman"/>
          <w:sz w:val="17"/>
          <w:szCs w:val="17"/>
          <w:u w:val="single" w:color="auto"/>
          <w:color w:val="0000EE"/>
        </w:rPr>
        <w:t xml:space="preserve"> </w:t>
      </w:r>
      <w:hyperlink r:id="rId282">
        <w:r>
          <w:rPr>
            <w:rFonts w:ascii="Times New Roman" w:cs="Times New Roman" w:eastAsia="Times New Roman" w:hAnsi="Times New Roman"/>
            <w:sz w:val="17"/>
            <w:szCs w:val="17"/>
            <w:u w:val="single" w:color="auto"/>
            <w:color w:val="0000EE"/>
          </w:rPr>
          <w:t>Ltd., Madryn Health Partners, LP and Madryn Health Partners (Cayman Master), LP</w:t>
        </w:r>
      </w:hyperlink>
    </w:p>
    <w:p>
      <w:pPr>
        <w:spacing w:after="0" w:line="158" w:lineRule="exact"/>
        <w:rPr>
          <w:rFonts w:ascii="Times New Roman" w:cs="Times New Roman" w:eastAsia="Times New Roman" w:hAnsi="Times New Roman"/>
          <w:sz w:val="17"/>
          <w:szCs w:val="17"/>
          <w:u w:val="single" w:color="auto"/>
          <w:color w:val="0000EE"/>
        </w:rPr>
      </w:pPr>
    </w:p>
    <w:p>
      <w:pPr>
        <w:jc w:val="both"/>
        <w:ind w:left="920" w:right="5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10.116</w:t>
      </w:r>
      <w:r>
        <w:rPr>
          <w:sz w:val="20"/>
          <w:szCs w:val="20"/>
          <w:color w:val="auto"/>
        </w:rPr>
        <w:tab/>
      </w:r>
      <w:hyperlink r:id="rId283">
        <w:r>
          <w:rPr>
            <w:rFonts w:ascii="Times New Roman" w:cs="Times New Roman" w:eastAsia="Times New Roman" w:hAnsi="Times New Roman"/>
            <w:sz w:val="18"/>
            <w:szCs w:val="18"/>
            <w:u w:val="single" w:color="auto"/>
            <w:color w:val="0000EE"/>
          </w:rPr>
          <w:t>Consent Agreement dated January 28, 2025, by and among Venus Concept Inc., Venus</w:t>
        </w:r>
      </w:hyperlink>
      <w:r>
        <w:rPr>
          <w:rFonts w:ascii="Times New Roman" w:cs="Times New Roman" w:eastAsia="Times New Roman" w:hAnsi="Times New Roman"/>
          <w:sz w:val="18"/>
          <w:szCs w:val="18"/>
          <w:u w:val="single" w:color="auto"/>
          <w:color w:val="0000EE"/>
        </w:rPr>
        <w:t xml:space="preserve"> </w:t>
      </w:r>
      <w:hyperlink r:id="rId283">
        <w:r>
          <w:rPr>
            <w:rFonts w:ascii="Times New Roman" w:cs="Times New Roman" w:eastAsia="Times New Roman" w:hAnsi="Times New Roman"/>
            <w:sz w:val="18"/>
            <w:szCs w:val="18"/>
            <w:u w:val="single" w:color="auto"/>
            <w:color w:val="0000EE"/>
          </w:rPr>
          <w:t>Concept Canada Corp., Venus Concept USA Inc., Venus Concept Ltd., Madryn Health</w:t>
        </w:r>
      </w:hyperlink>
      <w:r>
        <w:rPr>
          <w:rFonts w:ascii="Times New Roman" w:cs="Times New Roman" w:eastAsia="Times New Roman" w:hAnsi="Times New Roman"/>
          <w:sz w:val="18"/>
          <w:szCs w:val="18"/>
          <w:u w:val="single" w:color="auto"/>
          <w:color w:val="0000EE"/>
        </w:rPr>
        <w:t xml:space="preserve"> </w:t>
      </w:r>
      <w:hyperlink r:id="rId283">
        <w:r>
          <w:rPr>
            <w:rFonts w:ascii="Times New Roman" w:cs="Times New Roman" w:eastAsia="Times New Roman" w:hAnsi="Times New Roman"/>
            <w:sz w:val="18"/>
            <w:szCs w:val="18"/>
            <w:u w:val="single" w:color="auto"/>
            <w:color w:val="0000EE"/>
          </w:rPr>
          <w:t>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hanging="917"/>
        <w:spacing w:after="0" w:line="289"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10.117</w:t>
      </w:r>
      <w:r>
        <w:rPr>
          <w:sz w:val="20"/>
          <w:szCs w:val="20"/>
          <w:color w:val="auto"/>
        </w:rPr>
        <w:tab/>
      </w:r>
      <w:hyperlink r:id="rId284">
        <w:r>
          <w:rPr>
            <w:rFonts w:ascii="Times New Roman" w:cs="Times New Roman" w:eastAsia="Times New Roman" w:hAnsi="Times New Roman"/>
            <w:sz w:val="17"/>
            <w:szCs w:val="17"/>
            <w:u w:val="single" w:color="auto"/>
            <w:color w:val="0000EE"/>
          </w:rPr>
          <w:t>Eleventh Amendment to Bridge Loan Agreement, dated January 28, 2025, by and among</w:t>
        </w:r>
      </w:hyperlink>
      <w:r>
        <w:rPr>
          <w:rFonts w:ascii="Times New Roman" w:cs="Times New Roman" w:eastAsia="Times New Roman" w:hAnsi="Times New Roman"/>
          <w:sz w:val="17"/>
          <w:szCs w:val="17"/>
          <w:u w:val="single" w:color="auto"/>
          <w:color w:val="0000EE"/>
        </w:rPr>
        <w:t xml:space="preserve"> </w:t>
      </w:r>
      <w:hyperlink r:id="rId284">
        <w:r>
          <w:rPr>
            <w:rFonts w:ascii="Times New Roman" w:cs="Times New Roman" w:eastAsia="Times New Roman" w:hAnsi="Times New Roman"/>
            <w:sz w:val="17"/>
            <w:szCs w:val="17"/>
            <w:u w:val="single" w:color="auto"/>
            <w:color w:val="0000EE"/>
          </w:rPr>
          <w:t>Venus Concept USA, Inc., Venus Concept Inc., Venus Concept Canada Corp., Venus Concept</w:t>
        </w:r>
      </w:hyperlink>
      <w:r>
        <w:rPr>
          <w:rFonts w:ascii="Times New Roman" w:cs="Times New Roman" w:eastAsia="Times New Roman" w:hAnsi="Times New Roman"/>
          <w:sz w:val="17"/>
          <w:szCs w:val="17"/>
          <w:u w:val="single" w:color="auto"/>
          <w:color w:val="0000EE"/>
        </w:rPr>
        <w:t xml:space="preserve"> </w:t>
      </w:r>
      <w:hyperlink r:id="rId284">
        <w:r>
          <w:rPr>
            <w:rFonts w:ascii="Times New Roman" w:cs="Times New Roman" w:eastAsia="Times New Roman" w:hAnsi="Times New Roman"/>
            <w:sz w:val="17"/>
            <w:szCs w:val="17"/>
            <w:u w:val="single" w:color="auto"/>
            <w:color w:val="0000EE"/>
          </w:rPr>
          <w:t>Ltd., Madryn Health Partners, LP and Madryn Health Partners (Cayman Master), LP</w:t>
        </w:r>
      </w:hyperlink>
    </w:p>
    <w:p>
      <w:pPr>
        <w:spacing w:after="0" w:line="158" w:lineRule="exact"/>
        <w:rPr>
          <w:rFonts w:ascii="Times New Roman" w:cs="Times New Roman" w:eastAsia="Times New Roman" w:hAnsi="Times New Roman"/>
          <w:sz w:val="17"/>
          <w:szCs w:val="17"/>
          <w:u w:val="single" w:color="auto"/>
          <w:color w:val="0000EE"/>
        </w:rPr>
      </w:pPr>
    </w:p>
    <w:p>
      <w:pPr>
        <w:ind w:left="920" w:right="1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10.118</w:t>
      </w:r>
      <w:r>
        <w:rPr>
          <w:sz w:val="20"/>
          <w:szCs w:val="20"/>
          <w:color w:val="auto"/>
        </w:rPr>
        <w:tab/>
      </w:r>
      <w:hyperlink r:id="rId285">
        <w:r>
          <w:rPr>
            <w:rFonts w:ascii="Times New Roman" w:cs="Times New Roman" w:eastAsia="Times New Roman" w:hAnsi="Times New Roman"/>
            <w:sz w:val="18"/>
            <w:szCs w:val="18"/>
            <w:u w:val="single" w:color="auto"/>
            <w:color w:val="0000EE"/>
          </w:rPr>
          <w:t>Amendment and Consent Agreement, dated February 28, 2025, by and among Venus</w:t>
        </w:r>
      </w:hyperlink>
      <w:r>
        <w:rPr>
          <w:rFonts w:ascii="Times New Roman" w:cs="Times New Roman" w:eastAsia="Times New Roman" w:hAnsi="Times New Roman"/>
          <w:sz w:val="18"/>
          <w:szCs w:val="18"/>
          <w:u w:val="single" w:color="auto"/>
          <w:color w:val="0000EE"/>
        </w:rPr>
        <w:t xml:space="preserve"> </w:t>
      </w:r>
      <w:hyperlink r:id="rId285">
        <w:r>
          <w:rPr>
            <w:rFonts w:ascii="Times New Roman" w:cs="Times New Roman" w:eastAsia="Times New Roman" w:hAnsi="Times New Roman"/>
            <w:sz w:val="18"/>
            <w:szCs w:val="18"/>
            <w:u w:val="single" w:color="auto"/>
            <w:color w:val="0000EE"/>
          </w:rPr>
          <w:t>Concept Inc., Venus Concept Canada Corp., Venus Concept USA Inc., Venus Concept Ltd.,</w:t>
        </w:r>
      </w:hyperlink>
      <w:r>
        <w:rPr>
          <w:rFonts w:ascii="Times New Roman" w:cs="Times New Roman" w:eastAsia="Times New Roman" w:hAnsi="Times New Roman"/>
          <w:sz w:val="18"/>
          <w:szCs w:val="18"/>
          <w:u w:val="single" w:color="auto"/>
          <w:color w:val="0000EE"/>
        </w:rPr>
        <w:t xml:space="preserve"> </w:t>
      </w:r>
      <w:hyperlink r:id="rId285">
        <w:r>
          <w:rPr>
            <w:rFonts w:ascii="Times New Roman" w:cs="Times New Roman" w:eastAsia="Times New Roman" w:hAnsi="Times New Roman"/>
            <w:sz w:val="18"/>
            <w:szCs w:val="18"/>
            <w:u w:val="single" w:color="auto"/>
            <w:color w:val="0000EE"/>
          </w:rPr>
          <w:t>Madryn Health Partners, LP and Madryn Health Partners (Cayman Master), LP</w:t>
        </w:r>
      </w:hyperlink>
    </w:p>
    <w:p>
      <w:pPr>
        <w:spacing w:after="0" w:line="176" w:lineRule="exact"/>
        <w:rPr>
          <w:rFonts w:ascii="Times New Roman" w:cs="Times New Roman" w:eastAsia="Times New Roman" w:hAnsi="Times New Roman"/>
          <w:sz w:val="18"/>
          <w:szCs w:val="18"/>
          <w:u w:val="single" w:color="auto"/>
          <w:color w:val="0000EE"/>
        </w:rPr>
      </w:pPr>
    </w:p>
    <w:p>
      <w:pPr>
        <w:ind w:left="920" w:right="120" w:hanging="917"/>
        <w:spacing w:after="0" w:line="312"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10.119</w:t>
      </w:r>
      <w:r>
        <w:rPr>
          <w:sz w:val="20"/>
          <w:szCs w:val="20"/>
          <w:color w:val="auto"/>
        </w:rPr>
        <w:tab/>
      </w:r>
      <w:hyperlink r:id="rId286">
        <w:r>
          <w:rPr>
            <w:rFonts w:ascii="Times New Roman" w:cs="Times New Roman" w:eastAsia="Times New Roman" w:hAnsi="Times New Roman"/>
            <w:sz w:val="17"/>
            <w:szCs w:val="17"/>
            <w:u w:val="single" w:color="auto"/>
            <w:color w:val="0000EE"/>
          </w:rPr>
          <w:t>Second Amendment to Secured Subordinated Convertible Notes, dated February 28, 2025,</w:t>
        </w:r>
      </w:hyperlink>
      <w:r>
        <w:rPr>
          <w:rFonts w:ascii="Times New Roman" w:cs="Times New Roman" w:eastAsia="Times New Roman" w:hAnsi="Times New Roman"/>
          <w:sz w:val="17"/>
          <w:szCs w:val="17"/>
          <w:u w:val="single" w:color="auto"/>
          <w:color w:val="0000EE"/>
        </w:rPr>
        <w:t xml:space="preserve"> </w:t>
      </w:r>
      <w:hyperlink r:id="rId286">
        <w:r>
          <w:rPr>
            <w:rFonts w:ascii="Times New Roman" w:cs="Times New Roman" w:eastAsia="Times New Roman" w:hAnsi="Times New Roman"/>
            <w:sz w:val="17"/>
            <w:szCs w:val="17"/>
            <w:u w:val="single" w:color="auto"/>
            <w:color w:val="0000EE"/>
          </w:rPr>
          <w:t>by and among Venus Concept Inc., Venus Concept Canada Corp., Venus Concept USA Inc.,</w:t>
        </w:r>
      </w:hyperlink>
    </w:p>
    <w:p>
      <w:pPr>
        <w:spacing w:after="0" w:line="20" w:lineRule="exact"/>
        <w:rPr>
          <w:sz w:val="20"/>
          <w:szCs w:val="20"/>
          <w:color w:val="auto"/>
        </w:rPr>
      </w:pPr>
      <w:r>
        <w:rPr>
          <w:sz w:val="20"/>
          <w:szCs w:val="20"/>
          <w:color w:val="auto"/>
        </w:rPr>
        <w:br w:type="column"/>
      </w: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8-1-24</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8-1-24</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9-5-24</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9-5-24</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9-27-24</w:t>
      </w:r>
      <w:r>
        <w:rPr>
          <w:sz w:val="20"/>
          <w:szCs w:val="20"/>
          <w:color w:val="auto"/>
        </w:rPr>
        <w:tab/>
      </w: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9-27-24</w:t>
      </w:r>
      <w:r>
        <w:rPr>
          <w:sz w:val="20"/>
          <w:szCs w:val="20"/>
          <w:color w:val="auto"/>
        </w:rPr>
        <w:tab/>
      </w: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11-4-24</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11-4-24</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12-3-24</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12-3-24</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1-7-25</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1-7-25</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1-31-25</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1-31-25</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7660" w:space="380"/>
            <w:col w:w="2099"/>
          </w:cols>
          <w:pgMar w:left="320" w:top="121" w:right="1440"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Venus Concept Ltd., Madryn Health Partners, LP and Madryn Health Partners (Cayman</w:t>
              </w:r>
            </w:hyperlink>
          </w:p>
        </w:tc>
        <w:tc>
          <w:tcPr>
            <w:tcW w:w="4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Master), LP</w:t>
              </w:r>
            </w:hyperlink>
          </w:p>
        </w:tc>
      </w:tr>
      <w:tr>
        <w:trPr>
          <w:trHeight w:val="20"/>
        </w:trPr>
        <w:tc>
          <w:tcPr>
            <w:tcW w:w="9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10.120</w:t>
            </w:r>
          </w:p>
        </w:tc>
        <w:tc>
          <w:tcPr>
            <w:tcW w:w="6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Twelfth Amendment to Bridge Loan Agreement, dated February 28, 2025, by and among</w:t>
              </w:r>
            </w:hyperlink>
          </w:p>
        </w:tc>
        <w:tc>
          <w:tcPr>
            <w:tcW w:w="3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87">
              <w:r>
                <w:rPr>
                  <w:rFonts w:ascii="Times New Roman" w:cs="Times New Roman" w:eastAsia="Times New Roman" w:hAnsi="Times New Roman"/>
                  <w:sz w:val="18"/>
                  <w:szCs w:val="18"/>
                  <w:color w:val="0000EE"/>
                  <w:w w:val="98"/>
                </w:rPr>
                <w:t>Venus Concept USA, Inc., Venus Concept Inc., Venus Concept Canada Corp., Venus Concept</w:t>
              </w:r>
            </w:hyperlink>
          </w:p>
        </w:tc>
      </w:tr>
      <w:tr>
        <w:trPr>
          <w:trHeight w:val="196"/>
        </w:trPr>
        <w:tc>
          <w:tcPr>
            <w:tcW w:w="920" w:type="dxa"/>
            <w:vAlign w:val="bottom"/>
          </w:tcPr>
          <w:p>
            <w:pPr>
              <w:spacing w:after="0"/>
              <w:rPr>
                <w:sz w:val="17"/>
                <w:szCs w:val="17"/>
                <w:color w:val="auto"/>
              </w:rPr>
            </w:pPr>
          </w:p>
        </w:tc>
        <w:tc>
          <w:tcPr>
            <w:tcW w:w="6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Ltd., Madryn Health Partners, LP and Madryn Health Partners (Cayman Master), LP</w:t>
              </w:r>
            </w:hyperlink>
          </w:p>
        </w:tc>
        <w:tc>
          <w:tcPr>
            <w:tcW w:w="620" w:type="dxa"/>
            <w:vAlign w:val="bottom"/>
            <w:gridSpan w:val="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65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Amendment to Secured Subordinated Convertible Notes, dated February 28, 2025, by and</w:t>
              </w:r>
            </w:hyperlink>
          </w:p>
        </w:tc>
        <w:tc>
          <w:tcPr>
            <w:tcW w:w="2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among Venus Concept Inc., Venus Concept Canada Corp., Venus Concept USA Inc., Venus</w:t>
              </w:r>
            </w:hyperlink>
          </w:p>
        </w:tc>
      </w:tr>
      <w:tr>
        <w:trPr>
          <w:trHeight w:val="196"/>
        </w:trPr>
        <w:tc>
          <w:tcPr>
            <w:tcW w:w="920" w:type="dxa"/>
            <w:vAlign w:val="bottom"/>
          </w:tcPr>
          <w:p>
            <w:pPr>
              <w:spacing w:after="0"/>
              <w:rPr>
                <w:sz w:val="17"/>
                <w:szCs w:val="17"/>
                <w:color w:val="auto"/>
              </w:rPr>
            </w:pPr>
          </w:p>
        </w:tc>
        <w:tc>
          <w:tcPr>
            <w:tcW w:w="65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Concept Ltd., EW Healthcare Partners, L.P. and EW Healthcare Partners-A, L.P</w:t>
              </w:r>
            </w:hyperlink>
          </w:p>
        </w:tc>
        <w:tc>
          <w:tcPr>
            <w:tcW w:w="16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62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Consent Agreement, dated March 27, 2025, by and among Venus Concept Inc., Venus</w:t>
              </w:r>
            </w:hyperlink>
          </w:p>
        </w:tc>
        <w:tc>
          <w:tcPr>
            <w:tcW w:w="5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Concept Canada Corp., Venus Concept USA Inc., Venus Concept Ltd., Madryn Health</w:t>
              </w:r>
            </w:hyperlink>
          </w:p>
        </w:tc>
        <w:tc>
          <w:tcPr>
            <w:tcW w:w="50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Partners, LP and Madryn Health Partners (Cayman Master), LP</w:t>
              </w:r>
            </w:hyperlink>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10.123</w:t>
            </w:r>
          </w:p>
        </w:tc>
        <w:tc>
          <w:tcPr>
            <w:tcW w:w="6740" w:type="dxa"/>
            <w:vAlign w:val="bottom"/>
            <w:gridSpan w:val="17"/>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Thirteenth Amendment to Bridge Loan Agreement, dated March 27, 2025, by and among</w:t>
              </w:r>
            </w:hyperlink>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90">
              <w:r>
                <w:rPr>
                  <w:rFonts w:ascii="Times New Roman" w:cs="Times New Roman" w:eastAsia="Times New Roman" w:hAnsi="Times New Roman"/>
                  <w:sz w:val="18"/>
                  <w:szCs w:val="18"/>
                  <w:color w:val="0000EE"/>
                  <w:w w:val="98"/>
                </w:rPr>
                <w:t>Venus Concept USA Inc., Venus Concept Inc., Venus Concept Canada Corp., Venus Concept</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Ltd., Madryn Health Partners, LP and Madryn Health Partners (Cayman Master), LP</w:t>
              </w:r>
            </w:hyperlink>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61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Code of Business Conduct and Ethics.</w:t>
              </w:r>
            </w:hyperlink>
          </w:p>
        </w:tc>
        <w:tc>
          <w:tcPr>
            <w:tcW w:w="640" w:type="dxa"/>
            <w:vAlign w:val="bottom"/>
            <w:gridSpan w:val="9"/>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Insider Trader Policy</w:t>
            </w:r>
          </w:p>
        </w:tc>
        <w:tc>
          <w:tcPr>
            <w:tcW w:w="3980" w:type="dxa"/>
            <w:vAlign w:val="bottom"/>
            <w:gridSpan w:val="13"/>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List of Subsidiaries.</w:t>
            </w:r>
          </w:p>
        </w:tc>
        <w:tc>
          <w:tcPr>
            <w:tcW w:w="60" w:type="dxa"/>
            <w:vAlign w:val="bottom"/>
            <w:tcBorders>
              <w:top w:val="single" w:sz="8" w:color="0000EE"/>
            </w:tcBorders>
          </w:tcPr>
          <w:p>
            <w:pPr>
              <w:spacing w:after="0"/>
              <w:rPr>
                <w:sz w:val="24"/>
                <w:szCs w:val="24"/>
                <w:color w:val="auto"/>
              </w:rPr>
            </w:pPr>
          </w:p>
        </w:tc>
        <w:tc>
          <w:tcPr>
            <w:tcW w:w="5220" w:type="dxa"/>
            <w:vAlign w:val="bottom"/>
            <w:gridSpan w:val="14"/>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MNP LLP, independent registered public accounting firm.</w:t>
            </w:r>
          </w:p>
        </w:tc>
      </w:tr>
      <w:tr>
        <w:trPr>
          <w:trHeight w:val="453"/>
        </w:trPr>
        <w:tc>
          <w:tcPr>
            <w:tcW w:w="920" w:type="dxa"/>
            <w:vAlign w:val="bottom"/>
          </w:tcPr>
          <w:p>
            <w:pPr>
              <w:spacing w:after="0"/>
              <w:rPr>
                <w:sz w:val="24"/>
                <w:szCs w:val="24"/>
                <w:color w:val="auto"/>
              </w:rPr>
            </w:pPr>
          </w:p>
        </w:tc>
        <w:tc>
          <w:tcPr>
            <w:tcW w:w="5020" w:type="dxa"/>
            <w:vAlign w:val="bottom"/>
            <w:tcBorders>
              <w:top w:val="single" w:sz="8" w:color="0000EE"/>
            </w:tcBorders>
            <w:gridSpan w:val="6"/>
          </w:tcPr>
          <w:p>
            <w:pPr>
              <w:ind w:left="4560"/>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3-4-25</w:t>
      </w:r>
      <w:r>
        <w:rPr>
          <w:sz w:val="20"/>
          <w:szCs w:val="20"/>
          <w:color w:val="auto"/>
        </w:rPr>
        <w:tab/>
      </w: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6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3-4-25</w:t>
      </w:r>
      <w:r>
        <w:rPr>
          <w:sz w:val="20"/>
          <w:szCs w:val="20"/>
          <w:color w:val="auto"/>
        </w:rPr>
        <w:tab/>
      </w: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3-28-25</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3-28-25</w:t>
      </w:r>
      <w:r>
        <w:rPr>
          <w:sz w:val="20"/>
          <w:szCs w:val="20"/>
          <w:color w:val="auto"/>
        </w:rPr>
        <w:tab/>
      </w: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spacing w:after="0"/>
        <w:tabs>
          <w:tab w:leader="none" w:pos="720" w:val="left"/>
          <w:tab w:leader="none" w:pos="17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11-7-19</w:t>
      </w:r>
      <w:r>
        <w:rPr>
          <w:sz w:val="20"/>
          <w:szCs w:val="20"/>
          <w:color w:val="auto"/>
        </w:rPr>
        <w:tab/>
      </w:r>
      <w:r>
        <w:rPr>
          <w:rFonts w:ascii="Times New Roman" w:cs="Times New Roman" w:eastAsia="Times New Roman" w:hAnsi="Times New Roman"/>
          <w:sz w:val="18"/>
          <w:szCs w:val="18"/>
          <w:color w:val="auto"/>
        </w:rPr>
        <w:t>14.1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660" w:space="380"/>
            <w:col w:w="2880"/>
          </w:cols>
          <w:pgMar w:left="320" w:top="108" w:right="6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0"/>
        </w:trPr>
        <w:tc>
          <w:tcPr>
            <w:tcW w:w="8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540" w:type="dxa"/>
            <w:vAlign w:val="bottom"/>
            <w:tcBorders>
              <w:top w:val="single" w:sz="8" w:color="auto"/>
              <w:bottom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w w:val="99"/>
              </w:rPr>
              <w:t>Power of Attorney. Reference is made to the signature page of this Annual Report on Form</w:t>
            </w:r>
          </w:p>
        </w:tc>
        <w:tc>
          <w:tcPr>
            <w:tcW w:w="22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10-K.</w:t>
            </w:r>
          </w:p>
        </w:tc>
        <w:tc>
          <w:tcPr>
            <w:tcW w:w="63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6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6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w:t>
            </w: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6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w:t>
            </w:r>
          </w:p>
        </w:tc>
        <w:tc>
          <w:tcPr>
            <w:tcW w:w="1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4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260" w:type="dxa"/>
            <w:vAlign w:val="bottom"/>
            <w:tcBorders>
              <w:top w:val="single" w:sz="8" w:color="0000EE"/>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Venus Concept Inc. Incentive-Based Compensation Clawback Policy</w:t>
            </w:r>
          </w:p>
        </w:tc>
        <w:tc>
          <w:tcPr>
            <w:tcW w:w="18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6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198" w:lineRule="exact"/>
        <w:rPr>
          <w:sz w:val="20"/>
          <w:szCs w:val="20"/>
          <w:color w:val="auto"/>
        </w:rPr>
      </w:pPr>
    </w:p>
    <w:p>
      <w:pPr>
        <w:ind w:left="900" w:hanging="892"/>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2" w:lineRule="exact"/>
        <w:rPr>
          <w:sz w:val="20"/>
          <w:szCs w:val="20"/>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62" w:lineRule="exact"/>
        <w:rPr>
          <w:sz w:val="20"/>
          <w:szCs w:val="20"/>
          <w:color w:val="auto"/>
        </w:rPr>
      </w:pPr>
    </w:p>
    <w:p>
      <w:pPr>
        <w:jc w:val="both"/>
        <w:ind w:left="660" w:hanging="328"/>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56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Venus Concept Inc.</w:t>
            </w:r>
          </w:p>
        </w:tc>
        <w:tc>
          <w:tcPr>
            <w:tcW w:w="3800" w:type="dxa"/>
            <w:vAlign w:val="bottom"/>
          </w:tcPr>
          <w:p>
            <w:pPr>
              <w:spacing w:after="0"/>
              <w:rPr>
                <w:sz w:val="20"/>
                <w:szCs w:val="20"/>
                <w:color w:val="auto"/>
              </w:rPr>
            </w:pP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45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91"/>
        </w:trPr>
        <w:tc>
          <w:tcPr>
            <w:tcW w:w="2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1370"/>
              <w:spacing w:after="0" w:line="191"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4"/>
        </w:trPr>
        <w:tc>
          <w:tcPr>
            <w:tcW w:w="2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2880" w:type="dxa"/>
            <w:vAlign w:val="bottom"/>
          </w:tcPr>
          <w:p>
            <w:pPr>
              <w:spacing w:after="0"/>
              <w:rPr>
                <w:sz w:val="24"/>
                <w:szCs w:val="24"/>
                <w:color w:val="auto"/>
              </w:rPr>
            </w:pPr>
          </w:p>
        </w:tc>
        <w:tc>
          <w:tcPr>
            <w:tcW w:w="45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38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Rajiv De Silva and Domenic Della Penna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 or her name.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Rajiv De Silva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Domenic Della Penna</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Barry</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Barry</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Louise Lacchin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Louise Lacchin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Fritz LaPorte</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Fritz LaPorte</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Natale,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Anthony Natale,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Sullivan</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Keith Sullivan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 Tyler Hollmig, M.D.</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Tyler Hollmig,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040" w:type="dxa"/>
            <w:vAlign w:val="bottom"/>
          </w:tcPr>
          <w:p>
            <w:pPr>
              <w:spacing w:after="0"/>
              <w:rPr>
                <w:sz w:val="24"/>
                <w:szCs w:val="24"/>
                <w:color w:val="auto"/>
              </w:rPr>
            </w:pPr>
          </w:p>
        </w:tc>
        <w:tc>
          <w:tcPr>
            <w:tcW w:w="5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4" w:name="page155"/>
    <w:bookmarkEnd w:id="154"/>
    <w:p>
      <w:pPr>
        <w:ind w:left="870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200" w:lineRule="exact"/>
        <w:rPr>
          <w:sz w:val="20"/>
          <w:szCs w:val="20"/>
          <w:color w:val="auto"/>
        </w:rPr>
      </w:pPr>
    </w:p>
    <w:p>
      <w:pPr>
        <w:spacing w:after="0" w:line="2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date of this of the Annual Report on Form 10-K of which this Exhibit 4.1 is a part, Venus Concepts Inc. (“we”, “us” and “our”), has one class of securities registered under Section 12 of the Securities Exchange Act of 1934, as amended: our shares of common stock, $0.0001 par value per share. As of December 31, 2024, there were outstanding:</w:t>
      </w:r>
    </w:p>
    <w:p>
      <w:pPr>
        <w:spacing w:after="0" w:line="176" w:lineRule="exact"/>
        <w:rPr>
          <w:sz w:val="20"/>
          <w:szCs w:val="20"/>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709,130 shares of our Common Stock;</w:t>
      </w:r>
    </w:p>
    <w:p>
      <w:pPr>
        <w:spacing w:after="0" w:line="225"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289,936 shares of our Series X Senior Convertible Preferred Stock;</w:t>
      </w:r>
    </w:p>
    <w:p>
      <w:pPr>
        <w:spacing w:after="0" w:line="225"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780,569 shares of our Series Y Senior Convertible Preferred Stock;</w:t>
      </w:r>
    </w:p>
    <w:p>
      <w:pPr>
        <w:spacing w:after="0" w:line="225"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1,575,810 shares of our Senior Convertible Voting Preferred Stock;</w:t>
      </w:r>
    </w:p>
    <w:p>
      <w:pPr>
        <w:spacing w:after="0" w:line="225"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1,835,000 shares of our voting Preferred Stock;</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89,325 shares of our Common Stock issuable upon exercise of outstanding stock options; and</w:t>
      </w:r>
    </w:p>
    <w:p>
      <w:pPr>
        <w:spacing w:after="0" w:line="225" w:lineRule="exact"/>
        <w:rPr>
          <w:rFonts w:ascii="Times New Roman" w:cs="Times New Roman" w:eastAsia="Times New Roman" w:hAnsi="Times New Roman"/>
          <w:sz w:val="18"/>
          <w:szCs w:val="18"/>
          <w:color w:val="auto"/>
        </w:rPr>
      </w:pPr>
    </w:p>
    <w:p>
      <w:pPr>
        <w:ind w:left="980" w:hanging="316"/>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153,147 shares of our Common Stock issuable upon exercise of outstanding warrants.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and 10,000,000 shares of preferred stock, $0.0001 par value per share (the “Preferred Stock”).</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amended and restated certificate of incorporation and amended and restated bylaws are summaries of material terms and provisions and does not purport to be complete. It is subject to and qualified in its entirety by reference to our amended and restated certificate of incorporation and amended and restated bylaws, copies of which have been filed with the SEC and are incorporated by reference as exhibits to the Annual Report on Form 10-K for year ended December 31, 2024 of which this Exhibit 4.1 is a part.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0" w:lineRule="exact"/>
        <w:rPr>
          <w:sz w:val="20"/>
          <w:szCs w:val="20"/>
          <w:color w:val="auto"/>
        </w:rPr>
      </w:pPr>
    </w:p>
    <w:p>
      <w:pPr>
        <w:spacing w:after="0" w:line="24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88"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15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ectPr>
          <w:pgSz w:w="11900" w:h="16838" w:orient="portrait"/>
          <w:cols w:equalWidth="0" w:num="1">
            <w:col w:w="11140"/>
          </w:cols>
          <w:pgMar w:left="420" w:top="333" w:right="339" w:bottom="351"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eliminate the right of stockholders to act by written consent without a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undesignated Preferred Stock, would require approval by a stockholder vote by the holders of at least a 66 2/3% of the voting power of the then outstanding voting stock, voting together as a single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w:t>
      </w:r>
    </w:p>
    <w:p>
      <w:pPr>
        <w:sectPr>
          <w:pgSz w:w="11900" w:h="16838" w:orient="portrait"/>
          <w:cols w:equalWidth="0" w:num="1">
            <w:col w:w="11120"/>
          </w:cols>
          <w:pgMar w:left="440" w:top="121" w:right="339" w:bottom="0" w:gutter="0" w:footer="0" w:header="0"/>
        </w:sectPr>
      </w:pPr>
    </w:p>
    <w:bookmarkStart w:id="156" w:name="page157"/>
    <w:bookmarkEnd w:id="156"/>
    <w:p>
      <w:pPr>
        <w:spacing w:after="0" w:line="282" w:lineRule="auto"/>
        <w:rPr>
          <w:sz w:val="20"/>
          <w:szCs w:val="20"/>
          <w:color w:val="auto"/>
        </w:rPr>
      </w:pPr>
      <w:r>
        <w:rPr>
          <w:rFonts w:ascii="Times New Roman" w:cs="Times New Roman" w:eastAsia="Times New Roman" w:hAnsi="Times New Roman"/>
          <w:sz w:val="18"/>
          <w:szCs w:val="18"/>
          <w:color w:val="auto"/>
        </w:rPr>
        <w:t>management. It is possible that these provisions could make it more difficult to accomplish transactions that stockholders may otherwise deem to be in their best interests.</w:t>
      </w:r>
    </w:p>
    <w:p>
      <w:pPr>
        <w:sectPr>
          <w:pgSz w:w="11900" w:h="16838" w:orient="portrait"/>
          <w:cols w:equalWidth="0" w:num="1">
            <w:col w:w="11120"/>
          </w:cols>
          <w:pgMar w:left="440" w:top="12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41"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(Adopted November 7, 2019; Last updated March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Insider Trading Compliance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consists of seven sections:</w:t>
      </w:r>
    </w:p>
    <w:p>
      <w:pPr>
        <w:spacing w:after="0" w:line="225" w:lineRule="exact"/>
        <w:rPr>
          <w:sz w:val="20"/>
          <w:szCs w:val="20"/>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 provides an overview;</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 sets forth Venus Concept Inc.’s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policies prohibiting insider trading;</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III explains insider trading;</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 consists of procedures that have been put in place by the Company to prevent insider trading;</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 sets forth additional transactions that are prohibited by this Policy;</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 explains Rule 10b5-1 trading plans and provides information about Section 16 and Rule 144; and</w:t>
      </w:r>
    </w:p>
    <w:p>
      <w:pPr>
        <w:spacing w:after="0" w:line="225" w:lineRule="exact"/>
        <w:rPr>
          <w:rFonts w:ascii="Times New Roman" w:cs="Times New Roman" w:eastAsia="Times New Roman" w:hAnsi="Times New Roman"/>
          <w:sz w:val="18"/>
          <w:szCs w:val="18"/>
          <w:color w:val="auto"/>
        </w:rPr>
      </w:pPr>
    </w:p>
    <w:p>
      <w:pPr>
        <w:ind w:left="1720" w:hanging="327"/>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VII refers to the execution and return of a compliance certificate.</w:t>
      </w:r>
    </w:p>
    <w:p>
      <w:pPr>
        <w:spacing w:after="0" w:line="225" w:lineRule="exact"/>
        <w:rPr>
          <w:sz w:val="20"/>
          <w:szCs w:val="20"/>
          <w:color w:val="auto"/>
        </w:rPr>
      </w:pPr>
    </w:p>
    <w:p>
      <w:pPr>
        <w:ind w:left="420" w:hanging="323"/>
        <w:spacing w:after="0"/>
        <w:tabs>
          <w:tab w:leader="none" w:pos="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ind w:left="100" w:firstLine="648"/>
        <w:spacing w:after="0" w:line="258" w:lineRule="auto"/>
        <w:rPr>
          <w:sz w:val="20"/>
          <w:szCs w:val="20"/>
          <w:color w:val="auto"/>
        </w:rPr>
      </w:pPr>
      <w:r>
        <w:rPr>
          <w:rFonts w:ascii="Times New Roman" w:cs="Times New Roman" w:eastAsia="Times New Roman" w:hAnsi="Times New Roman"/>
          <w:sz w:val="18"/>
          <w:szCs w:val="18"/>
          <w:color w:val="auto"/>
        </w:rPr>
        <w:t>Preventing insider trading is necessary to comply with U.S. securities laws and to preserve the reputation and integrity of the Company as well as that of all persons affiliated with the Company. “Insider trading” occurs when any person purchases or sells a security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common stock) while in possession of “inside information” relating to the security or tips others about that information who purchase or sell the security before the information is released publicly and is absorbed by the market. As explained in Section III below, “inside information” is information that is both “material” and “non-public” about a company (whether the Company or another company).</w:t>
      </w:r>
    </w:p>
    <w:p>
      <w:pPr>
        <w:spacing w:after="0" w:line="399" w:lineRule="exact"/>
        <w:rPr>
          <w:sz w:val="20"/>
          <w:szCs w:val="20"/>
          <w:color w:val="auto"/>
        </w:rPr>
      </w:pPr>
    </w:p>
    <w:p>
      <w:pPr>
        <w:jc w:val="both"/>
        <w:ind w:left="100"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strict compliance with the policies set forth in this Policy to be a matter of utmost importance. A violation of this Policy could cause extreme embarrassment and possible legal liability to you and the Company. Insider trading violates several laws, including civil and criminal laws. The penalties for violating insider trading laws include imprisonment, disgorgement of profits, civil fines, and criminal fines of up to $5 million for individuals and $25 million for entities. Insider trading is also prohibited by this Policy, and violation of this Policy may result in Company-imposed sanctions, including immediate removal or dismissal for cause.</w:t>
      </w:r>
    </w:p>
    <w:p>
      <w:pPr>
        <w:spacing w:after="0" w:line="183"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This Policy applies to all officers, directors, employees and certain consultants of the Company and its subsidiaries (such consultants, the “</w:t>
      </w:r>
      <w:r>
        <w:rPr>
          <w:rFonts w:ascii="Times New Roman" w:cs="Times New Roman" w:eastAsia="Times New Roman" w:hAnsi="Times New Roman"/>
          <w:sz w:val="18"/>
          <w:szCs w:val="18"/>
          <w:u w:val="single" w:color="auto"/>
          <w:color w:val="auto"/>
        </w:rPr>
        <w:t>Applicable Consultants</w:t>
      </w:r>
      <w:r>
        <w:rPr>
          <w:rFonts w:ascii="Times New Roman" w:cs="Times New Roman" w:eastAsia="Times New Roman" w:hAnsi="Times New Roman"/>
          <w:sz w:val="18"/>
          <w:szCs w:val="18"/>
          <w:color w:val="auto"/>
        </w:rPr>
        <w:t>”) and extends to all activities within and outside an individual’s duties at the Company.</w:t>
      </w:r>
    </w:p>
    <w:p>
      <w:pPr>
        <w:spacing w:after="0" w:line="160"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18"/>
          <w:szCs w:val="18"/>
          <w:color w:val="auto"/>
        </w:rPr>
        <w:t>Individuals subject to this Policy are responsible for ensuring that their immediate family members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spouses, children, stepchildren, parents, grandparents, stepparents, siblings, mothers-in-law, fathers-in-law, sons-in-law, daughters-in-law, brothers-in-law or sisters-in-law) and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Notwithstanding the foregoing, this insider trading policy, including without limitation, the pre-clearance policy, blackout periods and prohibited transactions,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w:t>
      </w:r>
    </w:p>
    <w:p>
      <w:pPr>
        <w:spacing w:after="0" w:line="187"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This Policy extends to all activities within and outside an individual’s duties at the Company. Every officer, director, employee and Applicable Consultant must review this Policy.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Questions regarding the Policy should be directed to the Company’s Chief Legal Officer or Deputy General Counsel (the “</w:t>
      </w:r>
      <w:r>
        <w:rPr>
          <w:rFonts w:ascii="Times New Roman" w:cs="Times New Roman" w:eastAsia="Times New Roman" w:hAnsi="Times New Roman"/>
          <w:sz w:val="18"/>
          <w:szCs w:val="18"/>
          <w:u w:val="single" w:color="auto"/>
          <w:color w:val="auto"/>
        </w:rPr>
        <w:t>General Counsel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hanging="323"/>
        <w:spacing w:after="0"/>
        <w:tabs>
          <w:tab w:leader="none" w:pos="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OF POLICIES PROHIBITING INSIDER TRADING</w:t>
      </w:r>
    </w:p>
    <w:p>
      <w:pPr>
        <w:spacing w:after="0" w:line="221" w:lineRule="exact"/>
        <w:rPr>
          <w:rFonts w:ascii="Times New Roman" w:cs="Times New Roman" w:eastAsia="Times New Roman" w:hAnsi="Times New Roman"/>
          <w:sz w:val="18"/>
          <w:szCs w:val="18"/>
          <w:color w:val="auto"/>
        </w:rPr>
      </w:pPr>
    </w:p>
    <w:p>
      <w:pPr>
        <w:ind w:left="100" w:right="40"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Trading on Material Non-public Information.</w:t>
      </w:r>
      <w:r>
        <w:rPr>
          <w:rFonts w:ascii="Times New Roman" w:cs="Times New Roman" w:eastAsia="Times New Roman" w:hAnsi="Times New Roman"/>
          <w:sz w:val="18"/>
          <w:szCs w:val="18"/>
          <w:color w:val="auto"/>
        </w:rPr>
        <w:t xml:space="preserve"> No officer, director, employee or Applicable Consultant, or any immediate family member or any member of the household of any such person, shall engage in any transaction involving the purchase or sale of any type of security while in possession of (including with knowledge of) material, non-public information relating to the security, whether the issuer of such security is the Company or any other company. This includes trading in the securities of any publicly listed company in which the Company or any of its subsidiaries holds an interest. Any officer, director, employee or Applicable Consultant, or any immediate family member or any member of the household of any such person that holds securities of any publicly listed company in which the Company or any of its subsidiaries holds an interest must also abide by the insider trading policy applicable to such company when trading in the securities of such company.</w:t>
      </w:r>
    </w:p>
    <w:p>
      <w:pPr>
        <w:spacing w:after="0" w:line="183" w:lineRule="exact"/>
        <w:rPr>
          <w:sz w:val="20"/>
          <w:szCs w:val="20"/>
          <w:color w:val="auto"/>
        </w:rPr>
      </w:pPr>
    </w:p>
    <w:p>
      <w:pPr>
        <w:jc w:val="both"/>
        <w:ind w:lef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Additionally, no officer, director, employee or Applicable Consultant, or any immediate family member or any member of the household of any such person, shall purchase or sell any security of the Company during the period beginning at market close on the trading day that is two weeks prior to the last trading day of any fiscal quarter of the Company and ending upon completion of the second full trading day after the public release of earnings data for such fiscal quarter, provided that said officers, directors, employees or Applicable Consultants are in possession of material, non-public information.</w:t>
      </w:r>
    </w:p>
    <w:p>
      <w:pPr>
        <w:spacing w:after="0" w:line="179" w:lineRule="exact"/>
        <w:rPr>
          <w:sz w:val="20"/>
          <w:szCs w:val="20"/>
          <w:color w:val="auto"/>
        </w:rPr>
      </w:pPr>
    </w:p>
    <w:p>
      <w:pPr>
        <w:jc w:val="both"/>
        <w:ind w:lef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Additionally, from time to time, the Company, through the Board of Directors,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disclosure committee or the General Counsel, may recommend that some or all officers, directors, employees, Applicable Consultants or others suspend trading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because of developments that have not yet been disclosed to the public. Individuals affected by such an event-specific blackout will be notified by the Company that they are subject to the blackout. Subject to the exceptions noted below, all those affected should not trade in our</w:t>
      </w:r>
    </w:p>
    <w:p>
      <w:pPr>
        <w:sectPr>
          <w:pgSz w:w="11900" w:h="16838" w:orient="portrait"/>
          <w:cols w:equalWidth="0" w:num="1">
            <w:col w:w="11140"/>
          </w:cols>
          <w:pgMar w:left="420" w:top="117" w:right="339" w:bottom="0" w:gutter="0" w:footer="0" w:header="0"/>
        </w:sectPr>
      </w:pPr>
    </w:p>
    <w:bookmarkStart w:id="158" w:name="page159"/>
    <w:bookmarkEnd w:id="158"/>
    <w:p>
      <w:pPr>
        <w:jc w:val="both"/>
        <w:ind w:left="3"/>
        <w:spacing w:after="0" w:line="286" w:lineRule="auto"/>
        <w:rPr>
          <w:sz w:val="20"/>
          <w:szCs w:val="20"/>
          <w:color w:val="auto"/>
        </w:rPr>
      </w:pPr>
      <w:r>
        <w:rPr>
          <w:rFonts w:ascii="Times New Roman" w:cs="Times New Roman" w:eastAsia="Times New Roman" w:hAnsi="Times New Roman"/>
          <w:sz w:val="18"/>
          <w:szCs w:val="18"/>
          <w:b w:val="1"/>
          <w:bCs w:val="1"/>
          <w:color w:val="auto"/>
        </w:rPr>
        <w:t>securities while the suspension is in effect, and in the event that a press release is issued by the Company in connection with the event that resulted in the event-specific blackout, such suspension shall continue for two full trading days after the public release.</w:t>
      </w:r>
    </w:p>
    <w:p>
      <w:pPr>
        <w:spacing w:after="0" w:line="155" w:lineRule="exact"/>
        <w:rPr>
          <w:sz w:val="20"/>
          <w:szCs w:val="20"/>
          <w:color w:val="auto"/>
        </w:rPr>
      </w:pPr>
    </w:p>
    <w:p>
      <w:pPr>
        <w:jc w:val="both"/>
        <w:ind w:left="3"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Additionally, those subject to the event-specific blackout should not disclose to others that we have suspended trading. Events that may give rise to event-specific blackouts may include consideration of major strategic transactions (e.g., acquisitions, dispositions, joint ventures), product developments, interim earnings or sales releases, significant legal proceedings and other circumstances that potentially implicate material non-public information.</w:t>
      </w:r>
    </w:p>
    <w:p>
      <w:pPr>
        <w:spacing w:after="0" w:line="180"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25" w:lineRule="exact"/>
        <w:rPr>
          <w:sz w:val="20"/>
          <w:szCs w:val="20"/>
          <w:color w:val="auto"/>
        </w:rPr>
      </w:pPr>
    </w:p>
    <w:p>
      <w:pPr>
        <w:ind w:left="1303" w:right="160" w:hanging="331"/>
        <w:spacing w:after="0" w:line="266"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from the Company or sales of the Company’s securities to the Company, or the surrender to or withholding by the Company of the Company’s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to cover withholding obligations upon the vesting or settlement of equity-based awards);</w:t>
      </w:r>
    </w:p>
    <w:p>
      <w:pPr>
        <w:spacing w:after="0" w:line="391" w:lineRule="exact"/>
        <w:rPr>
          <w:rFonts w:ascii="Times New Roman" w:cs="Times New Roman" w:eastAsia="Times New Roman" w:hAnsi="Times New Roman"/>
          <w:sz w:val="18"/>
          <w:szCs w:val="18"/>
          <w:color w:val="auto"/>
        </w:rPr>
      </w:pPr>
    </w:p>
    <w:p>
      <w:pPr>
        <w:ind w:left="1303" w:right="40" w:hanging="331"/>
        <w:spacing w:after="0" w:line="258"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including in connection with the Company’s then effective 401(k) plan and then effective Equity Stock Purchase Plan (note that the “cashless exercise” of a Company stock option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181" w:lineRule="exact"/>
        <w:rPr>
          <w:rFonts w:ascii="Times New Roman" w:cs="Times New Roman" w:eastAsia="Times New Roman" w:hAnsi="Times New Roman"/>
          <w:sz w:val="18"/>
          <w:szCs w:val="18"/>
          <w:color w:val="auto"/>
        </w:rPr>
      </w:pPr>
    </w:p>
    <w:p>
      <w:pPr>
        <w:ind w:left="1303" w:hanging="331"/>
        <w:spacing w:after="0"/>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w:t>
      </w:r>
    </w:p>
    <w:p>
      <w:pPr>
        <w:spacing w:after="0" w:line="227" w:lineRule="exact"/>
        <w:rPr>
          <w:rFonts w:ascii="Times New Roman" w:cs="Times New Roman" w:eastAsia="Times New Roman" w:hAnsi="Times New Roman"/>
          <w:sz w:val="18"/>
          <w:szCs w:val="18"/>
          <w:color w:val="auto"/>
        </w:rPr>
      </w:pPr>
    </w:p>
    <w:p>
      <w:pPr>
        <w:ind w:left="1303" w:right="560" w:hanging="331"/>
        <w:spacing w:after="0" w:line="282"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‘sell-to-cover’ transactions required to satisfy tax liability relating to vesting and settlement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only, as permitted by the applicable award agreement; or</w:t>
      </w:r>
    </w:p>
    <w:p>
      <w:pPr>
        <w:spacing w:after="0" w:line="161" w:lineRule="exact"/>
        <w:rPr>
          <w:rFonts w:ascii="Times New Roman" w:cs="Times New Roman" w:eastAsia="Times New Roman" w:hAnsi="Times New Roman"/>
          <w:sz w:val="18"/>
          <w:szCs w:val="18"/>
          <w:color w:val="auto"/>
        </w:rPr>
      </w:pPr>
    </w:p>
    <w:p>
      <w:pPr>
        <w:ind w:left="1303" w:right="60" w:hanging="331"/>
        <w:spacing w:after="0" w:line="256"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pre-existing binding contract, specific instruction or written plan entered into while the purchaser or seller, as applicable, was unaware of any material, non-public information and which contract, instruction or plan (i) meets all requirements of the affirmative defense provided by Rule 10b5-1 (“</w:t>
      </w: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87"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color w:val="auto"/>
        </w:rPr>
        <w:t>For the purposes of this Policy,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is a day on which national stock exchanges are open for trading.</w:t>
      </w:r>
    </w:p>
    <w:p>
      <w:pPr>
        <w:spacing w:after="0" w:line="221" w:lineRule="exact"/>
        <w:rPr>
          <w:sz w:val="20"/>
          <w:szCs w:val="20"/>
          <w:color w:val="auto"/>
        </w:rPr>
      </w:pPr>
    </w:p>
    <w:p>
      <w:pPr>
        <w:jc w:val="both"/>
        <w:ind w:left="3" w:right="260" w:firstLine="654"/>
        <w:spacing w:after="0" w:line="262" w:lineRule="auto"/>
        <w:tabs>
          <w:tab w:leader="none" w:pos="99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Tipping. </w:t>
      </w:r>
      <w:r>
        <w:rPr>
          <w:rFonts w:ascii="Times New Roman" w:cs="Times New Roman" w:eastAsia="Times New Roman" w:hAnsi="Times New Roman"/>
          <w:sz w:val="18"/>
          <w:szCs w:val="18"/>
          <w:color w:val="auto"/>
        </w:rPr>
        <w:t>No officer, director, employee or Applicable Consultant shall directly or indirectly disclose or pass on (or “</w:t>
      </w:r>
      <w:r>
        <w:rPr>
          <w:rFonts w:ascii="Times New Roman" w:cs="Times New Roman" w:eastAsia="Times New Roman" w:hAnsi="Times New Roman"/>
          <w:sz w:val="18"/>
          <w:szCs w:val="18"/>
          <w:u w:val="single" w:color="auto"/>
          <w:color w:val="auto"/>
        </w:rPr>
        <w:t>tip</w:t>
      </w:r>
      <w:r>
        <w:rPr>
          <w:rFonts w:ascii="Times New Roman" w:cs="Times New Roman" w:eastAsia="Times New Roman" w:hAnsi="Times New Roman"/>
          <w:sz w:val="18"/>
          <w:szCs w:val="18"/>
          <w:color w:val="auto"/>
        </w:rPr>
        <w:t>”) material, non-public information to anyone outside the Company (except in accordance with the Company’s policies regarding the protection or authorized external disclosure of Company information) or to anyone within the Company other than on a need-to-know basis. Nor shall such person make recommendations or express opinions on the basis of material, non-public information as to trading in the Company’s securities.</w:t>
      </w:r>
    </w:p>
    <w:p>
      <w:pPr>
        <w:spacing w:after="0" w:line="392" w:lineRule="exact"/>
        <w:rPr>
          <w:rFonts w:ascii="Times New Roman" w:cs="Times New Roman" w:eastAsia="Times New Roman" w:hAnsi="Times New Roman"/>
          <w:sz w:val="18"/>
          <w:szCs w:val="18"/>
          <w:color w:val="auto"/>
        </w:rPr>
      </w:pPr>
    </w:p>
    <w:p>
      <w:pPr>
        <w:ind w:left="3" w:right="340" w:firstLine="654"/>
        <w:spacing w:after="0" w:line="286" w:lineRule="auto"/>
        <w:tabs>
          <w:tab w:leader="none" w:pos="9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of Non-public Information. </w:t>
      </w:r>
      <w:r>
        <w:rPr>
          <w:rFonts w:ascii="Times New Roman" w:cs="Times New Roman" w:eastAsia="Times New Roman" w:hAnsi="Times New Roman"/>
          <w:sz w:val="18"/>
          <w:szCs w:val="18"/>
          <w:color w:val="auto"/>
        </w:rPr>
        <w:t>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is forbidden.</w:t>
      </w:r>
    </w:p>
    <w:p>
      <w:pPr>
        <w:spacing w:after="0" w:line="158"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EXPLANATION OF INSIDER TRADING</w:t>
      </w:r>
    </w:p>
    <w:p>
      <w:pPr>
        <w:spacing w:after="0" w:line="225" w:lineRule="exact"/>
        <w:rPr>
          <w:sz w:val="20"/>
          <w:szCs w:val="20"/>
          <w:color w:val="auto"/>
        </w:rPr>
      </w:pPr>
    </w:p>
    <w:p>
      <w:pPr>
        <w:jc w:val="both"/>
        <w:ind w:left="3"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“Insider trading</w:t>
      </w:r>
      <w:r>
        <w:rPr>
          <w:rFonts w:ascii="Times New Roman" w:cs="Times New Roman" w:eastAsia="Times New Roman" w:hAnsi="Times New Roman"/>
          <w:sz w:val="18"/>
          <w:szCs w:val="18"/>
          <w:color w:val="auto"/>
        </w:rPr>
        <w:t>” refers to the purchase or sale of a security by someone who is in possession of “material,” “non-public” information relating to the security.</w:t>
      </w:r>
    </w:p>
    <w:p>
      <w:pPr>
        <w:spacing w:after="0" w:line="378"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includes stocks, bonds, notes, debentures, options, warrants and other convertible securities, as well as derivative instruments.</w:t>
      </w:r>
    </w:p>
    <w:p>
      <w:pPr>
        <w:spacing w:after="0" w:line="200" w:lineRule="exact"/>
        <w:rPr>
          <w:sz w:val="20"/>
          <w:szCs w:val="20"/>
          <w:color w:val="auto"/>
        </w:rPr>
      </w:pPr>
    </w:p>
    <w:p>
      <w:pPr>
        <w:spacing w:after="0" w:line="241" w:lineRule="exact"/>
        <w:rPr>
          <w:sz w:val="20"/>
          <w:szCs w:val="20"/>
          <w:color w:val="auto"/>
        </w:rPr>
      </w:pPr>
    </w:p>
    <w:p>
      <w:pPr>
        <w:jc w:val="both"/>
        <w:ind w:left="3"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are defined broadly under the U.S. securities law.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includes not only the actual purchase of a security, but any contract to purchase or otherwise acquire a security.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0"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225" w:lineRule="exact"/>
        <w:rPr>
          <w:sz w:val="20"/>
          <w:szCs w:val="20"/>
          <w:color w:val="auto"/>
        </w:rPr>
      </w:pPr>
    </w:p>
    <w:p>
      <w:pPr>
        <w:ind w:left="963" w:hanging="315"/>
        <w:spacing w:after="0"/>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ind w:left="963" w:right="20" w:hanging="315"/>
        <w:spacing w:after="0" w:line="282"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duty to keep it confidential or was misappropriated; and</w:t>
      </w:r>
    </w:p>
    <w:p>
      <w:pPr>
        <w:spacing w:after="0" w:line="377" w:lineRule="exact"/>
        <w:rPr>
          <w:rFonts w:ascii="Times New Roman" w:cs="Times New Roman" w:eastAsia="Times New Roman" w:hAnsi="Times New Roman"/>
          <w:sz w:val="18"/>
          <w:szCs w:val="18"/>
          <w:color w:val="auto"/>
        </w:rPr>
      </w:pPr>
    </w:p>
    <w:p>
      <w:pPr>
        <w:ind w:left="963" w:right="200" w:hanging="315"/>
        <w:spacing w:after="0" w:line="282"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162" w:lineRule="exact"/>
        <w:rPr>
          <w:sz w:val="20"/>
          <w:szCs w:val="20"/>
          <w:color w:val="auto"/>
        </w:rPr>
      </w:pPr>
    </w:p>
    <w:p>
      <w:pPr>
        <w:ind w:left="963" w:hanging="315"/>
        <w:spacing w:after="0"/>
        <w:tabs>
          <w:tab w:leader="none" w:pos="9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jc w:val="both"/>
        <w:ind w:left="3" w:firstLine="648"/>
        <w:spacing w:after="0" w:line="261"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because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Because trading that receives scrutiny will be evaluated</w:t>
      </w:r>
    </w:p>
    <w:p>
      <w:pPr>
        <w:sectPr>
          <w:pgSz w:w="11900" w:h="16838" w:orient="portrait"/>
          <w:cols w:equalWidth="0" w:num="1">
            <w:col w:w="11043"/>
          </w:cols>
          <w:pgMar w:left="517" w:top="117" w:right="339" w:bottom="0" w:gutter="0" w:footer="0" w:header="0"/>
        </w:sectPr>
      </w:pPr>
    </w:p>
    <w:bookmarkStart w:id="159" w:name="page160"/>
    <w:bookmarkEnd w:id="159"/>
    <w:p>
      <w:pPr>
        <w:jc w:val="both"/>
        <w:spacing w:after="0" w:line="282" w:lineRule="auto"/>
        <w:rPr>
          <w:sz w:val="20"/>
          <w:szCs w:val="20"/>
          <w:color w:val="auto"/>
        </w:rPr>
      </w:pPr>
      <w:r>
        <w:rPr>
          <w:rFonts w:ascii="Times New Roman" w:cs="Times New Roman" w:eastAsia="Times New Roman" w:hAnsi="Times New Roman"/>
          <w:sz w:val="18"/>
          <w:szCs w:val="18"/>
          <w:color w:val="auto"/>
        </w:rPr>
        <w:t>after the fact with the benefit of hindsight, questions as to the materiality of particular information should be resolved in favor of materiality, and trading should be avoided.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it may be difficult under this standard to determine whether particular information is material, there are various categories of information that are particularly sensitive and, as a general rule, should always be considered material. Examples of material information may include but are not limited to:</w:t>
      </w:r>
    </w:p>
    <w:p>
      <w:pPr>
        <w:spacing w:after="0" w:line="176" w:lineRule="exact"/>
        <w:rPr>
          <w:sz w:val="20"/>
          <w:szCs w:val="20"/>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sent to or received from the U.S. Food and Drug Administration;</w:t>
      </w:r>
    </w:p>
    <w:p>
      <w:pPr>
        <w:spacing w:after="0" w:line="225"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225"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tender offers or dispositions;</w:t>
      </w:r>
    </w:p>
    <w:p>
      <w:pPr>
        <w:spacing w:after="0" w:line="225"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 launches or product developments, even if recurring;</w:t>
      </w:r>
    </w:p>
    <w:p>
      <w:pPr>
        <w:spacing w:after="0" w:line="225" w:lineRule="exact"/>
        <w:rPr>
          <w:rFonts w:ascii="Times New Roman" w:cs="Times New Roman" w:eastAsia="Times New Roman" w:hAnsi="Times New Roman"/>
          <w:sz w:val="18"/>
          <w:szCs w:val="18"/>
          <w:color w:val="auto"/>
        </w:rPr>
      </w:pPr>
    </w:p>
    <w:p>
      <w:pPr>
        <w:ind w:left="1300" w:right="660" w:hanging="331"/>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major contract awards or cancellations, clinical trial results, developments regarding strategic collaborators or the status of regulatory submissions;</w:t>
      </w:r>
    </w:p>
    <w:p>
      <w:pPr>
        <w:spacing w:after="0" w:line="161"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control changes;</w:t>
      </w:r>
    </w:p>
    <w:p>
      <w:pPr>
        <w:spacing w:after="0" w:line="225" w:lineRule="exact"/>
        <w:rPr>
          <w:rFonts w:ascii="Times New Roman" w:cs="Times New Roman" w:eastAsia="Times New Roman" w:hAnsi="Times New Roman"/>
          <w:sz w:val="18"/>
          <w:szCs w:val="18"/>
          <w:color w:val="auto"/>
        </w:rPr>
      </w:pPr>
    </w:p>
    <w:p>
      <w:pPr>
        <w:ind w:left="1300" w:right="620" w:hanging="331"/>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 or financing developments including pending public sales or offerings of debt or equity securities or any changes the existing loan term;</w:t>
      </w:r>
    </w:p>
    <w:p>
      <w:pPr>
        <w:spacing w:after="0" w:line="161"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 or bankruptcies; and</w:t>
      </w:r>
    </w:p>
    <w:p>
      <w:pPr>
        <w:spacing w:after="0" w:line="225"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actual or threatened litigation or regulatory 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Moreover, material information does not have to be related to a company’s business. For example, the contents of a forthcoming newspaper column that is expected to affect the market price of a security can be material. Further, material information can be both positive and negative. Additional examples of material information attached hereto as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General Counsel first.</w:t>
      </w:r>
    </w:p>
    <w:p>
      <w:pPr>
        <w:spacing w:after="0" w:line="229" w:lineRule="exact"/>
        <w:rPr>
          <w:sz w:val="20"/>
          <w:szCs w:val="20"/>
          <w:color w:val="auto"/>
        </w:rPr>
      </w:pPr>
    </w:p>
    <w:p>
      <w:pPr>
        <w:ind w:left="960" w:hanging="315"/>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is Non-public?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Information is “non-public” if it has not been previously disclosed to the general public through a press release or securities filing and is otherwise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that are available on the SEC’s web site.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General Counsel first.</w:t>
      </w:r>
    </w:p>
    <w:p>
      <w:pPr>
        <w:spacing w:after="0" w:line="229" w:lineRule="exact"/>
        <w:rPr>
          <w:sz w:val="20"/>
          <w:szCs w:val="20"/>
          <w:color w:val="auto"/>
        </w:rPr>
      </w:pPr>
    </w:p>
    <w:p>
      <w:pPr>
        <w:ind w:left="960" w:hanging="315"/>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 is an Insider?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is an officer, director, employee or Applicable Consultant of the Company or anyone else within the Company who has material, non-public information about the Company. Insiders have independent fiduciary duties to their company and its stockholders not to trade on material, non-public information relating to the company’s securities. All officers, directors, employees and Applicable Consultants should consider themselves Insiders with respect to material, non-public information about the Company’s business, activities and securities. Officers, directors, employees and Applicable Consultants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Individuals subject to this Policy are responsible for ensuring that their immediate family members and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80" w:lineRule="exact"/>
        <w:rPr>
          <w:sz w:val="20"/>
          <w:szCs w:val="20"/>
          <w:color w:val="auto"/>
        </w:rPr>
      </w:pPr>
    </w:p>
    <w:p>
      <w:pPr>
        <w:ind w:left="960" w:hanging="315"/>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u w:val="single" w:color="auto"/>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ectPr>
          <w:pgSz w:w="11900" w:h="16838" w:orient="portrait"/>
          <w:cols w:equalWidth="0" w:num="1">
            <w:col w:w="11040"/>
          </w:cols>
          <w:pgMar w:left="520" w:top="121" w:right="339" w:bottom="132" w:gutter="0" w:footer="0" w:header="0"/>
        </w:sectPr>
      </w:pPr>
    </w:p>
    <w:bookmarkStart w:id="160" w:name="page161"/>
    <w:bookmarkEnd w:id="16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When in doubt, do not tip or trade on information provided (directly or indirectly by someone who could be a tipper). Check with the General Counsel first.</w:t>
      </w:r>
    </w:p>
    <w:p>
      <w:pPr>
        <w:spacing w:after="0" w:line="159" w:lineRule="exact"/>
        <w:rPr>
          <w:sz w:val="20"/>
          <w:szCs w:val="20"/>
          <w:color w:val="auto"/>
        </w:rPr>
      </w:pPr>
    </w:p>
    <w:p>
      <w:pPr>
        <w:ind w:left="960" w:hanging="315"/>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1" w:lineRule="exact"/>
        <w:rPr>
          <w:sz w:val="20"/>
          <w:szCs w:val="20"/>
          <w:color w:val="auto"/>
        </w:rPr>
      </w:pPr>
    </w:p>
    <w:p>
      <w:pPr>
        <w:ind w:right="200" w:firstLine="654"/>
        <w:spacing w:after="0" w:line="262" w:lineRule="auto"/>
        <w:tabs>
          <w:tab w:leader="none" w:pos="963"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Liability for Insider Trading and Tipping. </w:t>
      </w:r>
      <w:r>
        <w:rPr>
          <w:rFonts w:ascii="Times New Roman" w:cs="Times New Roman" w:eastAsia="Times New Roman" w:hAnsi="Times New Roman"/>
          <w:sz w:val="18"/>
          <w:szCs w:val="18"/>
          <w:color w:val="auto"/>
        </w:rPr>
        <w:t>Penalties for trading on or tipping material, non-public information can extend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(e.g., the Company’s stockholders) under the federal securities laws include:</w:t>
      </w:r>
    </w:p>
    <w:p>
      <w:pPr>
        <w:spacing w:after="0" w:line="180" w:lineRule="exact"/>
        <w:rPr>
          <w:rFonts w:ascii="Times New Roman" w:cs="Times New Roman" w:eastAsia="Times New Roman" w:hAnsi="Times New Roman"/>
          <w:sz w:val="18"/>
          <w:szCs w:val="18"/>
          <w:b w:val="1"/>
          <w:bCs w:val="1"/>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960" w:right="200" w:hanging="315"/>
        <w:spacing w:after="0" w:line="284"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where the violator is an employee or other controlled person) of up to three times the amount of profit gained or loss avoided by the violator;</w:t>
      </w:r>
    </w:p>
    <w:p>
      <w:pPr>
        <w:spacing w:after="0" w:line="37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$5,000,000 ($25,000,000 for an entity); and</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Insider trading violations, however, are not limited to violations of U.S. federal securities laws. Other federal and state civil or criminal laws also may be violated in connection with insider trading.</w:t>
      </w:r>
    </w:p>
    <w:p>
      <w:pPr>
        <w:spacing w:after="0" w:line="158" w:lineRule="exact"/>
        <w:rPr>
          <w:sz w:val="20"/>
          <w:szCs w:val="20"/>
          <w:color w:val="auto"/>
        </w:rPr>
      </w:pPr>
    </w:p>
    <w:p>
      <w:pPr>
        <w:ind w:right="180" w:firstLine="654"/>
        <w:spacing w:after="0" w:line="286" w:lineRule="auto"/>
        <w:tabs>
          <w:tab w:leader="none" w:pos="963"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Control Persons. </w:t>
      </w:r>
      <w:r>
        <w:rPr>
          <w:rFonts w:ascii="Times New Roman" w:cs="Times New Roman" w:eastAsia="Times New Roman" w:hAnsi="Times New Roman"/>
          <w:sz w:val="18"/>
          <w:szCs w:val="18"/>
          <w:color w:val="auto"/>
        </w:rPr>
        <w:t>The Company and its supervisory personnel, if they fail to take appropriate steps to prevent illegal insider trading,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circumstances, be subject to the following penalties:</w:t>
      </w:r>
    </w:p>
    <w:p>
      <w:pPr>
        <w:spacing w:after="0" w:line="158" w:lineRule="exact"/>
        <w:rPr>
          <w:rFonts w:ascii="Times New Roman" w:cs="Times New Roman" w:eastAsia="Times New Roman" w:hAnsi="Times New Roman"/>
          <w:sz w:val="18"/>
          <w:szCs w:val="18"/>
          <w:b w:val="1"/>
          <w:bCs w:val="1"/>
          <w:color w:val="auto"/>
        </w:rPr>
      </w:pPr>
    </w:p>
    <w:p>
      <w:pPr>
        <w:ind w:left="1340" w:right="520" w:hanging="317"/>
        <w:spacing w:after="0" w:line="261" w:lineRule="auto"/>
        <w:tabs>
          <w:tab w:leader="none" w:pos="13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3 times the profit gained or loss avoided as a result of the employee’s violation or the greater of the civil monetary penalty amount under 15</w:t>
      </w: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78 u-1(a)(3) (Exchange Act Sec. 21A(a)(3)), adjusted for inflation with the CPI-U multiplier; and</w:t>
      </w:r>
    </w:p>
    <w:p>
      <w:pPr>
        <w:spacing w:after="0" w:line="206" w:lineRule="exact"/>
        <w:rPr>
          <w:rFonts w:ascii="Times New Roman" w:cs="Times New Roman" w:eastAsia="Times New Roman" w:hAnsi="Times New Roman"/>
          <w:sz w:val="18"/>
          <w:szCs w:val="18"/>
          <w:color w:val="auto"/>
        </w:rPr>
      </w:pPr>
    </w:p>
    <w:p>
      <w:pPr>
        <w:ind w:left="1340" w:hanging="317"/>
        <w:spacing w:after="0"/>
        <w:tabs>
          <w:tab w:leader="none" w:pos="13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$25,000,000.</w:t>
      </w:r>
    </w:p>
    <w:p>
      <w:pPr>
        <w:spacing w:after="0" w:line="221" w:lineRule="exact"/>
        <w:rPr>
          <w:rFonts w:ascii="Times New Roman" w:cs="Times New Roman" w:eastAsia="Times New Roman" w:hAnsi="Times New Roman"/>
          <w:sz w:val="18"/>
          <w:szCs w:val="18"/>
          <w:color w:val="auto"/>
        </w:rPr>
      </w:pPr>
    </w:p>
    <w:p>
      <w:pPr>
        <w:ind w:right="320" w:firstLine="654"/>
        <w:spacing w:after="0" w:line="268" w:lineRule="auto"/>
        <w:tabs>
          <w:tab w:leader="none" w:pos="963"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Possible Company-Imposed Disciplinary Actions. </w:t>
      </w:r>
      <w:r>
        <w:rPr>
          <w:rFonts w:ascii="Times New Roman" w:cs="Times New Roman" w:eastAsia="Times New Roman" w:hAnsi="Times New Roman"/>
          <w:sz w:val="18"/>
          <w:szCs w:val="18"/>
          <w:color w:val="auto"/>
        </w:rPr>
        <w:t>Employees of the Company who violate this Policy shall also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disciplinary action by the Company, which may include ineligibility for future participation in the Company’s equity incentive plan or termination of employment.</w:t>
      </w:r>
    </w:p>
    <w:p>
      <w:pPr>
        <w:spacing w:after="0" w:line="390" w:lineRule="exact"/>
        <w:rPr>
          <w:rFonts w:ascii="Times New Roman" w:cs="Times New Roman" w:eastAsia="Times New Roman" w:hAnsi="Times New Roman"/>
          <w:sz w:val="18"/>
          <w:szCs w:val="18"/>
          <w:b w:val="1"/>
          <w:bCs w:val="1"/>
          <w:color w:val="auto"/>
        </w:rPr>
      </w:pPr>
    </w:p>
    <w:p>
      <w:pPr>
        <w:ind w:left="960" w:hanging="315"/>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the stock exchanges and NASDAQ have the ability to monitor even the smallest trades, and they use sophisticated electronic surveillance techniques to uncover insider trading. Brokers and dealers are required by law to inform the SEC of any possible violations by people who may have material, non-public information. The SEC aggressively investigates and prosecutes even small insider trading violations and violations where the trader, tipper or tippee did not profit from the trading.</w:t>
      </w:r>
    </w:p>
    <w:p>
      <w:pPr>
        <w:spacing w:after="0" w:line="399" w:lineRule="exact"/>
        <w:rPr>
          <w:sz w:val="20"/>
          <w:szCs w:val="20"/>
          <w:color w:val="auto"/>
        </w:rPr>
      </w:pPr>
    </w:p>
    <w:p>
      <w:pPr>
        <w:ind w:left="960" w:hanging="315"/>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Examples of Insider Trading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Examples of insider trading cases include actions brought against corporate officers, directors, employees and consultants who traded in a company’s securities after learning of significant confidential corporate developments; friends, business associates, family members and other tippees of such officers, directors, employees and consultants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3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225" w:lineRule="exact"/>
        <w:rPr>
          <w:sz w:val="20"/>
          <w:szCs w:val="20"/>
          <w:color w:val="auto"/>
        </w:rPr>
      </w:pPr>
    </w:p>
    <w:p>
      <w:pPr>
        <w:jc w:val="both"/>
        <w:ind w:left="660" w:firstLine="468"/>
        <w:spacing w:after="0" w:line="266"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w:t>
      </w:r>
    </w:p>
    <w:p>
      <w:pPr>
        <w:sectPr>
          <w:pgSz w:w="11900" w:h="16838" w:orient="portrait"/>
          <w:cols w:equalWidth="0" w:num="1">
            <w:col w:w="11040"/>
          </w:cols>
          <w:pgMar w:left="520" w:top="117" w:right="339" w:bottom="0" w:gutter="0" w:footer="0" w:header="0"/>
        </w:sectPr>
      </w:pPr>
    </w:p>
    <w:bookmarkStart w:id="161" w:name="page162"/>
    <w:bookmarkEnd w:id="161"/>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$5,000,000 in additional fines and 20 years in jail. Depending upon the circumstances, X Corporation and the individual to whom the officer reports also could be liable as controlling persons.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200" w:lineRule="exact"/>
        <w:rPr>
          <w:sz w:val="20"/>
          <w:szCs w:val="20"/>
          <w:color w:val="auto"/>
        </w:rPr>
      </w:pPr>
    </w:p>
    <w:p>
      <w:pPr>
        <w:spacing w:after="0" w:line="241" w:lineRule="exact"/>
        <w:rPr>
          <w:sz w:val="20"/>
          <w:szCs w:val="20"/>
          <w:color w:val="auto"/>
        </w:rPr>
      </w:pPr>
    </w:p>
    <w:p>
      <w:pPr>
        <w:jc w:val="both"/>
        <w:ind w:left="660" w:firstLine="450"/>
        <w:spacing w:after="0" w:line="261"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396" w:lineRule="exact"/>
        <w:rPr>
          <w:sz w:val="20"/>
          <w:szCs w:val="20"/>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Records Falsification and False Statements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1934 Act (such as the Company)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STATEMENT OF PROCEDURES PREVENTING INSIDER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ensure compliance with this Policy and applicable U.S. securities laws, and to avoid even the appearance of trading on the basis of inside information, the following procedures have been established, and will be maintained and enforced, by the Company to prevent insider trading. Each of the officers, directors, employees and Applicable Consultants are required to follow these procedures.</w:t>
      </w:r>
    </w:p>
    <w:p>
      <w:pPr>
        <w:spacing w:after="0" w:line="392" w:lineRule="exact"/>
        <w:rPr>
          <w:sz w:val="20"/>
          <w:szCs w:val="20"/>
          <w:color w:val="auto"/>
        </w:rPr>
      </w:pPr>
    </w:p>
    <w:p>
      <w:pPr>
        <w:ind w:left="960" w:hanging="315"/>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Blackout Periods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officer, director, employee or Applicable Consultant, or any immediate family member or any member of the household of any such person, shall purchase or sell any security of the Company during the period beginning at market close on the trading day that is two weeks prior to the last trading day of any fiscal quarter of the Company and ending at market close on the second full trading day after the public release of earnings data for such fiscal quarter of the Company or during any other trading suspension period declared by the Company, </w:t>
      </w:r>
      <w:r>
        <w:rPr>
          <w:rFonts w:ascii="Times New Roman" w:cs="Times New Roman" w:eastAsia="Times New Roman" w:hAnsi="Times New Roman"/>
          <w:sz w:val="18"/>
          <w:szCs w:val="18"/>
          <w:color w:val="auto"/>
        </w:rPr>
        <w:t>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t>
      </w:r>
    </w:p>
    <w:p>
      <w:pPr>
        <w:spacing w:after="0" w:line="183" w:lineRule="exact"/>
        <w:rPr>
          <w:sz w:val="20"/>
          <w:szCs w:val="20"/>
          <w:color w:val="auto"/>
        </w:rPr>
      </w:pPr>
    </w:p>
    <w:p>
      <w:pPr>
        <w:ind w:left="1300" w:right="80" w:hanging="331"/>
        <w:spacing w:after="0" w:line="312" w:lineRule="auto"/>
        <w:tabs>
          <w:tab w:leader="none" w:pos="13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the Company’s securities from the Company or sales of the Company’s securities to the Company, or the surrender to the Company of the Company’s securities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to cover withholding obligations upon the vesting or settlement of equity-based awards);</w:t>
      </w:r>
    </w:p>
    <w:p>
      <w:pPr>
        <w:spacing w:after="0" w:line="139" w:lineRule="exact"/>
        <w:rPr>
          <w:rFonts w:ascii="Times New Roman" w:cs="Times New Roman" w:eastAsia="Times New Roman" w:hAnsi="Times New Roman"/>
          <w:sz w:val="17"/>
          <w:szCs w:val="17"/>
          <w:color w:val="auto"/>
        </w:rPr>
      </w:pPr>
    </w:p>
    <w:p>
      <w:pPr>
        <w:ind w:left="1300" w:right="40" w:hanging="331"/>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vesting of equity-based awards that do not involve a market sale of the Company’s securities (the “cashless exercise” of a Company stock option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173"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w:t>
      </w:r>
    </w:p>
    <w:p>
      <w:pPr>
        <w:spacing w:after="0" w:line="227" w:lineRule="exact"/>
        <w:rPr>
          <w:rFonts w:ascii="Times New Roman" w:cs="Times New Roman" w:eastAsia="Times New Roman" w:hAnsi="Times New Roman"/>
          <w:sz w:val="18"/>
          <w:szCs w:val="18"/>
          <w:color w:val="auto"/>
        </w:rPr>
      </w:pPr>
    </w:p>
    <w:p>
      <w:pPr>
        <w:ind w:left="1300" w:right="200" w:hanging="331"/>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‘sell-to-cover’ transactions required to satisfy tax liability relating to vesting and settlement of RSUs only, as permitted by the applicable award agreement; and</w:t>
      </w:r>
    </w:p>
    <w:p>
      <w:pPr>
        <w:spacing w:after="0" w:line="161" w:lineRule="exact"/>
        <w:rPr>
          <w:rFonts w:ascii="Times New Roman" w:cs="Times New Roman" w:eastAsia="Times New Roman" w:hAnsi="Times New Roman"/>
          <w:sz w:val="18"/>
          <w:szCs w:val="18"/>
          <w:color w:val="auto"/>
        </w:rPr>
      </w:pPr>
    </w:p>
    <w:p>
      <w:pPr>
        <w:ind w:left="1300" w:right="120" w:hanging="331"/>
        <w:spacing w:after="0" w:line="258"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General Counsel, or if the General Counsel is unavailable, the Company’s Chief Financial Officer, or, in the case of exceptions for directors, the Chairperson of the Board of Directors or Chairperson of the Audit Committee of the Board of Directors.</w:t>
      </w:r>
    </w:p>
    <w:p>
      <w:pPr>
        <w:spacing w:after="0" w:line="3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or the General Counsel, may recommend that some or all officers, directors, employees, Applicable Consultants or others suspend trading in the Company’s securities because of developments that have not yet been disclosed to the public. Individuals affected by such an event-specific, “special” blackout period will be notified by the Company that they are subject to the blackout. Subject to the exceptions noted above, all those affected should not trade in our securities while the suspension is in effect, and in the event that a press release is issued by the Company in connection with the event that resulted in the event-specific blackout, such suspension shall continue for two full trading days after the public release. Additionally, individuals affected by such an event-specific, “special” blackout period should not disclose to others that we have suspended trading. The failure of the Company to designate a person as being subject to a “special” blackout period will not relieve that person of the obligation not to trade while aware of material, non-public information.</w:t>
      </w:r>
    </w:p>
    <w:p>
      <w:pPr>
        <w:spacing w:after="0" w:line="192" w:lineRule="exact"/>
        <w:rPr>
          <w:sz w:val="20"/>
          <w:szCs w:val="20"/>
          <w:color w:val="auto"/>
        </w:rPr>
      </w:pPr>
    </w:p>
    <w:p>
      <w:pPr>
        <w:ind w:left="960" w:right="160" w:hanging="315"/>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All Trades by All Officers, Directors, Certain Employees as May Be Designated by the General Counsel and Applicable Consultants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8"/>
          <w:szCs w:val="18"/>
          <w:b w:val="1"/>
          <w:bCs w:val="1"/>
          <w:color w:val="auto"/>
        </w:rPr>
        <w:t>all transactions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(including without 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acquisitions and dispositions of Company stock,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exercise of stock options and the sale of Company stock issued upon exercise of stock options) by officers, directors, certain employees as may be designated by the General Counsel and Applicable Consultants,</w:t>
      </w:r>
    </w:p>
    <w:p>
      <w:pPr>
        <w:sectPr>
          <w:pgSz w:w="11900" w:h="16838" w:orient="portrait"/>
          <w:cols w:equalWidth="0" w:num="1">
            <w:col w:w="11040"/>
          </w:cols>
          <w:pgMar w:left="520" w:top="121" w:right="339" w:bottom="0" w:gutter="0" w:footer="0" w:header="0"/>
        </w:sectPr>
      </w:pPr>
    </w:p>
    <w:bookmarkStart w:id="162" w:name="page163"/>
    <w:bookmarkEnd w:id="16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other than exercises of stock options with cash or other equity awards or vesting of equity-based awards that do not involve a market sale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must be pre-cleared by the General Counsel, or if the General Counsel is unavailable,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Chief Financial Officer.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pre-clearance process, the individual requesting pre-clearance must confirm that he or she is not in possession of material, non-public information. Pre-clearance does not relieve anyone of his or her responsibility under SEC rules. For clarity, transactions in the Company’s securities pursuant to a Rule 10b5-1 plan, which was approved in advance of entering into the plan, are considered pre-cleared.</w:t>
      </w:r>
    </w:p>
    <w:p>
      <w:pPr>
        <w:spacing w:after="0" w:line="392" w:lineRule="exact"/>
        <w:rPr>
          <w:sz w:val="20"/>
          <w:szCs w:val="20"/>
          <w:color w:val="auto"/>
        </w:rPr>
      </w:pPr>
    </w:p>
    <w:p>
      <w:pPr>
        <w:ind w:left="960" w:hanging="315"/>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Transactions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exception of the pre-clearance requirement, the insider trading laws continue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spacing w:after="0" w:line="176" w:lineRule="exact"/>
        <w:rPr>
          <w:sz w:val="20"/>
          <w:szCs w:val="20"/>
          <w:color w:val="auto"/>
        </w:rPr>
      </w:pPr>
    </w:p>
    <w:p>
      <w:pPr>
        <w:ind w:left="960" w:hanging="315"/>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Relating to the Company</w:t>
      </w:r>
    </w:p>
    <w:p>
      <w:pPr>
        <w:spacing w:after="0" w:line="225" w:lineRule="exact"/>
        <w:rPr>
          <w:rFonts w:ascii="Times New Roman" w:cs="Times New Roman" w:eastAsia="Times New Roman" w:hAnsi="Times New Roman"/>
          <w:sz w:val="18"/>
          <w:szCs w:val="18"/>
          <w:color w:val="auto"/>
        </w:rPr>
      </w:pPr>
    </w:p>
    <w:p>
      <w:pPr>
        <w:ind w:left="1620" w:hanging="327"/>
        <w:spacing w:after="0"/>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employees and Applicable Consultants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of the Company, all officers, directors, employees and Applicable Consultants must take care to emphasize the need for confidential treatment of such information and adherence to the Company’s policies with regard to confidential information.</w:t>
      </w:r>
    </w:p>
    <w:p>
      <w:pPr>
        <w:spacing w:after="0" w:line="176" w:lineRule="exact"/>
        <w:rPr>
          <w:sz w:val="20"/>
          <w:szCs w:val="20"/>
          <w:color w:val="auto"/>
        </w:rPr>
      </w:pPr>
    </w:p>
    <w:p>
      <w:pPr>
        <w:ind w:left="1620" w:hanging="327"/>
        <w:spacing w:after="0"/>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Inquiries From Third Parties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Michael Mandarello, the Company’s Chief Legal Officer at m</w:t>
      </w:r>
      <w:r>
        <w:rPr>
          <w:rFonts w:ascii="Times New Roman" w:cs="Times New Roman" w:eastAsia="Times New Roman" w:hAnsi="Times New Roman"/>
          <w:sz w:val="18"/>
          <w:szCs w:val="18"/>
          <w:u w:val="single" w:color="auto"/>
          <w:color w:val="auto"/>
        </w:rPr>
        <w:t>mandarello@venus.ai</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960" w:hanging="315"/>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Access to Company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officers, directors, employees and Applicable Consultants should take all steps and precautions necessary to restrict access to, and secure, material, non-public information by, among other things:</w:t>
      </w:r>
    </w:p>
    <w:p>
      <w:pPr>
        <w:spacing w:after="0" w:line="378" w:lineRule="exact"/>
        <w:rPr>
          <w:sz w:val="20"/>
          <w:szCs w:val="20"/>
          <w:color w:val="auto"/>
        </w:rPr>
      </w:pPr>
    </w:p>
    <w:p>
      <w:pPr>
        <w:ind w:left="960" w:hanging="315"/>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225" w:lineRule="exact"/>
        <w:rPr>
          <w:rFonts w:ascii="Times New Roman" w:cs="Times New Roman" w:eastAsia="Times New Roman" w:hAnsi="Times New Roman"/>
          <w:sz w:val="18"/>
          <w:szCs w:val="18"/>
          <w:color w:val="auto"/>
        </w:rPr>
      </w:pPr>
    </w:p>
    <w:p>
      <w:pPr>
        <w:ind w:left="960" w:right="240" w:hanging="315"/>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61" w:lineRule="exact"/>
        <w:rPr>
          <w:rFonts w:ascii="Times New Roman" w:cs="Times New Roman" w:eastAsia="Times New Roman" w:hAnsi="Times New Roman"/>
          <w:sz w:val="18"/>
          <w:szCs w:val="18"/>
          <w:color w:val="auto"/>
        </w:rPr>
      </w:pPr>
    </w:p>
    <w:p>
      <w:pPr>
        <w:ind w:left="960" w:right="20" w:hanging="315"/>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377" w:lineRule="exact"/>
        <w:rPr>
          <w:rFonts w:ascii="Times New Roman" w:cs="Times New Roman" w:eastAsia="Times New Roman" w:hAnsi="Times New Roman"/>
          <w:sz w:val="18"/>
          <w:szCs w:val="18"/>
          <w:color w:val="auto"/>
        </w:rPr>
      </w:pPr>
    </w:p>
    <w:p>
      <w:pPr>
        <w:ind w:left="960" w:right="60" w:hanging="315"/>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61" w:lineRule="exact"/>
        <w:rPr>
          <w:rFonts w:ascii="Times New Roman" w:cs="Times New Roman" w:eastAsia="Times New Roman" w:hAnsi="Times New Roman"/>
          <w:sz w:val="18"/>
          <w:szCs w:val="18"/>
          <w:color w:val="auto"/>
        </w:rPr>
      </w:pPr>
    </w:p>
    <w:p>
      <w:pPr>
        <w:ind w:left="960" w:right="500" w:hanging="315"/>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377"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2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225" w:lineRule="exact"/>
        <w:rPr>
          <w:rFonts w:ascii="Times New Roman" w:cs="Times New Roman" w:eastAsia="Times New Roman" w:hAnsi="Times New Roman"/>
          <w:sz w:val="18"/>
          <w:szCs w:val="18"/>
          <w:color w:val="auto"/>
        </w:rPr>
      </w:pPr>
    </w:p>
    <w:p>
      <w:pPr>
        <w:ind w:left="960" w:right="580" w:hanging="315"/>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162" w:lineRule="exact"/>
        <w:rPr>
          <w:sz w:val="20"/>
          <w:szCs w:val="20"/>
          <w:color w:val="auto"/>
        </w:rPr>
      </w:pPr>
    </w:p>
    <w:p>
      <w:pPr>
        <w:ind w:left="960" w:hanging="315"/>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Responsibility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Every employee, officer and director has the individual responsibility to comply with this Policy against insider trading, regardless of whether a transaction is executed outside a blackout period or is pre-cleared by the Company. The restrictions and procedures are intended to help avoid inadvertent instances of improper insider trading, but appropriate judgment should always be exercised by each employee, officer and director in connection with any trade in the Company’s securities.</w:t>
      </w:r>
    </w:p>
    <w:p>
      <w:pPr>
        <w:sectPr>
          <w:pgSz w:w="11900" w:h="16838" w:orient="portrait"/>
          <w:cols w:equalWidth="0" w:num="1">
            <w:col w:w="11040"/>
          </w:cols>
          <w:pgMar w:left="520" w:top="117" w:right="339" w:bottom="0" w:gutter="0" w:footer="0" w:header="0"/>
        </w:sectPr>
      </w:pPr>
    </w:p>
    <w:bookmarkStart w:id="163" w:name="page164"/>
    <w:bookmarkEnd w:id="163"/>
    <w:p>
      <w:pPr>
        <w:jc w:val="both"/>
        <w:ind w:left="3" w:firstLine="648"/>
        <w:spacing w:after="0" w:line="266" w:lineRule="auto"/>
        <w:rPr>
          <w:sz w:val="20"/>
          <w:szCs w:val="20"/>
          <w:color w:val="auto"/>
        </w:rPr>
      </w:pPr>
      <w:r>
        <w:rPr>
          <w:rFonts w:ascii="Times New Roman" w:cs="Times New Roman" w:eastAsia="Times New Roman" w:hAnsi="Times New Roman"/>
          <w:sz w:val="18"/>
          <w:szCs w:val="18"/>
          <w:color w:val="auto"/>
        </w:rPr>
        <w:t>An employee, officer or director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76" w:lineRule="exact"/>
        <w:rPr>
          <w:sz w:val="20"/>
          <w:szCs w:val="20"/>
          <w:color w:val="auto"/>
        </w:rPr>
      </w:pPr>
    </w:p>
    <w:p>
      <w:pPr>
        <w:ind w:left="323" w:hanging="323"/>
        <w:spacing w:after="0"/>
        <w:tabs>
          <w:tab w:leader="none" w:pos="3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PROHIBITED TRANSACTIONS</w:t>
      </w:r>
    </w:p>
    <w:p>
      <w:pPr>
        <w:spacing w:after="0" w:line="225" w:lineRule="exact"/>
        <w:rPr>
          <w:sz w:val="20"/>
          <w:szCs w:val="20"/>
          <w:color w:val="auto"/>
        </w:rPr>
      </w:pPr>
    </w:p>
    <w:p>
      <w:pPr>
        <w:jc w:val="both"/>
        <w:ind w:left="3"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employees and Applicable Consultants shall comply with the following policies with respect to certain transactions in the Company securities:</w:t>
      </w:r>
    </w:p>
    <w:p>
      <w:pPr>
        <w:spacing w:after="0" w:line="176" w:lineRule="exact"/>
        <w:rPr>
          <w:sz w:val="20"/>
          <w:szCs w:val="20"/>
          <w:color w:val="auto"/>
        </w:rPr>
      </w:pPr>
    </w:p>
    <w:p>
      <w:pPr>
        <w:ind w:left="963" w:hanging="315"/>
        <w:spacing w:after="0"/>
        <w:tabs>
          <w:tab w:leader="none" w:pos="9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ind w:left="3" w:firstLine="648"/>
        <w:spacing w:after="0" w:line="256" w:lineRule="auto"/>
        <w:rPr>
          <w:sz w:val="20"/>
          <w:szCs w:val="20"/>
          <w:color w:val="auto"/>
        </w:rPr>
      </w:pPr>
      <w:r>
        <w:rPr>
          <w:rFonts w:ascii="Times New Roman" w:cs="Times New Roman" w:eastAsia="Times New Roman" w:hAnsi="Times New Roman"/>
          <w:sz w:val="18"/>
          <w:szCs w:val="18"/>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sales of shares that the Insider does not own at the time of sale, or sales of shares against which the Insider does not deliver the shares within 20 days after the sale.</w:t>
      </w:r>
    </w:p>
    <w:p>
      <w:pPr>
        <w:spacing w:after="0" w:line="200" w:lineRule="exact"/>
        <w:rPr>
          <w:sz w:val="20"/>
          <w:szCs w:val="20"/>
          <w:color w:val="auto"/>
        </w:rPr>
      </w:pPr>
    </w:p>
    <w:p>
      <w:pPr>
        <w:spacing w:after="0" w:line="203" w:lineRule="exact"/>
        <w:rPr>
          <w:sz w:val="20"/>
          <w:szCs w:val="20"/>
          <w:color w:val="auto"/>
        </w:rPr>
      </w:pPr>
    </w:p>
    <w:p>
      <w:pPr>
        <w:ind w:left="963" w:hanging="315"/>
        <w:spacing w:after="0"/>
        <w:tabs>
          <w:tab w:leader="none" w:pos="9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Options</w:t>
      </w:r>
    </w:p>
    <w:p>
      <w:pPr>
        <w:spacing w:after="0" w:line="200" w:lineRule="exact"/>
        <w:rPr>
          <w:sz w:val="20"/>
          <w:szCs w:val="20"/>
          <w:color w:val="auto"/>
        </w:rPr>
      </w:pPr>
    </w:p>
    <w:p>
      <w:pPr>
        <w:spacing w:after="0" w:line="241" w:lineRule="exact"/>
        <w:rPr>
          <w:sz w:val="20"/>
          <w:szCs w:val="20"/>
          <w:color w:val="auto"/>
        </w:rPr>
      </w:pPr>
    </w:p>
    <w:p>
      <w:pPr>
        <w:jc w:val="both"/>
        <w:ind w:left="3" w:firstLine="648"/>
        <w:spacing w:after="0" w:line="258"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the Company’s stock and therefore creates the appearance that an officer, director, employee or Applicable Consultant is trading based on inside information. Transactions in options also may focus an officer’s, director’s, employee’s or Applicable Consultant’s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399" w:lineRule="exact"/>
        <w:rPr>
          <w:sz w:val="20"/>
          <w:szCs w:val="20"/>
          <w:color w:val="auto"/>
        </w:rPr>
      </w:pPr>
    </w:p>
    <w:p>
      <w:pPr>
        <w:ind w:left="963" w:hanging="315"/>
        <w:spacing w:after="0"/>
        <w:tabs>
          <w:tab w:leader="none" w:pos="9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ind w:left="3" w:firstLine="648"/>
        <w:spacing w:after="0" w:line="258"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stockholders. Therefore, hedging transactions involving the Company’s equity securities, including but not limited to zero-cost collars and forward sale contracts, are prohibited by this Policy.</w:t>
      </w:r>
    </w:p>
    <w:p>
      <w:pPr>
        <w:spacing w:after="0" w:line="399" w:lineRule="exact"/>
        <w:rPr>
          <w:sz w:val="20"/>
          <w:szCs w:val="20"/>
          <w:color w:val="auto"/>
        </w:rPr>
      </w:pPr>
    </w:p>
    <w:p>
      <w:pPr>
        <w:ind w:left="1023" w:hanging="375"/>
        <w:spacing w:after="0"/>
        <w:tabs>
          <w:tab w:leader="none" w:pos="102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of the Company’s Securities on Margin; Pledging the Company’s Securities to Secure Margin or Other Loans</w:t>
      </w:r>
    </w:p>
    <w:p>
      <w:pPr>
        <w:spacing w:after="0" w:line="225" w:lineRule="exact"/>
        <w:rPr>
          <w:sz w:val="20"/>
          <w:szCs w:val="20"/>
          <w:color w:val="auto"/>
        </w:rPr>
      </w:pPr>
    </w:p>
    <w:p>
      <w:pPr>
        <w:jc w:val="both"/>
        <w:ind w:left="3" w:firstLine="648"/>
        <w:spacing w:after="0" w:line="261"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80" w:lineRule="exact"/>
        <w:rPr>
          <w:sz w:val="20"/>
          <w:szCs w:val="20"/>
          <w:color w:val="auto"/>
        </w:rPr>
      </w:pPr>
    </w:p>
    <w:p>
      <w:pPr>
        <w:ind w:left="963" w:hanging="315"/>
        <w:spacing w:after="0"/>
        <w:tabs>
          <w:tab w:leader="none" w:pos="9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Distributions</w:t>
      </w:r>
    </w:p>
    <w:p>
      <w:pPr>
        <w:spacing w:after="0" w:line="225" w:lineRule="exact"/>
        <w:rPr>
          <w:sz w:val="20"/>
          <w:szCs w:val="20"/>
          <w:color w:val="auto"/>
        </w:rPr>
      </w:pPr>
    </w:p>
    <w:p>
      <w:pPr>
        <w:jc w:val="both"/>
        <w:ind w:left="3"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private equity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3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RULE 10b5-1 TRADING PLANS, SECTION 16 AND RULE 144</w:t>
      </w:r>
    </w:p>
    <w:p>
      <w:pPr>
        <w:spacing w:after="0" w:line="200" w:lineRule="exact"/>
        <w:rPr>
          <w:sz w:val="20"/>
          <w:szCs w:val="20"/>
          <w:color w:val="auto"/>
        </w:rPr>
      </w:pPr>
    </w:p>
    <w:p>
      <w:pPr>
        <w:spacing w:after="0" w:line="237" w:lineRule="exact"/>
        <w:rPr>
          <w:sz w:val="20"/>
          <w:szCs w:val="20"/>
          <w:color w:val="auto"/>
        </w:rPr>
      </w:pPr>
    </w:p>
    <w:p>
      <w:pPr>
        <w:ind w:left="3" w:right="480" w:firstLine="654"/>
        <w:spacing w:after="0" w:line="286" w:lineRule="auto"/>
        <w:tabs>
          <w:tab w:leader="none" w:pos="1006"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Rule 10b5-1 Trading Plans. </w:t>
      </w:r>
      <w:r>
        <w:rPr>
          <w:rFonts w:ascii="Times New Roman" w:cs="Times New Roman" w:eastAsia="Times New Roman" w:hAnsi="Times New Roman"/>
          <w:sz w:val="18"/>
          <w:szCs w:val="18"/>
          <w:b w:val="1"/>
          <w:bCs w:val="1"/>
          <w:color w:val="auto"/>
        </w:rPr>
        <w:t>It is strongly recommended that all directors and employees with a title of VICE PRESIDENT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HIGHER must conduct any transactions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pursuant to a Rule 10b5-1 Trading Plan.</w:t>
      </w:r>
    </w:p>
    <w:p>
      <w:pPr>
        <w:spacing w:after="0" w:line="158" w:lineRule="exact"/>
        <w:rPr>
          <w:rFonts w:ascii="Times New Roman" w:cs="Times New Roman" w:eastAsia="Times New Roman" w:hAnsi="Times New Roman"/>
          <w:sz w:val="18"/>
          <w:szCs w:val="18"/>
          <w:b w:val="1"/>
          <w:bCs w:val="1"/>
          <w:color w:val="auto"/>
        </w:rPr>
      </w:pPr>
    </w:p>
    <w:p>
      <w:pPr>
        <w:ind w:left="1623" w:hanging="327"/>
        <w:spacing w:after="0"/>
        <w:tabs>
          <w:tab w:leader="none" w:pos="16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-419100</wp:posOffset>
            </wp:positionV>
            <wp:extent cx="13735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94">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spacing w:after="0" w:line="205" w:lineRule="exact"/>
        <w:rPr>
          <w:sz w:val="20"/>
          <w:szCs w:val="20"/>
          <w:color w:val="auto"/>
        </w:rPr>
      </w:pPr>
    </w:p>
    <w:p>
      <w:pPr>
        <w:jc w:val="both"/>
        <w:ind w:left="3" w:firstLine="648"/>
        <w:spacing w:after="0" w:line="253" w:lineRule="auto"/>
        <w:rPr>
          <w:sz w:val="20"/>
          <w:szCs w:val="20"/>
          <w:color w:val="auto"/>
        </w:rPr>
      </w:pPr>
      <w:r>
        <w:rPr>
          <w:rFonts w:ascii="Times New Roman" w:cs="Times New Roman" w:eastAsia="Times New Roman" w:hAnsi="Times New Roman"/>
          <w:sz w:val="18"/>
          <w:szCs w:val="18"/>
          <w:color w:val="auto"/>
        </w:rPr>
        <w:t>Rule 10b5-1 will protect directors, officers, employees and Applicable Consultants from insider trading liability under Rule 10b5-1 for transactions under a previously established contract, plan or instruction to trade in the Company’s stock (a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entered into in good faith and in accordance with the terms of Rule 10b5-1 and all applicable state laws and will be exempt from the trading restrictions set forth in this Policy. The initiation or revocation of, and any modification to, any such Trading Plan will be deemed to be a transaction in the Company’s securities, and such initiation, revocation or modification is subject to all limitations and prohibitions relating to transactions in the Company’s securities. Each such Trading Plan, and any modification or revocation thereof, must be submitted to and pre-approved by the General Counsel, or if the General Counsel is unavailable, the Company’s Chief Financial Officer, who may impose such conditions on the implementation and operation of the Trading Plan as the General Counsel, or if the General Counsel is unavailable, the Company’s Chief Financial Officer, deems necessary or advisable. The General Counsel may prescribe certain forms of Trading Plans to which employees’ Trading Plans must conform. The General Counsel may also require that Trading Plans be arranged with a specified broker. However, compliance of the Trading Plan to the terms of Rule 10b5-1 and the execution of transactions pursuant to the Trading Plan are the sole responsibility of the person initiating the Trading Plan, not the Company or the General Counsel.</w:t>
      </w:r>
    </w:p>
    <w:p>
      <w:pPr>
        <w:spacing w:after="0" w:line="188"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b w:val="1"/>
          <w:bCs w:val="1"/>
          <w:color w:val="auto"/>
        </w:rPr>
        <w:t>Trading Plans do not exempt individuals from complying with Section 16 short-swing profit rules or liability.</w:t>
      </w:r>
    </w:p>
    <w:p>
      <w:pPr>
        <w:sectPr>
          <w:pgSz w:w="11900" w:h="16838" w:orient="portrait"/>
          <w:cols w:equalWidth="0" w:num="1">
            <w:col w:w="11043"/>
          </w:cols>
          <w:pgMar w:left="517" w:top="121" w:right="339" w:bottom="0" w:gutter="0" w:footer="0" w:header="0"/>
        </w:sectPr>
      </w:pPr>
    </w:p>
    <w:bookmarkStart w:id="164" w:name="page165"/>
    <w:bookmarkEnd w:id="1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director, officer, employee or Applicable Consultant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The Company requires a cooling-off period of at least 30 days between the establishment of a Trading Plan and commencement of any transactions under such plan.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from time to time to suspend, discontinue or otherwise prohibit any transaction in the Company’s securities, even pursuant to a previously approved Trading Plan, if the General Counsel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Policy and result in a loss of the exemption set forth herein.</w:t>
      </w:r>
    </w:p>
    <w:p>
      <w:pPr>
        <w:spacing w:after="0" w:line="3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Officers, directors, employees and Applicable Consultants may adopt Trading Plans with brokers that outline a pre-set plan for trading of the Company’s stock, including the exercise of options. Trades pursuant to a Trading Plan generally may occur at any time. However, as noted above, the Company requires a cooling-off period of at least 30 days between the establishment of a Trading Plan and commencement of any transactions under such plan. Subject to the terms of the Trading Plan, an individual may adopt more than one Trading Plan. Please review the following description of how a Trading Plan works.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10b5-1, an individual’s purchase or sale of securities will not be “on the basis of” material, non-public information if:</w:t>
      </w:r>
    </w:p>
    <w:p>
      <w:pPr>
        <w:spacing w:after="0" w:line="225" w:lineRule="exact"/>
        <w:rPr>
          <w:sz w:val="20"/>
          <w:szCs w:val="20"/>
          <w:color w:val="auto"/>
        </w:rPr>
      </w:pPr>
    </w:p>
    <w:p>
      <w:pPr>
        <w:ind w:left="960" w:right="320" w:hanging="315"/>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377"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Trading Plan must:</w:t>
      </w:r>
    </w:p>
    <w:p>
      <w:pPr>
        <w:spacing w:after="0" w:line="225" w:lineRule="exact"/>
        <w:rPr>
          <w:rFonts w:ascii="Times New Roman" w:cs="Times New Roman" w:eastAsia="Times New Roman" w:hAnsi="Times New Roman"/>
          <w:sz w:val="18"/>
          <w:szCs w:val="18"/>
          <w:color w:val="auto"/>
        </w:rPr>
      </w:pPr>
    </w:p>
    <w:p>
      <w:pPr>
        <w:ind w:left="1620" w:right="160" w:hanging="327"/>
        <w:spacing w:after="0" w:line="282" w:lineRule="auto"/>
        <w:tabs>
          <w:tab w:leader="none" w:pos="1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161" w:lineRule="exact"/>
        <w:rPr>
          <w:rFonts w:ascii="Times New Roman" w:cs="Times New Roman" w:eastAsia="Times New Roman" w:hAnsi="Times New Roman"/>
          <w:sz w:val="18"/>
          <w:szCs w:val="18"/>
          <w:color w:val="auto"/>
        </w:rPr>
      </w:pPr>
    </w:p>
    <w:p>
      <w:pPr>
        <w:ind w:left="1620" w:right="20" w:hanging="327"/>
        <w:spacing w:after="0" w:line="282" w:lineRule="auto"/>
        <w:tabs>
          <w:tab w:leader="none" w:pos="1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written formula or algorithm, or computer program, for determining the amount of securities to be purchased or sold and the price at which and the date on which the securities are to be purchased or sold; or</w:t>
      </w:r>
    </w:p>
    <w:p>
      <w:pPr>
        <w:spacing w:after="0" w:line="161" w:lineRule="exact"/>
        <w:rPr>
          <w:rFonts w:ascii="Times New Roman" w:cs="Times New Roman" w:eastAsia="Times New Roman" w:hAnsi="Times New Roman"/>
          <w:sz w:val="18"/>
          <w:szCs w:val="18"/>
          <w:color w:val="auto"/>
        </w:rPr>
      </w:pPr>
    </w:p>
    <w:p>
      <w:pPr>
        <w:ind w:left="1620" w:right="460" w:hanging="327"/>
        <w:spacing w:after="0" w:line="282" w:lineRule="auto"/>
        <w:tabs>
          <w:tab w:leader="none" w:pos="1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from exercising any subsequent influence over the purchase or sale of the Company’s stock under the Trading Plan in question.</w:t>
      </w:r>
    </w:p>
    <w:p>
      <w:pPr>
        <w:spacing w:after="0" w:line="161" w:lineRule="exact"/>
        <w:rPr>
          <w:rFonts w:ascii="Times New Roman" w:cs="Times New Roman" w:eastAsia="Times New Roman" w:hAnsi="Times New Roman"/>
          <w:sz w:val="18"/>
          <w:szCs w:val="18"/>
          <w:color w:val="auto"/>
        </w:rPr>
      </w:pPr>
    </w:p>
    <w:p>
      <w:pPr>
        <w:ind w:left="960" w:right="660" w:hanging="315"/>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purchase or sale must occur pursuant to the Trading Plan and the individual must not enter into a corresponding hedging transaction or alter or deviate from the Trading Plan.</w:t>
      </w:r>
    </w:p>
    <w:p>
      <w:pPr>
        <w:spacing w:after="0" w:line="162" w:lineRule="exact"/>
        <w:rPr>
          <w:sz w:val="20"/>
          <w:szCs w:val="20"/>
          <w:color w:val="auto"/>
        </w:rPr>
      </w:pPr>
    </w:p>
    <w:p>
      <w:pPr>
        <w:ind w:left="1620" w:hanging="327"/>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and Amendments to Trading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Revocation of Trading Plans should occur only in unusual circumstances. Effectiveness of any revocation, modification or amendment of a Trading Plan will be subject to the prior review and approval of the General Counsel, or if the General Counsel is unavailable, the Company’s Chief Financial Officer. Revocation is effected upon written notice to the broker. Once a Trading Plan has been revoked, the participant should wait at least 30 days before trading outside of a Trading Plan and 180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180-day bar will protect you from possible adverse legal consequences of a Trading Plan revocation.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person acting in good faith may amend a prior Trading Plan so long as such amendments are made outside of a quarterly blackout or other blackout period and at a time when the Trading Plan participant does not possess material, non-public information. Plan amendments require a cooling-off period of at least 30 days between the amendment of a Trading Plan and commencement of any transactions under such plan.</w:t>
      </w:r>
    </w:p>
    <w:p>
      <w:pPr>
        <w:spacing w:after="0" w:line="3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Trading Plan shall include provision for suspension or revocation in certain circumstances, such as the announcement of a merger or the occurrence of an event that would cause the transaction either to violate the law or be expected to have an adverse effect on the Company. The General Counsel or administrator of the Company’s stock plans is authorized to notify the broker in such circumstances, thereby insulating the Insider in the event of suspension or revocation.</w:t>
      </w:r>
    </w:p>
    <w:p>
      <w:pPr>
        <w:spacing w:after="0" w:line="396" w:lineRule="exact"/>
        <w:rPr>
          <w:sz w:val="20"/>
          <w:szCs w:val="20"/>
          <w:color w:val="auto"/>
        </w:rPr>
      </w:pPr>
    </w:p>
    <w:p>
      <w:pPr>
        <w:ind w:left="1620" w:hanging="327"/>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General Counsel, or if the General Counsel is unavailable, the Company’s Chief Financial Officer.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General Counsel of the Company, or if the General Counsel is unavailable, the Company’s Chief Financial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 by the General Counsel or, if applicable, the Chief Financial Officer.</w:t>
      </w:r>
    </w:p>
    <w:p>
      <w:pPr>
        <w:sectPr>
          <w:pgSz w:w="11900" w:h="16838" w:orient="portrait"/>
          <w:cols w:equalWidth="0" w:num="1">
            <w:col w:w="11040"/>
          </w:cols>
          <w:pgMar w:left="520" w:top="121" w:right="339" w:bottom="0" w:gutter="0" w:footer="0" w:header="0"/>
        </w:sectPr>
      </w:pPr>
    </w:p>
    <w:bookmarkStart w:id="165" w:name="page166"/>
    <w:bookmarkEnd w:id="165"/>
    <w:p>
      <w:pPr>
        <w:ind w:left="1640" w:hanging="327"/>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(if Required)</w:t>
      </w:r>
    </w:p>
    <w:p>
      <w:pPr>
        <w:spacing w:after="0" w:line="225"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If required, an SEC Form 144 will be completed and filed by the individual/brokerage firm in accordance with the existing rules regarding Form 144 filings. A footnote at the bottom of the Form 144 should indicate that the trades “are in accordance with a Trading Plan adopted under 10b5-1.” For Section 16 reporting persons, Forms 4 are required to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399" w:lineRule="exact"/>
        <w:rPr>
          <w:sz w:val="20"/>
          <w:szCs w:val="20"/>
          <w:color w:val="auto"/>
        </w:rPr>
      </w:pPr>
    </w:p>
    <w:p>
      <w:pPr>
        <w:ind w:left="1640" w:hanging="327"/>
        <w:spacing w:after="0"/>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200" w:lineRule="exact"/>
        <w:rPr>
          <w:sz w:val="20"/>
          <w:szCs w:val="20"/>
          <w:color w:val="auto"/>
        </w:rPr>
      </w:pPr>
    </w:p>
    <w:p>
      <w:pPr>
        <w:spacing w:after="0" w:line="241"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7" w:lineRule="exact"/>
        <w:rPr>
          <w:sz w:val="20"/>
          <w:szCs w:val="20"/>
          <w:color w:val="auto"/>
        </w:rPr>
      </w:pPr>
    </w:p>
    <w:p>
      <w:pPr>
        <w:ind w:left="1640" w:hanging="327"/>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Trading Plan</w:t>
      </w:r>
    </w:p>
    <w:p>
      <w:pPr>
        <w:spacing w:after="0" w:line="225"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trading in the Company securities not pursuant to an approved Trading Plan is allowed as long as the trading instructions in the approved Trading Plan continue to be followed.</w:t>
      </w:r>
    </w:p>
    <w:p>
      <w:pPr>
        <w:spacing w:after="0" w:line="162" w:lineRule="exact"/>
        <w:rPr>
          <w:sz w:val="20"/>
          <w:szCs w:val="20"/>
          <w:color w:val="auto"/>
        </w:rPr>
      </w:pPr>
    </w:p>
    <w:p>
      <w:pPr>
        <w:ind w:left="1640" w:hanging="327"/>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176" w:lineRule="exact"/>
        <w:rPr>
          <w:sz w:val="20"/>
          <w:szCs w:val="20"/>
          <w:color w:val="auto"/>
        </w:rPr>
      </w:pPr>
    </w:p>
    <w:p>
      <w:pPr>
        <w:ind w:left="1640" w:hanging="327"/>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p>
    <w:p>
      <w:pPr>
        <w:spacing w:after="0" w:line="225"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378" w:lineRule="exact"/>
        <w:rPr>
          <w:sz w:val="20"/>
          <w:szCs w:val="20"/>
          <w:color w:val="auto"/>
        </w:rPr>
      </w:pPr>
    </w:p>
    <w:p>
      <w:pPr>
        <w:ind w:left="1640" w:hanging="327"/>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Section 16 Protection</w:t>
      </w: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use of Trading Plans does not exempt participants from complying with the Section 16 reporting rules or liability for short-swing trades.</w:t>
      </w:r>
    </w:p>
    <w:p>
      <w:pPr>
        <w:spacing w:after="0" w:line="225" w:lineRule="exact"/>
        <w:rPr>
          <w:sz w:val="20"/>
          <w:szCs w:val="20"/>
          <w:color w:val="auto"/>
        </w:rPr>
      </w:pPr>
    </w:p>
    <w:p>
      <w:pPr>
        <w:ind w:left="1640" w:hanging="327"/>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p>
    <w:p>
      <w:pPr>
        <w:spacing w:after="0" w:line="225"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Authorizing Officer or the Company’s other employees will have any liability for any delay in reviewing, or refusal of, a Trading Plan submitted pursuant to this Section VI.A. Notwithstanding any review of a Trading Plan pursuant to this Section VI.A, none of the Company, the Authorizing Officer or the Company’s other employees assumes any liability for the legality or consequences relating to such Trading Plan to the person adopting such Trading Plan.</w:t>
      </w:r>
    </w:p>
    <w:p>
      <w:pPr>
        <w:spacing w:after="0" w:line="180" w:lineRule="exact"/>
        <w:rPr>
          <w:sz w:val="20"/>
          <w:szCs w:val="20"/>
          <w:color w:val="auto"/>
        </w:rPr>
      </w:pPr>
    </w:p>
    <w:p>
      <w:pPr>
        <w:ind w:left="980" w:hanging="315"/>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Insider Reporting Requirements, Short-Swing Profits and Short Sales (Applicable to Officers, Directors and 10% Stockholders)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640" w:hanging="327"/>
        <w:spacing w:after="0"/>
        <w:tabs>
          <w:tab w:leader="none" w:pos="16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Obligations Under Section 16(a): SEC Forms 3, 4 and 5</w:t>
      </w:r>
    </w:p>
    <w:p>
      <w:pPr>
        <w:spacing w:after="0" w:line="200" w:lineRule="exact"/>
        <w:rPr>
          <w:sz w:val="20"/>
          <w:szCs w:val="20"/>
          <w:color w:val="auto"/>
        </w:rPr>
      </w:pPr>
    </w:p>
    <w:p>
      <w:pPr>
        <w:spacing w:after="0" w:line="241"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Section 16(a) of the 1934 Act generally requires all officers, directors (each, a “</w:t>
      </w:r>
      <w:r>
        <w:rPr>
          <w:rFonts w:ascii="Times New Roman" w:cs="Times New Roman" w:eastAsia="Times New Roman" w:hAnsi="Times New Roman"/>
          <w:sz w:val="18"/>
          <w:szCs w:val="18"/>
          <w:u w:val="single" w:color="auto"/>
          <w:color w:val="auto"/>
        </w:rPr>
        <w:t>Section 16 insider</w:t>
      </w:r>
      <w:r>
        <w:rPr>
          <w:rFonts w:ascii="Times New Roman" w:cs="Times New Roman" w:eastAsia="Times New Roman" w:hAnsi="Times New Roman"/>
          <w:sz w:val="18"/>
          <w:szCs w:val="18"/>
          <w:color w:val="auto"/>
        </w:rPr>
        <w:t>”) and beneficial owners of more than ten percent of our outstanding stock (each, a “</w:t>
      </w:r>
      <w:r>
        <w:rPr>
          <w:rFonts w:ascii="Times New Roman" w:cs="Times New Roman" w:eastAsia="Times New Roman" w:hAnsi="Times New Roman"/>
          <w:sz w:val="18"/>
          <w:szCs w:val="18"/>
          <w:u w:val="single" w:color="auto"/>
          <w:color w:val="auto"/>
        </w:rPr>
        <w:t>10% stockholder</w:t>
      </w:r>
      <w:r>
        <w:rPr>
          <w:rFonts w:ascii="Times New Roman" w:cs="Times New Roman" w:eastAsia="Times New Roman" w:hAnsi="Times New Roman"/>
          <w:sz w:val="18"/>
          <w:szCs w:val="18"/>
          <w:color w:val="auto"/>
        </w:rPr>
        <w:t xml:space="preserve">”), within 10 days after the Section 16 insider becomes an officer, director, or 10% stockholder, to file with the SEC an “Initial Statement of Beneficial Ownership of Securities” on Form 3 listing the amount of the Company’s stock, options and warrants which the Section 16 insider beneficially owns. Following the initial filing on Form 3, changes in beneficial ownership of the Company’s stock, options and warrants must be reported on Form 4, generally within two business days after the date on which such change occurs, or in certain cases on Form 5, within 45 days after fiscal year end. A Form 4 must be filed even if, as a result of balancing transactions, there has been no net change in holdings. In certain situations, purchases or sales of Company stock made within six months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to the filing of a Form 3 must be reported on Form 4. Similarly, certain purchases or sales of Company stock made within six months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an officer or director ceases to be an Insider must be reported on Form 4.</w:t>
      </w:r>
    </w:p>
    <w:p>
      <w:pPr>
        <w:spacing w:after="0" w:line="188" w:lineRule="exact"/>
        <w:rPr>
          <w:sz w:val="20"/>
          <w:szCs w:val="20"/>
          <w:color w:val="auto"/>
        </w:rPr>
      </w:pPr>
    </w:p>
    <w:p>
      <w:pPr>
        <w:ind w:left="1640" w:hanging="327"/>
        <w:spacing w:after="0"/>
        <w:tabs>
          <w:tab w:leader="none" w:pos="1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Profits Under Section 16(b)</w:t>
      </w:r>
    </w:p>
    <w:p>
      <w:pPr>
        <w:spacing w:after="0" w:line="225"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For the purpose of preventing the unfair use of information which may have been obtained by a Section 16 insider, any profits realized by any officer, director or 10% stockholder from any “purchase” and “sale” of Company stock during a six-month period (so called “</w:t>
      </w:r>
      <w:r>
        <w:rPr>
          <w:rFonts w:ascii="Times New Roman" w:cs="Times New Roman" w:eastAsia="Times New Roman" w:hAnsi="Times New Roman"/>
          <w:sz w:val="18"/>
          <w:szCs w:val="18"/>
          <w:u w:val="single" w:color="auto"/>
          <w:color w:val="auto"/>
        </w:rPr>
        <w:t>short-swing profits</w:t>
      </w:r>
      <w:r>
        <w:rPr>
          <w:rFonts w:ascii="Times New Roman" w:cs="Times New Roman" w:eastAsia="Times New Roman" w:hAnsi="Times New Roman"/>
          <w:sz w:val="18"/>
          <w:szCs w:val="18"/>
          <w:color w:val="auto"/>
        </w:rPr>
        <w:t>”) are subject to recovery by the Company. When such a purchase and sale occurs, good faith is no defense. The Section 16 insider is liable even if compelled to sell for personal reasons, and even if the sale takes place after full disclosure and without the use of any inside information.</w:t>
      </w:r>
    </w:p>
    <w:p>
      <w:pPr>
        <w:spacing w:after="0" w:line="180"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w:t>
      </w:r>
    </w:p>
    <w:p>
      <w:pPr>
        <w:sectPr>
          <w:pgSz w:w="11900" w:h="16838" w:orient="portrait"/>
          <w:cols w:equalWidth="0" w:num="1">
            <w:col w:w="11060"/>
          </w:cols>
          <w:pgMar w:left="500" w:top="553" w:right="339" w:bottom="0" w:gutter="0" w:footer="0" w:header="0"/>
        </w:sectPr>
      </w:pPr>
    </w:p>
    <w:bookmarkStart w:id="166" w:name="page167"/>
    <w:bookmarkEnd w:id="166"/>
    <w:p>
      <w:pPr>
        <w:jc w:val="both"/>
        <w:spacing w:after="0" w:line="258" w:lineRule="auto"/>
        <w:rPr>
          <w:sz w:val="20"/>
          <w:szCs w:val="20"/>
          <w:color w:val="auto"/>
        </w:rPr>
      </w:pPr>
      <w:r>
        <w:rPr>
          <w:rFonts w:ascii="Times New Roman" w:cs="Times New Roman" w:eastAsia="Times New Roman" w:hAnsi="Times New Roman"/>
          <w:sz w:val="18"/>
          <w:szCs w:val="18"/>
          <w:color w:val="auto"/>
        </w:rPr>
        <w:t>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Section 16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Officers and directors should consult the attached “Short-Swing Profit Rule Section 16(b) Checklist” attached hereto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in addition to consulting the General Counsel or, if applicable, the Chief Financial Officer, prior to engaging in any transactions involving the Company’s securities, including without limitation, the Company’s stock, options or warrants.</w:t>
      </w:r>
    </w:p>
    <w:p>
      <w:pPr>
        <w:spacing w:after="0" w:line="176" w:lineRule="exact"/>
        <w:rPr>
          <w:sz w:val="20"/>
          <w:szCs w:val="20"/>
          <w:color w:val="auto"/>
        </w:rPr>
      </w:pPr>
    </w:p>
    <w:p>
      <w:pPr>
        <w:ind w:left="1620" w:hanging="327"/>
        <w:spacing w:after="0"/>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 Prohibited Under Section 16(c)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General Counsel should be consulted if you have any questions regarding reporting obligations, short-swing profits or short sales under Section 16.</w:t>
      </w:r>
    </w:p>
    <w:p>
      <w:pPr>
        <w:spacing w:after="0" w:line="162" w:lineRule="exact"/>
        <w:rPr>
          <w:sz w:val="20"/>
          <w:szCs w:val="20"/>
          <w:color w:val="auto"/>
        </w:rPr>
      </w:pPr>
    </w:p>
    <w:p>
      <w:pPr>
        <w:ind w:left="960" w:hanging="315"/>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(Applicable to Officers, Directors and 10% Stockholders)</w:t>
      </w:r>
    </w:p>
    <w:p>
      <w:pPr>
        <w:spacing w:after="0" w:line="22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cs="Times New Roman" w:eastAsia="Times New Roman" w:hAnsi="Times New Roman"/>
          <w:sz w:val="17"/>
          <w:szCs w:val="17"/>
          <w:i w:val="1"/>
          <w:iCs w:val="1"/>
          <w:color w:val="auto"/>
        </w:rPr>
        <w:t>any</w:t>
      </w:r>
      <w:r>
        <w:rPr>
          <w:rFonts w:ascii="Times New Roman" w:cs="Times New Roman" w:eastAsia="Times New Roman" w:hAnsi="Times New Roman"/>
          <w:sz w:val="17"/>
          <w:szCs w:val="17"/>
          <w:color w:val="auto"/>
        </w:rPr>
        <w:t xml:space="preserve"> securities owned by directors, executive officers or other “affiliates” of the issuer, including stock purchased in the open market and stock received upon exercise of stock options. Sales of Company securities by affiliates (generally, directors, officers and 10% stockholders of the Company) must comply with the requirements of Rule 144, which are summarized below:</w:t>
      </w:r>
    </w:p>
    <w:p>
      <w:pPr>
        <w:spacing w:after="0" w:line="164" w:lineRule="exact"/>
        <w:rPr>
          <w:sz w:val="20"/>
          <w:szCs w:val="20"/>
          <w:color w:val="auto"/>
        </w:rPr>
      </w:pPr>
    </w:p>
    <w:p>
      <w:pPr>
        <w:ind w:left="960" w:hanging="315"/>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 Public Information. </w:t>
      </w:r>
      <w:r>
        <w:rPr>
          <w:rFonts w:ascii="Times New Roman" w:cs="Times New Roman" w:eastAsia="Times New Roman" w:hAnsi="Times New Roman"/>
          <w:sz w:val="18"/>
          <w:szCs w:val="18"/>
          <w:color w:val="auto"/>
        </w:rPr>
        <w:t>The Company must have filed all SEC-required reports during the last 12 months.</w:t>
      </w:r>
    </w:p>
    <w:p>
      <w:pPr>
        <w:spacing w:after="0" w:line="225" w:lineRule="exact"/>
        <w:rPr>
          <w:rFonts w:ascii="Times New Roman" w:cs="Times New Roman" w:eastAsia="Times New Roman" w:hAnsi="Times New Roman"/>
          <w:sz w:val="18"/>
          <w:szCs w:val="18"/>
          <w:color w:val="auto"/>
        </w:rPr>
      </w:pPr>
    </w:p>
    <w:p>
      <w:pPr>
        <w:ind w:left="960" w:right="120" w:hanging="315"/>
        <w:spacing w:after="0" w:line="26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Volume Limitations. </w:t>
      </w:r>
      <w:r>
        <w:rPr>
          <w:rFonts w:ascii="Times New Roman" w:cs="Times New Roman" w:eastAsia="Times New Roman" w:hAnsi="Times New Roman"/>
          <w:sz w:val="18"/>
          <w:szCs w:val="18"/>
          <w:color w:val="auto"/>
        </w:rPr>
        <w:t>Total sales of Company common stock by a covered individual for any three-month period may not exceed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greater </w:t>
      </w:r>
      <w:r>
        <w:rPr>
          <w:rFonts w:ascii="Times New Roman" w:cs="Times New Roman" w:eastAsia="Times New Roman" w:hAnsi="Times New Roman"/>
          <w:sz w:val="18"/>
          <w:szCs w:val="18"/>
          <w:color w:val="auto"/>
        </w:rPr>
        <w:t>of: (i) 1% of the total number of outstanding shares of Company common stock, as reflected in the most recent report or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published by the Company, or (ii) the average weekly reported volume of such shares traded during the four calendar weeks preceding the filing of the requisite Form 144.</w:t>
      </w:r>
    </w:p>
    <w:p>
      <w:pPr>
        <w:spacing w:after="0" w:line="176" w:lineRule="exact"/>
        <w:rPr>
          <w:rFonts w:ascii="Times New Roman" w:cs="Times New Roman" w:eastAsia="Times New Roman" w:hAnsi="Times New Roman"/>
          <w:sz w:val="18"/>
          <w:szCs w:val="18"/>
          <w:color w:val="auto"/>
        </w:rPr>
      </w:pPr>
    </w:p>
    <w:p>
      <w:pPr>
        <w:ind w:left="960" w:right="100" w:hanging="315"/>
        <w:spacing w:after="0" w:line="257"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Method of Sale. </w:t>
      </w:r>
      <w:r>
        <w:rPr>
          <w:rFonts w:ascii="Times New Roman" w:cs="Times New Roman" w:eastAsia="Times New Roman" w:hAnsi="Times New Roman"/>
          <w:sz w:val="18"/>
          <w:szCs w:val="18"/>
          <w:color w:val="auto"/>
        </w:rPr>
        <w:t>The shares must be sold either in a “broker’s transaction” or in a transaction directly with a “market maker.” A “broker’s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182" w:lineRule="exact"/>
        <w:rPr>
          <w:rFonts w:ascii="Times New Roman" w:cs="Times New Roman" w:eastAsia="Times New Roman" w:hAnsi="Times New Roman"/>
          <w:sz w:val="18"/>
          <w:szCs w:val="18"/>
          <w:color w:val="auto"/>
        </w:rPr>
      </w:pPr>
    </w:p>
    <w:p>
      <w:pPr>
        <w:ind w:left="960" w:right="360" w:hanging="315"/>
        <w:spacing w:after="0" w:line="268"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of Proposed Sale. </w:t>
      </w:r>
      <w:r>
        <w:rPr>
          <w:rFonts w:ascii="Times New Roman" w:cs="Times New Roman" w:eastAsia="Times New Roman" w:hAnsi="Times New Roman"/>
          <w:sz w:val="18"/>
          <w:szCs w:val="18"/>
          <w:color w:val="auto"/>
        </w:rPr>
        <w:t>A notice of the sale (a Form 144) must be filed with the SEC at the time of the sale. Brokers generally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procedures for executing sales under Rule 144 and will assist you in completing the Form 144 and in complying with the other requirements of Rule 144.</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are subject to Rule 144, you must instruct your broker who handles trades in Company securities to follow the brokerage firm’s Rule 144 compliance procedures in connection with all trades.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EXECUTION AND RETURN OF CERTIFICATION OF COMPLIANCE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After reading this Policy, all Non-Employee Directors, Executive Officers and Applicable Consultants must execute and return to the General Counsel the Certification of Compliance form attached hereto as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All other management and employees must certify online upon completion of the Company’s mandatory insider trading training course that they have read and understand this Policy and that they agree to comply with it (the “</w:t>
      </w:r>
      <w:r>
        <w:rPr>
          <w:rFonts w:ascii="Times New Roman" w:cs="Times New Roman" w:eastAsia="Times New Roman" w:hAnsi="Times New Roman"/>
          <w:sz w:val="18"/>
          <w:szCs w:val="18"/>
          <w:u w:val="single" w:color="auto"/>
          <w:color w:val="auto"/>
        </w:rPr>
        <w:t>Online Certification of Compliance</w:t>
      </w:r>
      <w:r>
        <w:rPr>
          <w:rFonts w:ascii="Times New Roman" w:cs="Times New Roman" w:eastAsia="Times New Roman" w:hAnsi="Times New Roman"/>
          <w:sz w:val="18"/>
          <w:szCs w:val="18"/>
          <w:color w:val="auto"/>
        </w:rPr>
        <w:t xml:space="preserve">”). The Online Certification of Compliance is the same in all material respects as the Certification of Compliance form attached hereto as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SHORT-SWING PROFIT RULE SECTION 16(B) CHECKLIST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Venus Concept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sale is to be made by an officer, director or 10% stockholder (or any family member living in the same household or certain affiliated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w:t>
      </w:r>
    </w:p>
    <w:p>
      <w:pPr>
        <w:sectPr>
          <w:pgSz w:w="11900" w:h="16838" w:orient="portrait"/>
          <w:cols w:equalWidth="0" w:num="1">
            <w:col w:w="11040"/>
          </w:cols>
          <w:pgMar w:left="520" w:top="121" w:right="339" w:bottom="159" w:gutter="0" w:footer="0" w:header="0"/>
        </w:sectPr>
      </w:pPr>
    </w:p>
    <w:bookmarkStart w:id="167" w:name="page168"/>
    <w:bookmarkEnd w:id="167"/>
    <w:p>
      <w:pPr>
        <w:ind w:left="1500" w:right="40" w:firstLine="2"/>
        <w:spacing w:after="0" w:line="282" w:lineRule="auto"/>
        <w:tabs>
          <w:tab w:leader="none" w:pos="18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purchases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820" w:hanging="318"/>
        <w:spacing w:after="0"/>
        <w:tabs>
          <w:tab w:leader="none" w:pos="18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option grants or exercises not exempt under Rule 16b-3 within the past six months?</w:t>
      </w:r>
    </w:p>
    <w:p>
      <w:pPr>
        <w:spacing w:after="0" w:line="225" w:lineRule="exact"/>
        <w:rPr>
          <w:rFonts w:ascii="Times New Roman" w:cs="Times New Roman" w:eastAsia="Times New Roman" w:hAnsi="Times New Roman"/>
          <w:sz w:val="18"/>
          <w:szCs w:val="18"/>
          <w:color w:val="auto"/>
        </w:rPr>
      </w:pPr>
    </w:p>
    <w:p>
      <w:pPr>
        <w:ind w:left="1800" w:hanging="298"/>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purchases (or non-exempt option exercises) anticipated or required within the next six months?</w:t>
      </w:r>
    </w:p>
    <w:p>
      <w:pPr>
        <w:spacing w:after="0" w:line="225" w:lineRule="exact"/>
        <w:rPr>
          <w:rFonts w:ascii="Times New Roman" w:cs="Times New Roman" w:eastAsia="Times New Roman" w:hAnsi="Times New Roman"/>
          <w:sz w:val="18"/>
          <w:szCs w:val="18"/>
          <w:color w:val="auto"/>
        </w:rPr>
      </w:pPr>
    </w:p>
    <w:p>
      <w:pPr>
        <w:ind w:left="1820" w:hanging="327"/>
        <w:spacing w:after="0"/>
        <w:tabs>
          <w:tab w:leader="none" w:pos="18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5" w:lineRule="exact"/>
        <w:rPr>
          <w:sz w:val="20"/>
          <w:szCs w:val="20"/>
          <w:color w:val="auto"/>
        </w:rPr>
      </w:pPr>
    </w:p>
    <w:p>
      <w:pPr>
        <w:ind w:left="200" w:firstLine="648"/>
        <w:spacing w:after="0" w:line="282" w:lineRule="auto"/>
        <w:rPr>
          <w:sz w:val="20"/>
          <w:szCs w:val="20"/>
          <w:color w:val="auto"/>
        </w:rPr>
      </w:pPr>
      <w:r>
        <w:rPr>
          <w:rFonts w:ascii="Times New Roman" w:cs="Times New Roman" w:eastAsia="Times New Roman" w:hAnsi="Times New Roman"/>
          <w:sz w:val="18"/>
          <w:szCs w:val="18"/>
          <w:color w:val="auto"/>
        </w:rPr>
        <w:t>Note: If a sale is to be made by an affiliate of the Company, has a Form 144 been prepared and has the broker been reminded to sell pursuant to Rule 144 under the Securities Act of 1933, as amended?</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Purchases And Option Exercises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a purchase or option exercise for Company stock is to be made:</w:t>
      </w:r>
    </w:p>
    <w:p>
      <w:pPr>
        <w:spacing w:after="0" w:line="225" w:lineRule="exact"/>
        <w:rPr>
          <w:sz w:val="20"/>
          <w:szCs w:val="20"/>
          <w:color w:val="auto"/>
        </w:rPr>
      </w:pPr>
    </w:p>
    <w:p>
      <w:pPr>
        <w:ind w:left="1500" w:right="120" w:firstLine="2"/>
        <w:spacing w:after="0" w:line="282" w:lineRule="auto"/>
        <w:tabs>
          <w:tab w:leader="none" w:pos="18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sales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800" w:hanging="298"/>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sales anticipated or required within the next six months (such as tax-related or year-end transactions)?</w:t>
      </w:r>
    </w:p>
    <w:p>
      <w:pPr>
        <w:spacing w:after="0" w:line="225" w:lineRule="exact"/>
        <w:rPr>
          <w:rFonts w:ascii="Times New Roman" w:cs="Times New Roman" w:eastAsia="Times New Roman" w:hAnsi="Times New Roman"/>
          <w:sz w:val="18"/>
          <w:szCs w:val="18"/>
          <w:color w:val="auto"/>
        </w:rPr>
      </w:pPr>
    </w:p>
    <w:p>
      <w:pPr>
        <w:ind w:left="1820" w:hanging="327"/>
        <w:spacing w:after="0"/>
        <w:tabs>
          <w:tab w:leader="none" w:pos="18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1" w:lineRule="exact"/>
        <w:rPr>
          <w:sz w:val="20"/>
          <w:szCs w:val="20"/>
          <w:color w:val="auto"/>
        </w:rPr>
      </w:pPr>
    </w:p>
    <w:p>
      <w:pPr>
        <w:jc w:val="both"/>
        <w:ind w:lef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Before proceeding with a purchase or sale, consider whether you are aware of material inside information which could affect the price of the Company stock. All transactions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by officers and directors must be pre-cleared by contacting the General Counsel, or if the General Counsel is unavailable,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Chief Financial Officer.</w:t>
      </w:r>
    </w:p>
    <w:p>
      <w:pPr>
        <w:spacing w:after="0" w:line="1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ATTACHMENT B CERTIFICATION OF COMPLIANCE</w:t>
      </w:r>
    </w:p>
    <w:p>
      <w:pPr>
        <w:spacing w:after="0" w:line="227" w:lineRule="exact"/>
        <w:rPr>
          <w:sz w:val="20"/>
          <w:szCs w:val="20"/>
          <w:color w:val="auto"/>
        </w:rPr>
      </w:pPr>
    </w:p>
    <w:p>
      <w:pPr>
        <w:ind w:left="2180"/>
        <w:spacing w:after="0"/>
        <w:tabs>
          <w:tab w:leader="none" w:pos="3740" w:val="left"/>
          <w:tab w:leader="none" w:pos="6280" w:val="left"/>
        </w:tabs>
        <w:rPr>
          <w:sz w:val="20"/>
          <w:szCs w:val="20"/>
          <w:color w:val="auto"/>
        </w:rPr>
      </w:pPr>
      <w:r>
        <w:rPr>
          <w:rFonts w:ascii="Times New Roman" w:cs="Times New Roman" w:eastAsia="Times New Roman" w:hAnsi="Times New Roman"/>
          <w:sz w:val="18"/>
          <w:szCs w:val="18"/>
          <w:color w:val="auto"/>
        </w:rPr>
        <w:t>RETURN BY [</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[insert return deadline]</w:t>
      </w:r>
      <w:r>
        <w:rPr>
          <w:rFonts w:ascii="Times New Roman" w:cs="Times New Roman" w:eastAsia="Times New Roman" w:hAnsi="Times New Roman"/>
          <w:sz w:val="18"/>
          <w:szCs w:val="18"/>
          <w:color w:val="auto"/>
        </w:rPr>
        <w:t xml:space="preserve"> TO:</w:t>
      </w:r>
      <w:r>
        <w:rPr>
          <w:sz w:val="20"/>
          <w:szCs w:val="20"/>
          <w:color w:val="auto"/>
        </w:rPr>
        <w:tab/>
      </w:r>
      <w:r>
        <w:rPr>
          <w:rFonts w:ascii="Times New Roman" w:cs="Times New Roman" w:eastAsia="Times New Roman" w:hAnsi="Times New Roman"/>
          <w:sz w:val="17"/>
          <w:szCs w:val="17"/>
          <w:color w:val="auto"/>
        </w:rPr>
        <w:t>Michael Mandarello,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-6350</wp:posOffset>
            </wp:positionV>
            <wp:extent cx="2857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5">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-19050</wp:posOffset>
            </wp:positionV>
            <wp:extent cx="285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9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87" w:lineRule="exact"/>
        <w:rPr>
          <w:sz w:val="20"/>
          <w:szCs w:val="20"/>
          <w:color w:val="auto"/>
        </w:rPr>
      </w:pPr>
    </w:p>
    <w:p>
      <w:pPr>
        <w:ind w:left="20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INSIDER TRADING COMPLIANCE POLICY OF VENUS CONCEPT INC.</w:t>
      </w:r>
    </w:p>
    <w:p>
      <w:pPr>
        <w:spacing w:after="0" w:line="225" w:lineRule="exact"/>
        <w:rPr>
          <w:sz w:val="20"/>
          <w:szCs w:val="20"/>
          <w:color w:val="auto"/>
        </w:rPr>
      </w:pPr>
    </w:p>
    <w:p>
      <w:pPr>
        <w:jc w:val="both"/>
        <w:ind w:left="200" w:right="20" w:firstLine="1296"/>
        <w:spacing w:after="0" w:line="266" w:lineRule="auto"/>
        <w:rPr>
          <w:sz w:val="20"/>
          <w:szCs w:val="20"/>
          <w:color w:val="auto"/>
        </w:rPr>
      </w:pPr>
      <w:r>
        <w:rPr>
          <w:rFonts w:ascii="Times New Roman" w:cs="Times New Roman" w:eastAsia="Times New Roman" w:hAnsi="Times New Roman"/>
          <w:sz w:val="18"/>
          <w:szCs w:val="18"/>
          <w:color w:val="auto"/>
        </w:rPr>
        <w:t>I have received, read and understand the above-referenced Insider Trading Compliance Policy and undertake, as a condition to my present and continued employment with (or, if I am not an employee, affiliation with) Venus Concept Inc., to comply fully with the policies and procedures contained therein.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 also hereby certify, to the best of my knowledge, that during the calendar year ending December 31, ____, I have complied fully with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all policies and procedures set forth in the Policy.</w:t>
      </w:r>
    </w:p>
    <w:p>
      <w:pPr>
        <w:spacing w:after="0" w:line="200" w:lineRule="exact"/>
        <w:rPr>
          <w:sz w:val="20"/>
          <w:szCs w:val="20"/>
          <w:color w:val="auto"/>
        </w:rPr>
      </w:pPr>
    </w:p>
    <w:p>
      <w:pPr>
        <w:spacing w:after="0" w:line="22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EXAMPLES OF MATERIAL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Changes in corporate structure</w:t>
      </w:r>
    </w:p>
    <w:p>
      <w:pPr>
        <w:spacing w:after="0" w:line="31" w:lineRule="exact"/>
        <w:rPr>
          <w:sz w:val="20"/>
          <w:szCs w:val="20"/>
          <w:color w:val="auto"/>
        </w:rPr>
      </w:pPr>
    </w:p>
    <w:p>
      <w:pPr>
        <w:ind w:left="740" w:hanging="327"/>
        <w:spacing w:after="0"/>
        <w:tabs>
          <w:tab w:leader="none" w:pos="7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 ownership that may affect control of the company</w:t>
      </w:r>
    </w:p>
    <w:p>
      <w:pPr>
        <w:spacing w:after="0" w:line="20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structure such as reorganizations, amalgamations, or mergers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bids, issuer bids, or insider bids</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31" w:lineRule="exact"/>
        <w:rPr>
          <w:sz w:val="20"/>
          <w:szCs w:val="20"/>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or private sale of additional securities</w:t>
      </w:r>
    </w:p>
    <w:p>
      <w:pPr>
        <w:spacing w:after="0" w:line="20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repurchases or redemptions of securities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splits of common shares or offerings of warrants or rights to buy shares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consolidation, share exchange, or stock dividend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company’s dividend payments or policies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initiation of a proxy fight</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modifications to the rights of security holders</w:t>
      </w:r>
    </w:p>
    <w:p>
      <w:pPr>
        <w:sectPr>
          <w:pgSz w:w="11900" w:h="16838" w:orient="portrait"/>
          <w:cols w:equalWidth="0" w:num="1">
            <w:col w:w="11240"/>
          </w:cols>
          <w:pgMar w:left="320" w:top="121" w:right="339" w:bottom="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Changes in financial results</w:t>
      </w:r>
    </w:p>
    <w:p>
      <w:pPr>
        <w:spacing w:after="0" w:line="31" w:lineRule="exact"/>
        <w:rPr>
          <w:sz w:val="20"/>
          <w:szCs w:val="20"/>
          <w:color w:val="auto"/>
        </w:rPr>
      </w:pPr>
    </w:p>
    <w:p>
      <w:pPr>
        <w:ind w:left="640" w:hanging="327"/>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or decrease in near-term earnings prospects</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financial results for any period</w:t>
      </w:r>
    </w:p>
    <w:p>
      <w:pPr>
        <w:spacing w:after="0" w:line="225"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financial circumstances, such as cash flow reductions, major asset write-offs or write-downs</w:t>
      </w:r>
    </w:p>
    <w:p>
      <w:pPr>
        <w:spacing w:after="0" w:line="27"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or composition of the company’s assets</w:t>
      </w:r>
    </w:p>
    <w:p>
      <w:pPr>
        <w:spacing w:after="0" w:line="9"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company’s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business and operations</w:t>
      </w:r>
    </w:p>
    <w:p>
      <w:pPr>
        <w:spacing w:after="0" w:line="31" w:lineRule="exact"/>
        <w:rPr>
          <w:sz w:val="20"/>
          <w:szCs w:val="20"/>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that affects the company’s resources, technology, products or markets</w:t>
      </w:r>
    </w:p>
    <w:p>
      <w:pPr>
        <w:spacing w:after="0" w:line="9"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capital investment plans or corporate objectives</w:t>
      </w:r>
    </w:p>
    <w:p>
      <w:pPr>
        <w:spacing w:after="0" w:line="9"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labour disputes or disputes with major contractors or suppliers</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products, patents, or services or significant losses of contracts or business</w:t>
      </w:r>
    </w:p>
    <w:p>
      <w:pPr>
        <w:spacing w:after="0" w:line="27"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discoveries by resource companies</w:t>
      </w:r>
    </w:p>
    <w:p>
      <w:pPr>
        <w:spacing w:after="0" w:line="206" w:lineRule="exact"/>
        <w:rPr>
          <w:rFonts w:ascii="Times New Roman" w:cs="Times New Roman" w:eastAsia="Times New Roman" w:hAnsi="Times New Roman"/>
          <w:sz w:val="18"/>
          <w:szCs w:val="18"/>
          <w:color w:val="auto"/>
        </w:rPr>
      </w:pPr>
    </w:p>
    <w:p>
      <w:pPr>
        <w:ind w:left="640" w:hanging="327"/>
        <w:spacing w:after="0" w:line="261"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Board or executive management, including the departure of the company’s Chairman, CEO, CFO (or persons in equivalent positions)</w:t>
      </w: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or developments in, material legal proceedings or regulatory matters</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of corporate ethics and conduct rules for officers, directors, and other key employees</w:t>
      </w:r>
    </w:p>
    <w:p>
      <w:pPr>
        <w:spacing w:after="0" w:line="27"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that reliance on a prior audit is no longer permissible</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the company’s securities or their movement from one quotation system or exchange to another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31" w:lineRule="exact"/>
        <w:rPr>
          <w:sz w:val="20"/>
          <w:szCs w:val="20"/>
          <w:color w:val="auto"/>
        </w:rPr>
      </w:pPr>
    </w:p>
    <w:p>
      <w:pPr>
        <w:ind w:left="640" w:hanging="327"/>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dispositions of assets, property or joint venture interests</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other companies, including a take-over bid for, or merger with, another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credit arrangements</w:t>
      </w:r>
    </w:p>
    <w:p>
      <w:pPr>
        <w:spacing w:after="0" w:line="31" w:lineRule="exact"/>
        <w:rPr>
          <w:sz w:val="20"/>
          <w:szCs w:val="20"/>
          <w:color w:val="auto"/>
        </w:rPr>
      </w:pPr>
    </w:p>
    <w:p>
      <w:pPr>
        <w:ind w:left="640" w:hanging="327"/>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or lending of a significant amount of money</w:t>
      </w:r>
    </w:p>
    <w:p>
      <w:pPr>
        <w:spacing w:after="0" w:line="9"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mortgaging or encumbering of the company’s assets</w:t>
      </w:r>
    </w:p>
    <w:p>
      <w:pPr>
        <w:spacing w:after="0" w:line="206"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under debt obligations, agreements to restructure debt, or planned enforcement procedures by a bank or any other creditors</w:t>
      </w:r>
    </w:p>
    <w:p>
      <w:pPr>
        <w:spacing w:after="0" w:line="27"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rating agency decisions</w:t>
      </w:r>
    </w:p>
    <w:p>
      <w:pPr>
        <w:spacing w:after="0" w:line="9"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credit arrangements</w:t>
      </w:r>
    </w:p>
    <w:p>
      <w:pPr>
        <w:sectPr>
          <w:pgSz w:w="11900" w:h="16838" w:orient="portrait"/>
          <w:cols w:equalWidth="0" w:num="1">
            <w:col w:w="10560"/>
          </w:cols>
          <w:pgMar w:left="420" w:top="117" w:right="9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94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391"/>
        </w:trPr>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No.</w:t>
            </w:r>
          </w:p>
        </w:tc>
        <w:tc>
          <w:tcPr>
            <w:tcW w:w="244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VENUS CONCEPT INC.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SUBSIDIARIES</w:t>
            </w:r>
          </w:p>
        </w:tc>
        <w:tc>
          <w:tcPr>
            <w:tcW w:w="394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0" w:type="dxa"/>
            <w:vAlign w:val="bottom"/>
          </w:tcPr>
          <w:p>
            <w:pPr>
              <w:spacing w:after="0"/>
              <w:rPr>
                <w:sz w:val="1"/>
                <w:szCs w:val="1"/>
                <w:color w:val="auto"/>
              </w:rPr>
            </w:pPr>
          </w:p>
        </w:tc>
      </w:tr>
      <w:tr>
        <w:trPr>
          <w:trHeight w:val="237"/>
        </w:trPr>
        <w:tc>
          <w:tcPr>
            <w:tcW w:w="1480" w:type="dxa"/>
            <w:vAlign w:val="bottom"/>
            <w:vMerge w:val="continue"/>
          </w:tcPr>
          <w:p>
            <w:pPr>
              <w:spacing w:after="0"/>
              <w:rPr>
                <w:sz w:val="20"/>
                <w:szCs w:val="20"/>
                <w:color w:val="auto"/>
              </w:rPr>
            </w:pPr>
          </w:p>
        </w:tc>
        <w:tc>
          <w:tcPr>
            <w:tcW w:w="58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1</w:t>
            </w:r>
          </w:p>
        </w:tc>
        <w:tc>
          <w:tcPr>
            <w:tcW w:w="5840" w:type="dxa"/>
            <w:vAlign w:val="bottom"/>
            <w:tcBorders>
              <w:top w:val="single" w:sz="8" w:color="auto"/>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7"/>
              </w:rPr>
              <w:t>Venus Concept SL</w:t>
            </w:r>
          </w:p>
        </w:tc>
        <w:tc>
          <w:tcPr>
            <w:tcW w:w="3920" w:type="dxa"/>
            <w:vAlign w:val="bottom"/>
            <w:tcBorders>
              <w:top w:val="single" w:sz="8" w:color="auto"/>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7"/>
              </w:rPr>
              <w:t>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2</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Mexico SA DE SV</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3</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7"/>
              </w:rPr>
              <w:t>Venus Concept GmbH</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4</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Australia PTY Ltd</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8"/>
              </w:rPr>
              <w:t>Victoria, 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5</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8"/>
              </w:rPr>
              <w:t>Venus Concept USA, Inc.</w:t>
            </w:r>
          </w:p>
        </w:tc>
        <w:tc>
          <w:tcPr>
            <w:tcW w:w="39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Delaware,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6</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Canada Corp.</w:t>
            </w:r>
          </w:p>
        </w:tc>
        <w:tc>
          <w:tcPr>
            <w:tcW w:w="39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Ontario, 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7</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Ltd.</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8</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Israel Ltd.</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9</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Venus Concept (Shanghai) Co., Ltd.</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8"/>
              </w:rPr>
              <w:t>Venus Concept (HK) Limited</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88"/>
              </w:rPr>
              <w:t>11</w:t>
            </w:r>
          </w:p>
        </w:tc>
        <w:tc>
          <w:tcPr>
            <w:tcW w:w="5840" w:type="dxa"/>
            <w:vAlign w:val="bottom"/>
            <w:tcBorders>
              <w:bottom w:val="single" w:sz="8" w:color="auto"/>
            </w:tcBorders>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7"/>
              </w:rPr>
              <w:t>Venus Concept Japan</w:t>
            </w:r>
          </w:p>
        </w:tc>
        <w:tc>
          <w:tcPr>
            <w:tcW w:w="392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7"/>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05610" cy="814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97">
                      <a:extLst>
                        <a:ext uri="{28A0092B-C50C-407E-A947-70E740481C1C}"/>
                      </a:extLst>
                    </a:blip>
                    <a:srcRect/>
                    <a:stretch>
                      <a:fillRect/>
                    </a:stretch>
                  </pic:blipFill>
                  <pic:spPr bwMode="auto">
                    <a:xfrm>
                      <a:off x="0" y="0"/>
                      <a:ext cx="170561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333-220993, 333-223448, 333-231507, 333-235480, 333-246083, 333-255159, 333-264203, 333-268539, 333-272235, and 333-281588 on Form S-8, and in Registration Statement No(s). 333-236207, 333-237737, 333-252562, 333-262160, 333-268863, 333-273251, 333-275862, 333-278561, and 333-282811 on Form S-3, and Registration Statement No. 333-278489 on Form S-1 of our independent auditor’s report dated March 31, 2025, relating to the consolidated financial statements of Venus Concept Inc. and its subsidiaries (the “Company”) as at December 31, 2024 and 2023 and for each of the years in the two-year period ended December 31, 2024, as included in this Annual Report on Form 10-K of the Company for the year ended December 31, 2024, as filed with the Securities and Exchange Commission on March 31,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Mississauga,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333" w:right="339" w:bottom="1440"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5" w:lineRule="exact"/>
        <w:rPr>
          <w:sz w:val="20"/>
          <w:szCs w:val="20"/>
          <w:color w:val="auto"/>
        </w:rPr>
      </w:pPr>
    </w:p>
    <w:p>
      <w:pPr>
        <w:jc w:val="both"/>
        <w:ind w:left="380" w:right="380" w:hanging="318"/>
        <w:spacing w:after="0" w:line="266" w:lineRule="auto"/>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18"/>
        <w:spacing w:after="0" w:line="282" w:lineRule="auto"/>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260" w:hanging="318"/>
        <w:spacing w:after="0" w:line="266" w:lineRule="auto"/>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40" w:right="180" w:hanging="319"/>
        <w:spacing w:after="0" w:line="266" w:lineRule="auto"/>
        <w:tabs>
          <w:tab w:leader="none" w:pos="8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40" w:right="500" w:hanging="319"/>
        <w:spacing w:after="0" w:line="266" w:lineRule="auto"/>
        <w:tabs>
          <w:tab w:leader="none" w:pos="8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40" w:right="680" w:hanging="319"/>
        <w:spacing w:after="0" w:line="312" w:lineRule="auto"/>
        <w:tabs>
          <w:tab w:leader="none" w:pos="8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180" w:hanging="319"/>
        <w:spacing w:after="0" w:line="312" w:lineRule="auto"/>
        <w:tabs>
          <w:tab w:leader="none" w:pos="8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80" w:right="300" w:hanging="318"/>
        <w:spacing w:after="0" w:line="282" w:lineRule="auto"/>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right="80" w:hanging="319"/>
        <w:spacing w:after="0" w:line="282" w:lineRule="auto"/>
        <w:tabs>
          <w:tab w:leader="none" w:pos="8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60" w:hanging="319"/>
        <w:spacing w:after="0" w:line="282" w:lineRule="auto"/>
        <w:tabs>
          <w:tab w:leader="none" w:pos="8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ind w:left="60"/>
        <w:spacing w:after="0"/>
        <w:tabs>
          <w:tab w:leader="none" w:pos="5740" w:val="left"/>
          <w:tab w:leader="none" w:pos="704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72" w:name="page173"/>
    <w:bookmarkEnd w:id="17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ind w:left="440" w:hanging="324"/>
        <w:spacing w:after="0"/>
        <w:tabs>
          <w:tab w:leader="none" w:pos="4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Venus Concept Inc.;</w:t>
      </w:r>
    </w:p>
    <w:p>
      <w:pPr>
        <w:spacing w:after="0" w:line="225" w:lineRule="exact"/>
        <w:rPr>
          <w:rFonts w:ascii="Times New Roman" w:cs="Times New Roman" w:eastAsia="Times New Roman" w:hAnsi="Times New Roman"/>
          <w:sz w:val="18"/>
          <w:szCs w:val="18"/>
          <w:color w:val="auto"/>
        </w:rPr>
      </w:pPr>
    </w:p>
    <w:p>
      <w:pPr>
        <w:jc w:val="both"/>
        <w:ind w:left="380" w:right="380" w:hanging="318"/>
        <w:spacing w:after="0" w:line="266"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18"/>
        <w:spacing w:after="0" w:line="282"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18"/>
        <w:spacing w:after="0" w:line="266"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40" w:right="180" w:hanging="319"/>
        <w:spacing w:after="0" w:line="266" w:lineRule="auto"/>
        <w:tabs>
          <w:tab w:leader="none" w:pos="84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40" w:right="500" w:hanging="319"/>
        <w:spacing w:after="0" w:line="266" w:lineRule="auto"/>
        <w:tabs>
          <w:tab w:leader="none" w:pos="84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40" w:right="680" w:hanging="319"/>
        <w:spacing w:after="0" w:line="312" w:lineRule="auto"/>
        <w:tabs>
          <w:tab w:leader="none" w:pos="840" w:val="left"/>
        </w:tabs>
        <w:numPr>
          <w:ilvl w:val="2"/>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180" w:hanging="319"/>
        <w:spacing w:after="0" w:line="312" w:lineRule="auto"/>
        <w:tabs>
          <w:tab w:leader="none" w:pos="840" w:val="left"/>
        </w:tabs>
        <w:numPr>
          <w:ilvl w:val="2"/>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80" w:right="300" w:hanging="318"/>
        <w:spacing w:after="0" w:line="282"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right="80" w:hanging="319"/>
        <w:spacing w:after="0" w:line="282" w:lineRule="auto"/>
        <w:tabs>
          <w:tab w:leader="none" w:pos="84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60" w:hanging="319"/>
        <w:spacing w:after="0" w:line="282" w:lineRule="auto"/>
        <w:tabs>
          <w:tab w:leader="none" w:pos="84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ind w:left="60"/>
        <w:spacing w:after="0"/>
        <w:tabs>
          <w:tab w:leader="none" w:pos="5740" w:val="left"/>
          <w:tab w:leader="none" w:pos="704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0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2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173" w:name="page174"/>
    <w:bookmarkEnd w:id="17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380" w:right="420" w:hanging="318"/>
        <w:spacing w:after="0" w:line="282" w:lineRule="auto"/>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2024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spacing w:after="0"/>
        <w:tabs>
          <w:tab w:leader="none" w:pos="4400" w:val="left"/>
          <w:tab w:leader="none" w:pos="512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-7620</wp:posOffset>
            </wp:positionV>
            <wp:extent cx="2287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01">
                      <a:extLst>
                        <a:ext uri="{28A0092B-C50C-407E-A947-70E740481C1C}"/>
                      </a:extLst>
                    </a:blip>
                    <a:srcRect/>
                    <a:stretch>
                      <a:fillRect/>
                    </a:stretch>
                  </pic:blipFill>
                  <pic:spPr bwMode="auto">
                    <a:xfrm>
                      <a:off x="0" y="0"/>
                      <a:ext cx="2287905"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74" w:name="page175"/>
    <w:bookmarkEnd w:id="174"/>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380" w:right="420" w:hanging="318"/>
        <w:spacing w:after="0" w:line="282"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2024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7"/>
          <w:szCs w:val="17"/>
          <w:color w:val="auto"/>
        </w:rPr>
        <w:t>By: /s/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-7620</wp:posOffset>
            </wp:positionV>
            <wp:extent cx="21037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02">
                      <a:extLst>
                        <a:ext uri="{28A0092B-C50C-407E-A947-70E740481C1C}"/>
                      </a:extLst>
                    </a:blip>
                    <a:srcRect/>
                    <a:stretch>
                      <a:fillRect/>
                    </a:stretch>
                  </pic:blipFill>
                  <pic:spPr bwMode="auto">
                    <a:xfrm>
                      <a:off x="0" y="0"/>
                      <a:ext cx="2103755" cy="8890"/>
                    </a:xfrm>
                    <a:prstGeom prst="rect">
                      <a:avLst/>
                    </a:prstGeom>
                    <a:noFill/>
                  </pic:spPr>
                </pic:pic>
              </a:graphicData>
            </a:graphic>
          </wp:anchor>
        </w:drawing>
      </w:r>
    </w:p>
    <w:p>
      <w:pPr>
        <w:spacing w:after="0" w:line="7"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20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7340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3">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of Venus Concept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stockholders to create and maintain a culture that emphasizes integrity and accountability and that reinforces the Company's compensation philosophy. The Board has therefore adopted this policy, which provides for the recovery of erroneously awarded incentive compensation in the event that the Company is required to prepare an accounting restatement due to material noncompliance of the Company with any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related rules and the listing standards of the Nasdaq Capital Market or any other securities exchange on which the Company’s shares are listed in the future.</w:t>
      </w:r>
    </w:p>
    <w:p>
      <w:pPr>
        <w:spacing w:after="0" w:line="182" w:lineRule="exact"/>
        <w:rPr>
          <w:sz w:val="20"/>
          <w:szCs w:val="20"/>
          <w:color w:val="auto"/>
        </w:rPr>
      </w:pPr>
    </w:p>
    <w:p>
      <w:pPr>
        <w:ind w:left="640" w:hanging="308"/>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which case, all references herein to the Board shall be deemed references to the Committee. Any determinations made by the Board shall be final and binding on all affected individuals.</w:t>
      </w:r>
    </w:p>
    <w:p>
      <w:pPr>
        <w:spacing w:after="0" w:line="17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0737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4">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and until the Board determines otherwise, for purposes of this Policy, the term “</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 current or former employee who is or was identified by the Company 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Rajiv De Silva, Chief Executive Officer and Director, Domenic Della Penna, Executive Vice President &amp; Chief Financial Officer, Hemanth Varghese, former President &amp; Chief Operating Officer, Ross Portaro, Executive Vice President, Commercial Strategy &amp; Head of Venus Hair, Anna Georgiadis, Chief Human Resources Officer, Michael Mandarello, Chief Legal Officer and Head of Strategy and Operations, and William McGrail, former Senior Vice President, Technical Operations &amp; Compliance.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covers Incentive Compensation received by a person after beginning service as a Covered Executive and who served as a Covered Executive at any time during the performance period for that Incentive Compensation.</w:t>
      </w:r>
    </w:p>
    <w:p>
      <w:pPr>
        <w:spacing w:after="0" w:line="15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w:t>
        <w:tab/>
        <w:t>Recovery: Accounting 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8338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5">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due to the Company’s material noncompliance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the Company will recover reasonably promptly any excess Incentive Compensation received by any Covered Executive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national securities exchange rules and regulations.</w:t>
      </w:r>
    </w:p>
    <w:p>
      <w:pPr>
        <w:spacing w:after="0" w:line="194" w:lineRule="exact"/>
        <w:rPr>
          <w:sz w:val="20"/>
          <w:szCs w:val="20"/>
          <w:color w:val="auto"/>
        </w:rPr>
      </w:pPr>
    </w:p>
    <w:p>
      <w:pPr>
        <w:ind w:left="1260" w:hanging="604"/>
        <w:spacing w:after="0"/>
        <w:tabs>
          <w:tab w:leader="none" w:pos="1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Incentive Compensation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(as defined in paragraph (b) 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that are not tax-qualified plans. For avoidance of doubt, Incentive Compensation that is deferred (either mandatorily or voluntarily) under the Company’s non-qualified deferred compensation plans, as well as any matching amounts and earnings thereon, are subject to this Policy. Incentive Compensation does not include awards which are granted, earned and vested without regard to attainment of financial reporting measures, such as time-vesting awards, discretionary awards and awards based wholly on subjective standards, strategic measures or operational measures.</w:t>
      </w:r>
    </w:p>
    <w:p>
      <w:pPr>
        <w:spacing w:after="0" w:line="192" w:lineRule="exact"/>
        <w:rPr>
          <w:sz w:val="20"/>
          <w:szCs w:val="20"/>
          <w:color w:val="auto"/>
        </w:rPr>
      </w:pPr>
    </w:p>
    <w:p>
      <w:pPr>
        <w:ind w:left="1280" w:hanging="624"/>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 doubt, financial reporting measures include stock price and total shareholder return. A measure need not be presented within the financial statements or included in a filing with the SEC to constitute a financial reporting measure for purposes of this Policy.</w:t>
      </w:r>
    </w:p>
    <w:p>
      <w:pPr>
        <w:spacing w:after="0" w:line="399" w:lineRule="exact"/>
        <w:rPr>
          <w:sz w:val="20"/>
          <w:szCs w:val="20"/>
          <w:color w:val="auto"/>
        </w:rPr>
      </w:pPr>
    </w:p>
    <w:p>
      <w:pPr>
        <w:ind w:left="1260" w:hanging="604"/>
        <w:spacing w:after="0"/>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Incentive Compensation: Amount Subject to Recovery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amount(s) to be recovered from the Covered Executive will be the amount(s) by which the Covered Executive’s Incentive Compensation for the relevant period(s) exceeded the amount(s) that the Covered Executive otherwise would have received had such</w:t>
      </w:r>
    </w:p>
    <w:p>
      <w:pPr>
        <w:sectPr>
          <w:pgSz w:w="11900" w:h="16838" w:orient="portrait"/>
          <w:cols w:equalWidth="0" w:num="1">
            <w:col w:w="11240"/>
          </w:cols>
          <w:pgMar w:left="320" w:top="117" w:right="339" w:bottom="0" w:gutter="0" w:footer="0" w:header="0"/>
        </w:sectPr>
      </w:pPr>
    </w:p>
    <w:bookmarkStart w:id="176" w:name="page177"/>
    <w:bookmarkEnd w:id="176"/>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Incentive Compensation been determined based on the restated amounts contained in the Accounting Restatement. All amounts shall be computed without regard to taxes paid.</w:t>
      </w:r>
    </w:p>
    <w:p>
      <w:pPr>
        <w:spacing w:after="0" w:line="16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spacing w:after="0" w:line="183" w:lineRule="exact"/>
        <w:rPr>
          <w:sz w:val="20"/>
          <w:szCs w:val="20"/>
          <w:color w:val="auto"/>
        </w:rPr>
      </w:pPr>
    </w:p>
    <w:p>
      <w:pPr>
        <w:ind w:left="1280" w:hanging="624"/>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Recovery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method(s) for recovering reasonably promptly excess Incentive Compensation hereunder. Such methods may include, without limitation:</w:t>
      </w:r>
    </w:p>
    <w:p>
      <w:pPr>
        <w:spacing w:after="0" w:line="162" w:lineRule="exact"/>
        <w:rPr>
          <w:sz w:val="20"/>
          <w:szCs w:val="20"/>
          <w:color w:val="auto"/>
        </w:rPr>
      </w:pPr>
    </w:p>
    <w:p>
      <w:pPr>
        <w:ind w:left="1880" w:hanging="576"/>
        <w:spacing w:after="0"/>
        <w:tabs>
          <w:tab w:leader="none" w:pos="1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Incentive Compensation previously paid;</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forfeiting any Incentive Compensation contribution made under the Company’s deferred compensation plans;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20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recovered amount from any compensation or Incentive Compensation that the Covered Executive may earn or be awarded in the future;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combination of the foregoing; or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2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w:t>
        <w:tab/>
        <w:t>No Indemnification or Advance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653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6">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spacing w:after="0" w:line="17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8102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07">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7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w:t>
        <w:tab/>
        <w:t>Effective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8026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0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effective date of this Policy is November 10,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Incentive Compensation received by Covered Executives prior to the Effective Date remains subject to the terms of each Covered Executive’s employment agreement with the Company. In addition, this Policy is intended to be and will be incorporated as an essential term and condition of any Incentive Compensation agreement, plan or program that the Company establishes or maintains on or after the Effective Date.</w:t>
      </w:r>
    </w:p>
    <w:p>
      <w:pPr>
        <w:spacing w:after="0" w:line="18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Amendment and Termination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5576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9">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changes in regulations adopted by the SEC under Section 10D of the Exchange Act and to comply with any rules or standards adopted by Nasdaq Capital Market or any other securities exchange on which the Company’s shares are listed in the future.</w:t>
      </w:r>
    </w:p>
    <w:p>
      <w:pPr>
        <w:spacing w:after="0" w:line="17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w:t>
        <w:tab/>
        <w:t>Other Recovery Rights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237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10">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spacing w:after="0" w:line="185" w:lineRule="exact"/>
        <w:rPr>
          <w:sz w:val="20"/>
          <w:szCs w:val="20"/>
          <w:color w:val="auto"/>
        </w:rPr>
      </w:pPr>
    </w:p>
    <w:p>
      <w:pPr>
        <w:ind w:left="740" w:hanging="408"/>
        <w:spacing w:after="0"/>
        <w:tabs>
          <w:tab w:leader="none" w:pos="7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Impracticability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Company shall recover any excess Incentive Compensation in accordance with this Policy, except to the extent that certain conditions are met and the Board has determined that such recovery would be impracticable, all in accordance with Rule 10D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and the listing requirements of the Nasdaq Capital Market or any other securities exchange on which the Company’s shares are listed in the future.</w:t>
      </w:r>
    </w:p>
    <w:p>
      <w:pPr>
        <w:spacing w:after="0" w:line="195"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11.</w:t>
        <w:tab/>
        <w:t>Successors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-5080</wp:posOffset>
            </wp:positionV>
            <wp:extent cx="634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1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upon and enforceable against all Covered Executives and their beneficiaries, heirs, executors, administrators or other legal representatives.</w:t>
      </w:r>
    </w:p>
    <w:sectPr>
      <w:pgSz w:w="11900" w:h="16838" w:orient="portrait"/>
      <w:cols w:equalWidth="0" w:num="1">
        <w:col w:w="11240"/>
      </w:cols>
      <w:pgMar w:left="320" w:top="121" w:right="339" w:bottom="5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lvl w:ilvl="1">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lowerRoman"/>
      <w:start w:val="2"/>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decimal"/>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1."/>
      <w:numFmt w:val="lowerRoman"/>
      <w:start w:val="1"/>
    </w:lvl>
  </w:abstractNum>
  <w:abstractNum w:abstractNumId="45">
    <w:nsid w:val="14E17E33"/>
    <w:multiLevelType w:val="hybridMultilevel"/>
    <w:lvl w:ilvl="0">
      <w:lvlJc w:val="left"/>
      <w:lvlText w:val="%1."/>
      <w:numFmt w:val="lowerRoman"/>
      <w:start w:val="3"/>
    </w:lvl>
  </w:abstractNum>
  <w:abstractNum w:abstractNumId="46">
    <w:nsid w:val="3222E7CD"/>
    <w:multiLevelType w:val="hybridMultilevel"/>
    <w:lvl w:ilvl="0">
      <w:lvlJc w:val="left"/>
      <w:lvlText w:val="(%1)"/>
      <w:numFmt w:val="decimal"/>
      <w:start w:val="1"/>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lowerRoman"/>
      <w:start w:val="1"/>
    </w:lvl>
  </w:abstractNum>
  <w:abstractNum w:abstractNumId="50">
    <w:nsid w:val="46B7D447"/>
    <w:multiLevelType w:val="hybridMultilevel"/>
    <w:lvl w:ilvl="0">
      <w:lvlJc w:val="left"/>
      <w:lvlText w:val="(%1)"/>
      <w:numFmt w:val="lowerRoman"/>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57FC4FBB"/>
    <w:multiLevelType w:val="hybridMultilevel"/>
    <w:lvl w:ilvl="0">
      <w:lvlJc w:val="left"/>
      <w:lvlText w:val="•"/>
      <w:numFmt w:val="bullet"/>
      <w:start w:val="1"/>
    </w:lvl>
    <w:lvl w:ilvl="1">
      <w:lvlJc w:val="left"/>
      <w:lvlText w:val="•"/>
      <w:numFmt w:val="bullet"/>
      <w:start w:val="1"/>
    </w:lvl>
  </w:abstractNum>
  <w:abstractNum w:abstractNumId="54">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43F1842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decimal"/>
      <w:start w:val="104"/>
    </w:lvl>
    <w:lvl w:ilvl="1">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upperLetter"/>
      <w:start w:val="9"/>
    </w:lvl>
  </w:abstractNum>
  <w:abstractNum w:abstractNumId="64">
    <w:nsid w:val="5FB8011C"/>
    <w:multiLevelType w:val="hybridMultilevel"/>
    <w:lvl w:ilvl="0">
      <w:lvlJc w:val="left"/>
      <w:lvlText w:val="%1."/>
      <w:numFmt w:val="upperLetter"/>
      <w:start w:val="35"/>
    </w:lvl>
    <w:lvl w:ilvl="1">
      <w:lvlJc w:val="left"/>
      <w:lvlText w:val="%2"/>
      <w:numFmt w:val="upperLetter"/>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1"/>
      <w:numFmt w:val="upperLetter"/>
      <w:start w:val="1"/>
    </w:lvl>
    <w:lvl w:ilvl="1">
      <w:lvlJc w:val="left"/>
      <w:lvlText w:val="%2."/>
      <w:numFmt w:val="upperLetter"/>
      <w:start w:val="2"/>
    </w:lvl>
  </w:abstractNum>
  <w:abstractNum w:abstractNumId="67">
    <w:nsid w:val="6FC75AF8"/>
    <w:multiLevelType w:val="hybridMultilevel"/>
    <w:lvl w:ilvl="0">
      <w:lvlJc w:val="left"/>
      <w:lvlText w:val="%1."/>
      <w:numFmt w:val="upperLetter"/>
      <w:start w:val="61"/>
    </w:lvl>
    <w:lvl w:ilvl="1">
      <w:lvlJc w:val="left"/>
      <w:lvlText w:val="%2"/>
      <w:numFmt w:val="upperLetter"/>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upperLetter"/>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1."/>
      <w:numFmt w:val="upperLetter"/>
      <w:start w:val="2"/>
    </w:lvl>
  </w:abstractNum>
  <w:abstractNum w:abstractNumId="72">
    <w:nsid w:val="7DE67713"/>
    <w:multiLevelType w:val="hybridMultilevel"/>
    <w:lvl w:ilvl="0">
      <w:lvlJc w:val="left"/>
      <w:lvlText w:val="%1."/>
      <w:numFmt w:val="upperLetter"/>
      <w:start w:val="3"/>
    </w:lvl>
  </w:abstractNum>
  <w:abstractNum w:abstractNumId="73">
    <w:nsid w:val="555C55B5"/>
    <w:multiLevelType w:val="hybridMultilevel"/>
    <w:lvl w:ilvl="0">
      <w:lvlJc w:val="left"/>
      <w:lvlText w:val="%1."/>
      <w:numFmt w:val="upperLetter"/>
      <w:start w:val="4"/>
    </w:lvl>
  </w:abstractNum>
  <w:abstractNum w:abstractNumId="74">
    <w:nsid w:val="3FA62ACA"/>
    <w:multiLevelType w:val="hybridMultilevel"/>
    <w:lvl w:ilvl="0">
      <w:lvlJc w:val="left"/>
      <w:lvlText w:val="%1."/>
      <w:numFmt w:val="upperLetter"/>
      <w:start w:val="5"/>
    </w:lvl>
  </w:abstractNum>
  <w:abstractNum w:abstractNumId="75">
    <w:nsid w:val="14FCE74E"/>
    <w:multiLevelType w:val="hybridMultilevel"/>
    <w:lvl w:ilvl="0">
      <w:lvlJc w:val="left"/>
      <w:lvlText w:val="●"/>
      <w:numFmt w:val="bullet"/>
      <w:start w:val="1"/>
    </w:lvl>
    <w:lvl w:ilvl="1">
      <w:lvlJc w:val="left"/>
      <w:lvlText w:val="%2."/>
      <w:numFmt w:val="decimal"/>
      <w:start w:val="1"/>
    </w:lvl>
  </w:abstractNum>
  <w:abstractNum w:abstractNumId="76">
    <w:nsid w:val="6A3DD3E8"/>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77">
    <w:nsid w:val="71C91298"/>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78">
    <w:nsid w:val="9DAF632"/>
    <w:multiLevelType w:val="hybridMultilevel"/>
    <w:lvl w:ilvl="0">
      <w:lvlJc w:val="left"/>
      <w:lvlText w:val="%1."/>
      <w:numFmt w:val="upperLetter"/>
      <w:start w:val="7"/>
    </w:lvl>
  </w:abstractNum>
  <w:abstractNum w:abstractNumId="79">
    <w:nsid w:val="53299938"/>
    <w:multiLevelType w:val="hybridMultilevel"/>
    <w:lvl w:ilvl="0">
      <w:lvlJc w:val="left"/>
      <w:lvlText w:val="%1."/>
      <w:numFmt w:val="upperLetter"/>
      <w:start w:val="8"/>
    </w:lvl>
  </w:abstractNum>
  <w:abstractNum w:abstractNumId="80">
    <w:nsid w:val="1FBFE8E0"/>
    <w:multiLevelType w:val="hybridMultilevel"/>
    <w:lvl w:ilvl="0">
      <w:lvlJc w:val="left"/>
      <w:lvlText w:val="%1."/>
      <w:numFmt w:val="upperLetter"/>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1."/>
      <w:numFmt w:val="upperLetter"/>
      <w:start w:val="2"/>
    </w:lvl>
  </w:abstractNum>
  <w:abstractNum w:abstractNumId="83">
    <w:nsid w:val="59ADEA3D"/>
    <w:multiLevelType w:val="hybridMultilevel"/>
    <w:lvl w:ilvl="0">
      <w:lvlJc w:val="left"/>
      <w:lvlText w:val="%1."/>
      <w:numFmt w:val="upperLetter"/>
      <w:start w:val="3"/>
    </w:lvl>
  </w:abstractNum>
  <w:abstractNum w:abstractNumId="84">
    <w:nsid w:val="288F1A34"/>
    <w:multiLevelType w:val="hybridMultilevel"/>
    <w:lvl w:ilvl="0">
      <w:lvlJc w:val="left"/>
      <w:lvlText w:val="%1."/>
      <w:numFmt w:val="upperLetter"/>
      <w:start w:val="4"/>
    </w:lvl>
    <w:lvl w:ilvl="1">
      <w:lvlJc w:val="left"/>
      <w:lvlText w:val="%2."/>
      <w:numFmt w:val="decimal"/>
      <w:start w:val="1"/>
    </w:lvl>
  </w:abstractNum>
  <w:abstractNum w:abstractNumId="85">
    <w:nsid w:val="2A155DBC"/>
    <w:multiLevelType w:val="hybridMultilevel"/>
    <w:lvl w:ilvl="0">
      <w:lvlJc w:val="left"/>
      <w:lvlText w:val="%1."/>
      <w:numFmt w:val="decimal"/>
      <w:start w:val="2"/>
    </w:lvl>
  </w:abstractNum>
  <w:abstractNum w:abstractNumId="86">
    <w:nsid w:val="1D9F6E5F"/>
    <w:multiLevelType w:val="hybridMultilevel"/>
    <w:lvl w:ilvl="0">
      <w:lvlJc w:val="left"/>
      <w:lvlText w:val="%1."/>
      <w:numFmt w:val="upperLetter"/>
      <w:start w:val="5"/>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upperLetter"/>
      <w:start w:val="6"/>
    </w:lvl>
  </w:abstractNum>
  <w:abstractNum w:abstractNumId="89">
    <w:nsid w:val="1CA0C5FA"/>
    <w:multiLevelType w:val="hybridMultilevel"/>
    <w:lvl w:ilvl="0">
      <w:lvlJc w:val="left"/>
      <w:lvlText w:val="%1."/>
      <w:numFmt w:val="upperLetter"/>
      <w:start w:val="22"/>
    </w:lvl>
  </w:abstractNum>
  <w:abstractNum w:abstractNumId="90">
    <w:nsid w:val="53584BCB"/>
    <w:multiLevelType w:val="hybridMultilevel"/>
    <w:lvl w:ilvl="0">
      <w:lvlJc w:val="left"/>
      <w:lvlText w:val="%1."/>
      <w:numFmt w:val="upperLetter"/>
      <w:start w:val="1"/>
    </w:lvl>
  </w:abstractNum>
  <w:abstractNum w:abstractNumId="91">
    <w:nsid w:val="415E286C"/>
    <w:multiLevelType w:val="hybridMultilevel"/>
    <w:lvl w:ilvl="0">
      <w:lvlJc w:val="left"/>
      <w:lvlText w:val="%1."/>
      <w:numFmt w:val="upperLetter"/>
      <w:start w:val="2"/>
    </w:lvl>
  </w:abstractNum>
  <w:abstractNum w:abstractNumId="92">
    <w:nsid w:val="7C58FD05"/>
    <w:multiLevelType w:val="hybridMultilevel"/>
    <w:lvl w:ilvl="0">
      <w:lvlJc w:val="left"/>
      <w:lvlText w:val="%1."/>
      <w:numFmt w:val="upperLetter"/>
      <w:start w:val="3"/>
    </w:lvl>
  </w:abstractNum>
  <w:abstractNum w:abstractNumId="93">
    <w:nsid w:val="23D86AAC"/>
    <w:multiLevelType w:val="hybridMultilevel"/>
    <w:lvl w:ilvl="0">
      <w:lvlJc w:val="left"/>
      <w:lvlText w:val="%1."/>
      <w:numFmt w:val="upperLetter"/>
      <w:start w:val="4"/>
    </w:lvl>
  </w:abstractNum>
  <w:abstractNum w:abstractNumId="94">
    <w:nsid w:val="45E6D486"/>
    <w:multiLevelType w:val="hybridMultilevel"/>
    <w:lvl w:ilvl="0">
      <w:lvlJc w:val="left"/>
      <w:lvlText w:val="%1."/>
      <w:numFmt w:val="upperLetter"/>
      <w:start w:val="5"/>
    </w:lvl>
  </w:abstractNum>
  <w:abstractNum w:abstractNumId="95">
    <w:nsid w:val="5C10FE21"/>
    <w:multiLevelType w:val="hybridMultilevel"/>
    <w:lvl w:ilvl="0">
      <w:lvlJc w:val="left"/>
      <w:lvlText w:val="%1."/>
      <w:numFmt w:val="upperLetter"/>
      <w:start w:val="1"/>
    </w:lvl>
    <w:lvl w:ilvl="1">
      <w:lvlJc w:val="left"/>
      <w:lvlText w:val="%2."/>
      <w:numFmt w:val="decimal"/>
      <w:start w:val="1"/>
    </w:lvl>
  </w:abstractNum>
  <w:abstractNum w:abstractNumId="96">
    <w:nsid w:val="E7FFA2B"/>
    <w:multiLevelType w:val="hybridMultilevel"/>
    <w:lvl w:ilvl="0">
      <w:lvlJc w:val="left"/>
      <w:lvlText w:val="●"/>
      <w:numFmt w:val="bullet"/>
      <w:start w:val="1"/>
    </w:lvl>
    <w:lvl w:ilvl="1">
      <w:lvlJc w:val="left"/>
      <w:lvlText w:val="●"/>
      <w:numFmt w:val="bullet"/>
      <w:start w:val="1"/>
    </w:lvl>
  </w:abstractNum>
  <w:abstractNum w:abstractNumId="97">
    <w:nsid w:val="3C5991AA"/>
    <w:multiLevelType w:val="hybridMultilevel"/>
    <w:lvl w:ilvl="0">
      <w:lvlJc w:val="left"/>
      <w:lvlText w:val="%1."/>
      <w:numFmt w:val="decimal"/>
      <w:start w:val="2"/>
    </w:lvl>
  </w:abstractNum>
  <w:abstractNum w:abstractNumId="98">
    <w:nsid w:val="4BD8591A"/>
    <w:multiLevelType w:val="hybridMultilevel"/>
    <w:lvl w:ilvl="0">
      <w:lvlJc w:val="left"/>
      <w:lvlText w:val="%1."/>
      <w:numFmt w:val="decimal"/>
      <w:start w:val="3"/>
    </w:lvl>
  </w:abstractNum>
  <w:abstractNum w:abstractNumId="99">
    <w:nsid w:val="78DF6A55"/>
    <w:multiLevelType w:val="hybridMultilevel"/>
    <w:lvl w:ilvl="0">
      <w:lvlJc w:val="left"/>
      <w:lvlText w:val="%1."/>
      <w:numFmt w:val="decimal"/>
      <w:start w:val="4"/>
    </w:lvl>
  </w:abstractNum>
  <w:abstractNum w:abstractNumId="100">
    <w:nsid w:val="39B7AAA2"/>
    <w:multiLevelType w:val="hybridMultilevel"/>
    <w:lvl w:ilvl="0">
      <w:lvlJc w:val="left"/>
      <w:lvlText w:val="%1."/>
      <w:numFmt w:val="decimal"/>
      <w:start w:val="5"/>
    </w:lvl>
  </w:abstractNum>
  <w:abstractNum w:abstractNumId="101">
    <w:nsid w:val="2B0D8DBE"/>
    <w:multiLevelType w:val="hybridMultilevel"/>
    <w:lvl w:ilvl="0">
      <w:lvlJc w:val="left"/>
      <w:lvlText w:val="%1."/>
      <w:numFmt w:val="decimal"/>
      <w:start w:val="6"/>
    </w:lvl>
  </w:abstractNum>
  <w:abstractNum w:abstractNumId="102">
    <w:nsid w:val="6C80EC70"/>
    <w:multiLevelType w:val="hybridMultilevel"/>
    <w:lvl w:ilvl="0">
      <w:lvlJc w:val="left"/>
      <w:lvlText w:val="%1."/>
      <w:numFmt w:val="decimal"/>
      <w:start w:val="7"/>
    </w:lvl>
  </w:abstractNum>
  <w:abstractNum w:abstractNumId="103">
    <w:nsid w:val="379E21B5"/>
    <w:multiLevelType w:val="hybridMultilevel"/>
    <w:lvl w:ilvl="0">
      <w:lvlJc w:val="left"/>
      <w:lvlText w:val="%1."/>
      <w:numFmt w:val="decimal"/>
      <w:start w:val="8"/>
    </w:lvl>
  </w:abstractNum>
  <w:abstractNum w:abstractNumId="104">
    <w:nsid w:val="69E373"/>
    <w:multiLevelType w:val="hybridMultilevel"/>
    <w:lvl w:ilvl="0">
      <w:lvlJc w:val="left"/>
      <w:lvlText w:val="%1."/>
      <w:numFmt w:val="decimal"/>
      <w:start w:val="9"/>
    </w:lvl>
  </w:abstractNum>
  <w:abstractNum w:abstractNumId="105">
    <w:nsid w:val="2C27173B"/>
    <w:multiLevelType w:val="hybridMultilevel"/>
    <w:lvl w:ilvl="0">
      <w:lvlJc w:val="left"/>
      <w:lvlText w:val="%1."/>
      <w:numFmt w:val="decimal"/>
      <w:start w:val="10"/>
    </w:lvl>
  </w:abstractNum>
  <w:abstractNum w:abstractNumId="106">
    <w:nsid w:val="4C9B0904"/>
    <w:multiLevelType w:val="hybridMultilevel"/>
    <w:lvl w:ilvl="0">
      <w:lvlJc w:val="left"/>
      <w:lvlText w:val="%1."/>
      <w:numFmt w:val="upperLetter"/>
      <w:start w:val="2"/>
    </w:lvl>
    <w:lvl w:ilvl="1">
      <w:lvlJc w:val="left"/>
      <w:lvlText w:val="%2."/>
      <w:numFmt w:val="decimal"/>
      <w:start w:val="1"/>
    </w:lvl>
  </w:abstractNum>
  <w:abstractNum w:abstractNumId="107">
    <w:nsid w:val="6AA7B75C"/>
    <w:multiLevelType w:val="hybridMultilevel"/>
    <w:lvl w:ilvl="0">
      <w:lvlJc w:val="left"/>
      <w:lvlText w:val="%1."/>
      <w:numFmt w:val="decimal"/>
      <w:start w:val="2"/>
    </w:lvl>
  </w:abstractNum>
  <w:abstractNum w:abstractNumId="108">
    <w:nsid w:val="1DF029D3"/>
    <w:multiLevelType w:val="hybridMultilevel"/>
    <w:lvl w:ilvl="0">
      <w:lvlJc w:val="left"/>
      <w:lvlText w:val="%1."/>
      <w:numFmt w:val="decimal"/>
      <w:start w:val="3"/>
    </w:lvl>
  </w:abstractNum>
  <w:abstractNum w:abstractNumId="109">
    <w:nsid w:val="5675FF36"/>
    <w:multiLevelType w:val="hybridMultilevel"/>
    <w:lvl w:ilvl="0">
      <w:lvlJc w:val="left"/>
      <w:lvlText w:val="%1."/>
      <w:numFmt w:val="upperLetter"/>
      <w:start w:val="3"/>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1."/>
      <w:numFmt w:val="decimal"/>
      <w:start w:val="1"/>
    </w:lvl>
  </w:abstractNum>
  <w:abstractNum w:abstractNumId="112">
    <w:nsid w:val="2708C9AF"/>
    <w:multiLevelType w:val="hybridMultilevel"/>
    <w:lvl w:ilvl="0">
      <w:lvlJc w:val="left"/>
      <w:lvlText w:val="%1."/>
      <w:numFmt w:val="decimal"/>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1."/>
      <w:numFmt w:val="decimal"/>
      <w:start w:val="1"/>
    </w:lvl>
    <w:lvl w:ilvl="1">
      <w:lvlJc w:val="left"/>
      <w:lvlText w:val="(%2)"/>
      <w:numFmt w:val="lowerLetter"/>
      <w:start w:val="1"/>
    </w:lvl>
  </w:abstractNum>
  <w:abstractNum w:abstractNumId="120">
    <w:nsid w:val="519E314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1">
    <w:nsid w:val="2C6E4AF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22">
    <w:nsid w:val="17A1B582"/>
    <w:multiLevelType w:val="hybridMultilevel"/>
    <w:lvl w:ilvl="0">
      <w:lvlJc w:val="left"/>
      <w:lvlText w:val="%1."/>
      <w:numFmt w:val="decimal"/>
      <w:start w:val="1"/>
    </w:lvl>
  </w:abstractNum>
  <w:abstractNum w:abstractNumId="123">
    <w:nsid w:val="4DF72E4E"/>
    <w:multiLevelType w:val="hybridMultilevel"/>
    <w:lvl w:ilvl="0">
      <w:lvlJc w:val="left"/>
      <w:lvlText w:val="%1."/>
      <w:numFmt w:val="decimal"/>
      <w:start w:val="1"/>
    </w:lvl>
  </w:abstractNum>
  <w:abstractNum w:abstractNumId="124">
    <w:nsid w:val="5046B5A9"/>
    <w:multiLevelType w:val="hybridMultilevel"/>
    <w:lvl w:ilvl="0">
      <w:lvlJc w:val="left"/>
      <w:lvlText w:val="%1."/>
      <w:numFmt w:val="decimal"/>
      <w:start w:val="2"/>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2"/>
    </w:lvl>
  </w:abstractNum>
  <w:abstractNum w:abstractNumId="127">
    <w:nsid w:val="5EC6AFD4"/>
    <w:multiLevelType w:val="hybridMultilevel"/>
    <w:lvl w:ilvl="0">
      <w:lvlJc w:val="left"/>
      <w:lvlText w:val="(%1)"/>
      <w:numFmt w:val="lowerLetter"/>
      <w:start w:val="3"/>
    </w:lvl>
  </w:abstractNum>
  <w:abstractNum w:abstractNumId="128">
    <w:nsid w:val="19E21BB2"/>
    <w:multiLevelType w:val="hybridMultilevel"/>
    <w:lvl w:ilvl="0">
      <w:lvlJc w:val="left"/>
      <w:lvlText w:val="(%1)"/>
      <w:numFmt w:val="lowerLetter"/>
      <w:start w:val="4"/>
    </w:lvl>
  </w:abstractNum>
  <w:abstractNum w:abstractNumId="129">
    <w:nsid w:val="75E0858A"/>
    <w:multiLevelType w:val="hybridMultilevel"/>
    <w:lvl w:ilvl="0">
      <w:lvlJc w:val="left"/>
      <w:lvlText w:val="(%1)"/>
      <w:numFmt w:val="lowerRoman"/>
      <w:start w:val="1"/>
    </w:lvl>
  </w:abstractNum>
  <w:abstractNum w:abstractNumId="130">
    <w:nsid w:val="57A61A2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207" Type="http://schemas.openxmlformats.org/officeDocument/2006/relationships/image" Target="media/image154.png"/><Relationship Id="rId225" Type="http://schemas.openxmlformats.org/officeDocument/2006/relationships/image" Target="media/image155.png"/><Relationship Id="rId239" Type="http://schemas.openxmlformats.org/officeDocument/2006/relationships/image" Target="media/image156.png"/><Relationship Id="rId292" Type="http://schemas.openxmlformats.org/officeDocument/2006/relationships/image" Target="media/image157.png"/><Relationship Id="rId293" Type="http://schemas.openxmlformats.org/officeDocument/2006/relationships/image" Target="media/image158.png"/><Relationship Id="rId294" Type="http://schemas.openxmlformats.org/officeDocument/2006/relationships/image" Target="media/image159.png"/><Relationship Id="rId295" Type="http://schemas.openxmlformats.org/officeDocument/2006/relationships/image" Target="media/image160.png"/><Relationship Id="rId296" Type="http://schemas.openxmlformats.org/officeDocument/2006/relationships/image" Target="media/image161.png"/><Relationship Id="rId297" Type="http://schemas.openxmlformats.org/officeDocument/2006/relationships/image" Target="media/image162.jpeg"/><Relationship Id="rId298" Type="http://schemas.openxmlformats.org/officeDocument/2006/relationships/image" Target="media/image163.png"/><Relationship Id="rId299" Type="http://schemas.openxmlformats.org/officeDocument/2006/relationships/image" Target="media/image164.png"/><Relationship Id="rId300" Type="http://schemas.openxmlformats.org/officeDocument/2006/relationships/image" Target="media/image165.png"/><Relationship Id="rId301" Type="http://schemas.openxmlformats.org/officeDocument/2006/relationships/image" Target="media/image166.png"/><Relationship Id="rId302" Type="http://schemas.openxmlformats.org/officeDocument/2006/relationships/image" Target="media/image167.png"/><Relationship Id="rId303" Type="http://schemas.openxmlformats.org/officeDocument/2006/relationships/image" Target="media/image168.png"/><Relationship Id="rId304" Type="http://schemas.openxmlformats.org/officeDocument/2006/relationships/image" Target="media/image169.png"/><Relationship Id="rId305" Type="http://schemas.openxmlformats.org/officeDocument/2006/relationships/image" Target="media/image170.png"/><Relationship Id="rId306" Type="http://schemas.openxmlformats.org/officeDocument/2006/relationships/image" Target="media/image171.png"/><Relationship Id="rId307" Type="http://schemas.openxmlformats.org/officeDocument/2006/relationships/image" Target="media/image172.png"/><Relationship Id="rId308" Type="http://schemas.openxmlformats.org/officeDocument/2006/relationships/image" Target="media/image173.png"/><Relationship Id="rId309" Type="http://schemas.openxmlformats.org/officeDocument/2006/relationships/image" Target="media/image174.png"/><Relationship Id="rId310" Type="http://schemas.openxmlformats.org/officeDocument/2006/relationships/image" Target="media/image175.png"/><Relationship Id="rId311" Type="http://schemas.openxmlformats.org/officeDocument/2006/relationships/image" Target="media/image176.png"/><Relationship Id="rId161" Type="http://schemas.openxmlformats.org/officeDocument/2006/relationships/hyperlink" Target="http://www.sec.gov/Archives/edgar/data/0001409269/000119312519075570/d723118dex21.htm" TargetMode="External"/><Relationship Id="rId162" Type="http://schemas.openxmlformats.org/officeDocument/2006/relationships/hyperlink" Target="http://www.sec.gov/Archives/edgar/data/0001409269/000119312519225337/d790430dex21.htm" TargetMode="External"/><Relationship Id="rId163" Type="http://schemas.openxmlformats.org/officeDocument/2006/relationships/hyperlink" Target="http://www.sec.gov/Archives/edgar/data/0001409269/000119312519280583/d822525dex21.htm" TargetMode="External"/><Relationship Id="rId164" Type="http://schemas.openxmlformats.org/officeDocument/2006/relationships/hyperlink" Target="http://www.sec.gov/Archives/edgar/data/0001409269/000156459020014222/vero-ex24_678.htm" TargetMode="External"/><Relationship Id="rId165" Type="http://schemas.openxmlformats.org/officeDocument/2006/relationships/hyperlink" Target="http://www.sec.gov/Archives/edgar/data/0001409269/000119312517311810/d448597dex31.htm" TargetMode="External"/><Relationship Id="rId166" Type="http://schemas.openxmlformats.org/officeDocument/2006/relationships/hyperlink" Target="http://www.sec.gov/Archives/edgar/data/0001409269/000119312519286952/d827576dex31.htm" TargetMode="External"/><Relationship Id="rId167" Type="http://schemas.openxmlformats.org/officeDocument/2006/relationships/hyperlink" Target="http://www.sec.gov/Archives/edgar/data/0001409269/000119312519286952/d827576dex32.htm" TargetMode="External"/><Relationship Id="rId168" Type="http://schemas.openxmlformats.org/officeDocument/2006/relationships/hyperlink" Target="http://www.sec.gov/Archives/edgar/data/1409269/000114036122042217/brhc10044346_ex3-1.htm" TargetMode="External"/><Relationship Id="rId169" Type="http://schemas.openxmlformats.org/officeDocument/2006/relationships/hyperlink" Target="http://www.sec.gov/Archives/edgar/data/1409269/000114036123024193/brhc20052761_ex3-1.htm" TargetMode="External"/><Relationship Id="rId170" Type="http://schemas.openxmlformats.org/officeDocument/2006/relationships/hyperlink" Target="http://www.sec.gov/Archives/edgar/data/1409269/000114036123024709/brhc20052946_ex3-2.htm" TargetMode="External"/><Relationship Id="rId171" Type="http://schemas.openxmlformats.org/officeDocument/2006/relationships/hyperlink" Target="http://www.sec.gov/Archives/edgar/data/1409269/000114036123031431/brhc20054780_ex3-1.htm" TargetMode="External"/><Relationship Id="rId172" Type="http://schemas.openxmlformats.org/officeDocument/2006/relationships/hyperlink" Target="http://www.sec.gov/Archives/edgar/data/1409269/000114036123047079/ef20011960_ex3-1.htm" TargetMode="External"/><Relationship Id="rId173" Type="http://schemas.openxmlformats.org/officeDocument/2006/relationships/hyperlink" Target="http://www.sec.gov/ix?doc=/Archives/edgar/data/0001409269/000114036124027551/ef20030043_8k.htm" TargetMode="External"/><Relationship Id="rId174" Type="http://schemas.openxmlformats.org/officeDocument/2006/relationships/hyperlink" Target="http://www.sec.gov/ix?doc=/Archives/edgar/data/0001409269/000114036124042112/ef20036350_8k.htm" TargetMode="External"/><Relationship Id="rId175" Type="http://schemas.openxmlformats.org/officeDocument/2006/relationships/hyperlink" Target="http://www.sec.gov/Archives/edgar/data/1409269/000114036125006870/ef20044815_ex3-1.htm" TargetMode="External"/><Relationship Id="rId176" Type="http://schemas.openxmlformats.org/officeDocument/2006/relationships/hyperlink" Target="http://www.sec.gov/Archives/edgar/data/0001409269/000119312517286792/d412930dex42.htm" TargetMode="External"/><Relationship Id="rId177" Type="http://schemas.openxmlformats.org/officeDocument/2006/relationships/hyperlink" Target="http://www.sec.gov/Archives/edgar/data/1409269/000156459021016142/vero-ex43_160.htm" TargetMode="External"/><Relationship Id="rId178" Type="http://schemas.openxmlformats.org/officeDocument/2006/relationships/hyperlink" Target="http://www.sec.gov/Archives/edgar/data/0001409269/000119312519286952/d827576dex42.htm" TargetMode="External"/><Relationship Id="rId179" Type="http://schemas.openxmlformats.org/officeDocument/2006/relationships/hyperlink" Target="http://www.sec.gov/Archives/edgar/data/0001409269/000156459019008643/hair-ex410_658.htm" TargetMode="External"/><Relationship Id="rId180" Type="http://schemas.openxmlformats.org/officeDocument/2006/relationships/hyperlink" Target="http://www.sec.gov/Archives/edgar/data/0001409269/000156459020014222/vero-ex49_1137.htm" TargetMode="External"/><Relationship Id="rId181" Type="http://schemas.openxmlformats.org/officeDocument/2006/relationships/hyperlink" Target="http://www.sec.gov/Archives/edgar/data/0001409269/000156459020014222/vero-ex410_1135.htm" TargetMode="External"/><Relationship Id="rId182" Type="http://schemas.openxmlformats.org/officeDocument/2006/relationships/hyperlink" Target="http://www.sec.gov/Archives/edgar/data/0001409269/000156459020014222/vero-ex411_1136.htm" TargetMode="External"/><Relationship Id="rId183" Type="http://schemas.openxmlformats.org/officeDocument/2006/relationships/hyperlink" Target="http://www.sec.gov/Archives/edgar/data/1409269/000114036123047079/ef20011960_ex10-3.htm" TargetMode="External"/><Relationship Id="rId184" Type="http://schemas.openxmlformats.org/officeDocument/2006/relationships/hyperlink" Target="http://www.sec.gov/Archives/edgar/data/1409269/000114036123047079/ef20011960_ex10-4.htm" TargetMode="External"/><Relationship Id="rId185" Type="http://schemas.openxmlformats.org/officeDocument/2006/relationships/hyperlink" Target="http://www.sec.gov/Archives/edgar/data/1409269/000114036124002904/ef20018999_ex10-2.htm" TargetMode="External"/><Relationship Id="rId186" Type="http://schemas.openxmlformats.org/officeDocument/2006/relationships/hyperlink" Target="http://www.sec.gov/Archives/edgar/data/1409269/000114036124002904/ef20018999_ex10-3.htm" TargetMode="External"/><Relationship Id="rId187" Type="http://schemas.openxmlformats.org/officeDocument/2006/relationships/hyperlink" Target="http://www.sec.gov/Archives/edgar/data/1409269/000114036124009816/ef20022605_ex4-1.htm" TargetMode="External"/><Relationship Id="rId188" Type="http://schemas.openxmlformats.org/officeDocument/2006/relationships/hyperlink" Target="http://www.sec.gov/Archives/edgar/data/1409269/000114036124009816/ef20022605_ex4-2.htm" TargetMode="External"/><Relationship Id="rId189" Type="http://schemas.openxmlformats.org/officeDocument/2006/relationships/hyperlink" Target="http://www.sec.gov/Archives/edgar/data/1409269/000156459020014222/vero-ex412_1615.htm" TargetMode="External"/><Relationship Id="rId190" Type="http://schemas.openxmlformats.org/officeDocument/2006/relationships/hyperlink" Target="http://www.sec.gov/Archives/edgar/data/1409269/000119312517275553/d412930dex1010.htm" TargetMode="External"/><Relationship Id="rId191" Type="http://schemas.openxmlformats.org/officeDocument/2006/relationships/hyperlink" Target="http://www.sec.gov/Archives/edgar/data/1409269/000119312520083803/d883663dex101.htm" TargetMode="External"/><Relationship Id="rId192" Type="http://schemas.openxmlformats.org/officeDocument/2006/relationships/hyperlink" Target="http://www.sec.gov/Archives/edgar/data/1409269/000119312520083803/d883663dex102.htm" TargetMode="External"/><Relationship Id="rId193" Type="http://schemas.openxmlformats.org/officeDocument/2006/relationships/hyperlink" Target="http://www.sec.gov/Archives/edgar/data/1409269/000119312520083803/d883663dex104.htm" TargetMode="External"/><Relationship Id="rId194" Type="http://schemas.openxmlformats.org/officeDocument/2006/relationships/hyperlink" Target="http://www.sec.gov/Archives/edgar/data/1409269/000119312517291521/d412930dex107.htm" TargetMode="External"/><Relationship Id="rId195" Type="http://schemas.openxmlformats.org/officeDocument/2006/relationships/hyperlink" Target="http://www.sec.gov/Archives/edgar/data/0001409269/000119312517291521/d412930dex108.htm" TargetMode="External"/><Relationship Id="rId196" Type="http://schemas.openxmlformats.org/officeDocument/2006/relationships/hyperlink" Target="http://www.sec.gov/Archives/edgar/data/0001409269/000119312517291521/d412930dex109.htm" TargetMode="External"/><Relationship Id="rId197" Type="http://schemas.openxmlformats.org/officeDocument/2006/relationships/hyperlink" Target="http://www.sec.gov/Archives/edgar/data/0001409269/000119312519286952/d827576dex1021.htm" TargetMode="External"/><Relationship Id="rId198" Type="http://schemas.openxmlformats.org/officeDocument/2006/relationships/hyperlink" Target="http://www.sec.gov/Archives/edgar/data/0001409269/000156459020014222/vero-ex1024_456.htm" TargetMode="External"/><Relationship Id="rId199" Type="http://schemas.openxmlformats.org/officeDocument/2006/relationships/hyperlink" Target="http://www.sec.gov/Archives/edgar/data/1409269/000119312517311891/d468785dex997.htm" TargetMode="External"/><Relationship Id="rId200" Type="http://schemas.openxmlformats.org/officeDocument/2006/relationships/hyperlink" Target="http://www.sec.gov/Archives/edgar/data/1409269/000119312517286792/d412930dex1026.htm" TargetMode="External"/><Relationship Id="rId201" Type="http://schemas.openxmlformats.org/officeDocument/2006/relationships/hyperlink" Target="http://www.sec.gov/Archives/edgar/data/0001409269/000119312517286792/d412930dex1027.htm" TargetMode="External"/><Relationship Id="rId202" Type="http://schemas.openxmlformats.org/officeDocument/2006/relationships/hyperlink" Target="http://www.sec.gov/Archives/edgar/data/0001409269/000119312517286792/d412930dex1028.htm" TargetMode="External"/><Relationship Id="rId203" Type="http://schemas.openxmlformats.org/officeDocument/2006/relationships/hyperlink" Target="http://www.sec.gov/Archives/edgar/data/1409269/000119312517311891/d468785dex9911.htm" TargetMode="External"/><Relationship Id="rId204" Type="http://schemas.openxmlformats.org/officeDocument/2006/relationships/hyperlink" Target="http://www.sec.gov/Archives/edgar/data/0001409269/000119312517286792/d412930dex1035.htm" TargetMode="External"/><Relationship Id="rId205" Type="http://schemas.openxmlformats.org/officeDocument/2006/relationships/hyperlink" Target="http://www.sec.gov/Archives/edgar/data/1409269/000119312517311891/d468785dex994.htm" TargetMode="External"/><Relationship Id="rId206" Type="http://schemas.openxmlformats.org/officeDocument/2006/relationships/hyperlink" Target="http://www.sec.gov/Archives/edgar/data/1409269/000119312517275553/d412930dex1023.htm" TargetMode="External"/><Relationship Id="rId208" Type="http://schemas.openxmlformats.org/officeDocument/2006/relationships/hyperlink" Target="http://www.sec.gov/Archives/edgar/data/0001409269/000119312517275553/d412930dex1024.htm" TargetMode="External"/><Relationship Id="rId209" Type="http://schemas.openxmlformats.org/officeDocument/2006/relationships/hyperlink" Target="http://www.sec.gov/Archives/edgar/data/0001409269/000119312519286952/d827576dex1020.htm" TargetMode="External"/><Relationship Id="rId210" Type="http://schemas.openxmlformats.org/officeDocument/2006/relationships/hyperlink" Target="http://www.sec.gov/Archives/edgar/data/1409269/000114036123000797/brhc10046322_ex10-1.htm" TargetMode="External"/><Relationship Id="rId211" Type="http://schemas.openxmlformats.org/officeDocument/2006/relationships/hyperlink" Target="http://www.sec.gov/Archives/edgar/data/0001409269/000119312519286952/d827576dex1017.htm" TargetMode="External"/><Relationship Id="rId212" Type="http://schemas.openxmlformats.org/officeDocument/2006/relationships/hyperlink" Target="http://www.sec.gov/Archives/edgar/data/1409269/000143774922007293/ex_349556.htm" TargetMode="External"/><Relationship Id="rId213" Type="http://schemas.openxmlformats.org/officeDocument/2006/relationships/hyperlink" Target="http://www.sec.gov/Archives/edgar/data/0001409269/000119312519286952/d827576dex1019.htm" TargetMode="External"/><Relationship Id="rId214" Type="http://schemas.openxmlformats.org/officeDocument/2006/relationships/hyperlink" Target="http://www.sec.gov/Archives/edgar/data/0001409269/000156459020014222/vero-ex1049_677.htm" TargetMode="External"/><Relationship Id="rId215" Type="http://schemas.openxmlformats.org/officeDocument/2006/relationships/hyperlink" Target="http://www.sec.gov/Archives/edgar/data/1409269/000143774922007293/ex_350311.htm" TargetMode="External"/><Relationship Id="rId216" Type="http://schemas.openxmlformats.org/officeDocument/2006/relationships/hyperlink" Target="http://www.sec.gov/Archives/edgar/data/0001409269/000156459020014222/vero-ex1054_669.htm" TargetMode="External"/><Relationship Id="rId217" Type="http://schemas.openxmlformats.org/officeDocument/2006/relationships/hyperlink" Target="http://www.sec.gov/Archives/edgar/data/1409269/000156459020014222/vero-ex1055_668.htm" TargetMode="External"/><Relationship Id="rId218" Type="http://schemas.openxmlformats.org/officeDocument/2006/relationships/hyperlink" Target="http://www.sec.gov/Archives/edgar/data/1409269/000156459020014222/vero-ex1056_666.htm" TargetMode="External"/><Relationship Id="rId219" Type="http://schemas.openxmlformats.org/officeDocument/2006/relationships/hyperlink" Target="http://www.sec.gov/Archives/edgar/data/0001409269/000156459020014222/vero-ex1057_667.htm" TargetMode="External"/><Relationship Id="rId220" Type="http://schemas.openxmlformats.org/officeDocument/2006/relationships/hyperlink" Target="http://www.sec.gov/Archives/edgar/data/0001409269/000156459020014222/vero-ex1058_676.htm" TargetMode="External"/><Relationship Id="rId221" Type="http://schemas.openxmlformats.org/officeDocument/2006/relationships/hyperlink" Target="http://www.sec.gov/Archives/edgar/data/0001409269/000156459020014222/vero-ex1059_454.htm" TargetMode="External"/><Relationship Id="rId222" Type="http://schemas.openxmlformats.org/officeDocument/2006/relationships/hyperlink" Target="http://www.sec.gov/Archives/edgar/data/0001409269/000119312520127865/d867207dex102.htm" TargetMode="External"/><Relationship Id="rId223" Type="http://schemas.openxmlformats.org/officeDocument/2006/relationships/hyperlink" Target="http://www.sec.gov/Archives/edgar/data/1409269/000119312520170539/d853569dex101.htm" TargetMode="External"/><Relationship Id="rId224" Type="http://schemas.openxmlformats.org/officeDocument/2006/relationships/hyperlink" Target="http://www.sec.gov/Archives/edgar/data/0001409269/000119312520317602/d84657dex101.htm" TargetMode="External"/><Relationship Id="rId226" Type="http://schemas.openxmlformats.org/officeDocument/2006/relationships/hyperlink" Target="http://www.sec.gov/Archives/edgar/data/0001409269/000119312520317602/d84657dex102.htm" TargetMode="External"/><Relationship Id="rId227" Type="http://schemas.openxmlformats.org/officeDocument/2006/relationships/hyperlink" Target="http://www.sec.gov/Archives/edgar/data/0001409269/000119312520317602/d84657dex104.htm" TargetMode="External"/><Relationship Id="rId228" Type="http://schemas.openxmlformats.org/officeDocument/2006/relationships/hyperlink" Target="http://www.sec.gov/Archives/edgar/data/0001409269/000119312520317602/d84657dex105.htm" TargetMode="External"/><Relationship Id="rId229" Type="http://schemas.openxmlformats.org/officeDocument/2006/relationships/hyperlink" Target="http://www.sec.gov/Archives/edgar/data/0001409269/000119312520317602/d84657dex106.htm" TargetMode="External"/><Relationship Id="rId230" Type="http://schemas.openxmlformats.org/officeDocument/2006/relationships/hyperlink" Target="http://www.sec.gov/Archives/edgar/data/0001409269/000119312520317602/d84657dex107.htm" TargetMode="External"/><Relationship Id="rId231" Type="http://schemas.openxmlformats.org/officeDocument/2006/relationships/hyperlink" Target="http://www.sec.gov/Archives/edgar/data/0001409269/000119312520317602/d84657dex108.htm" TargetMode="External"/><Relationship Id="rId232" Type="http://schemas.openxmlformats.org/officeDocument/2006/relationships/hyperlink" Target="http://www.sec.gov/Archives/edgar/data/0001409269/000119312520317602/d84657dex109.htm" TargetMode="External"/><Relationship Id="rId233" Type="http://schemas.openxmlformats.org/officeDocument/2006/relationships/hyperlink" Target="http://www.sec.gov/Archives/edgar/data/1409269/000119312520317602/d84657dex1010.htm" TargetMode="External"/><Relationship Id="rId234" Type="http://schemas.openxmlformats.org/officeDocument/2006/relationships/hyperlink" Target="http://www.sec.gov/Archives/edgar/data/0001409269/000119312520317602/d84657dex1011.htm" TargetMode="External"/><Relationship Id="rId235" Type="http://schemas.openxmlformats.org/officeDocument/2006/relationships/hyperlink" Target="http://www.sec.gov/Archives/edgar/data/0001409269/000119312520317602/d84657dex1012.htm" TargetMode="External"/><Relationship Id="rId236" Type="http://schemas.openxmlformats.org/officeDocument/2006/relationships/hyperlink" Target="http://www.sec.gov/Archives/edgar/data/0001409269/000119312520317602/d84657dex1013.htm" TargetMode="External"/><Relationship Id="rId237" Type="http://schemas.openxmlformats.org/officeDocument/2006/relationships/hyperlink" Target="http://www.sec.gov/Archives/edgar/data/0001409269/000119312520317602/d84657dex1014.htm" TargetMode="External"/><Relationship Id="rId238" Type="http://schemas.openxmlformats.org/officeDocument/2006/relationships/hyperlink" Target="http://www.sec.gov/Archives/edgar/data/0001409269/000119312520317602/d84657dex1015.htm" TargetMode="External"/><Relationship Id="rId240" Type="http://schemas.openxmlformats.org/officeDocument/2006/relationships/hyperlink" Target="http://www.sec.gov/Archives/edgar/data/0001409269/000114036121029744/brhc10028490_ex10-1.htm" TargetMode="External"/><Relationship Id="rId241" Type="http://schemas.openxmlformats.org/officeDocument/2006/relationships/hyperlink" Target="http://www.sec.gov/Archives/edgar/data/1409269/000114036121029744/brhc10028490_ex10-2.htm" TargetMode="External"/><Relationship Id="rId242" Type="http://schemas.openxmlformats.org/officeDocument/2006/relationships/hyperlink" Target="http://www.sec.gov/Archives/edgar/data/1409269/000114036121029744/brhc10028490_ex10-3.htm" TargetMode="External"/><Relationship Id="rId243" Type="http://schemas.openxmlformats.org/officeDocument/2006/relationships/hyperlink" Target="http://www.sec.gov/Archives/edgar/data/0001409269/000114036121029744/brhc10028490_ex10-5.htm" TargetMode="External"/><Relationship Id="rId244" Type="http://schemas.openxmlformats.org/officeDocument/2006/relationships/hyperlink" Target="http://www.sec.gov/Archives/edgar/data/1409269/000114036121034284/brhc10029741_ex10-1.htm" TargetMode="External"/><Relationship Id="rId245" Type="http://schemas.openxmlformats.org/officeDocument/2006/relationships/hyperlink" Target="http://www.sec.gov/Archives/edgar/data/0001409269/000114036121041694/brhc10031819_ex10-1.htm" TargetMode="External"/><Relationship Id="rId246" Type="http://schemas.openxmlformats.org/officeDocument/2006/relationships/hyperlink" Target="http://www.sec.gov/Archives/edgar/data/0001409269/000114036121041694/brhc10031819_ex10-2.htm" TargetMode="External"/><Relationship Id="rId247" Type="http://schemas.openxmlformats.org/officeDocument/2006/relationships/hyperlink" Target="http://www.sec.gov/Archives/edgar/data/0001409269/000114036121041694/brhc10031819_ex10-3.htm" TargetMode="External"/><Relationship Id="rId248" Type="http://schemas.openxmlformats.org/officeDocument/2006/relationships/hyperlink" Target="http://www.sec.gov/Archives/edgar/data/1409269/000114036122025840/ny20004742x2_ex10-1.htm" TargetMode="External"/><Relationship Id="rId249" Type="http://schemas.openxmlformats.org/officeDocument/2006/relationships/hyperlink" Target="http://www.sec.gov/Archives/edgar/data/1409269/000114036122025840/ny20004742x2_ex10-2.htm" TargetMode="External"/><Relationship Id="rId250" Type="http://schemas.openxmlformats.org/officeDocument/2006/relationships/hyperlink" Target="http://www.sec.gov/Archives/edgar/data/1409269/000114036122035625/brhc10042537_ex10-1.htm" TargetMode="External"/><Relationship Id="rId251" Type="http://schemas.openxmlformats.org/officeDocument/2006/relationships/hyperlink" Target="http://www.sec.gov/Archives/edgar/data/1409269/000114036122036731/brhc10042762_ex10-1.htm" TargetMode="External"/><Relationship Id="rId252" Type="http://schemas.openxmlformats.org/officeDocument/2006/relationships/hyperlink" Target="http://www.sec.gov/Archives/edgar/data/1409269/000114036122042217/brhc10044346_ex10-1.htm" TargetMode="External"/><Relationship Id="rId253" Type="http://schemas.openxmlformats.org/officeDocument/2006/relationships/hyperlink" Target="http://www.sec.gov/Archives/edgar/data/1409269/000114036122042217/brhc10044346_ex10-2.htm" TargetMode="External"/><Relationship Id="rId254" Type="http://schemas.openxmlformats.org/officeDocument/2006/relationships/hyperlink" Target="http://www.sec.gov/Archives/edgar/data/1409269/000143774923007951/ex_487556.htm" TargetMode="External"/><Relationship Id="rId255" Type="http://schemas.openxmlformats.org/officeDocument/2006/relationships/hyperlink" Target="http://www.sec.gov/Archives/edgar/data/1409269/000114036123010488/brhc10049397_ex10-1.htm" TargetMode="External"/><Relationship Id="rId256" Type="http://schemas.openxmlformats.org/officeDocument/2006/relationships/hyperlink" Target="http://www.sec.gov/Archives/edgar/data/1409269/000114036123024709/brhc20052946_ex10-1.htm" TargetMode="External"/><Relationship Id="rId257" Type="http://schemas.openxmlformats.org/officeDocument/2006/relationships/hyperlink" Target="http://www.sec.gov/Archives/edgar/data/1409269/000114036123024709/brhc20052946_ex10-2.htm" TargetMode="External"/><Relationship Id="rId258" Type="http://schemas.openxmlformats.org/officeDocument/2006/relationships/hyperlink" Target="http://www.sec.gov/Archives/edgar/data/1409269/000143774923014313/ex_515124.htm" TargetMode="External"/><Relationship Id="rId259" Type="http://schemas.openxmlformats.org/officeDocument/2006/relationships/hyperlink" Target="http://www.sec.gov/Archives/edgar/data/1409269/000143774923014313/ex_516276.htm" TargetMode="External"/><Relationship Id="rId260" Type="http://schemas.openxmlformats.org/officeDocument/2006/relationships/hyperlink" Target="http://www.sec.gov/Archives/edgar/data/1409269/000114036123034211/brhc20055774_ex10-1.htm" TargetMode="External"/><Relationship Id="rId261" Type="http://schemas.openxmlformats.org/officeDocument/2006/relationships/hyperlink" Target="http://www.sec.gov/Archives/edgar/data/1409269/000114036123047079/ef20011960_ex10-1.htm" TargetMode="External"/><Relationship Id="rId262" Type="http://schemas.openxmlformats.org/officeDocument/2006/relationships/hyperlink" Target="http://www.sec.gov/Archives/edgar/data/1409269/000114036123047079/ef20011960_ex10-2.htm" TargetMode="External"/><Relationship Id="rId263" Type="http://schemas.openxmlformats.org/officeDocument/2006/relationships/hyperlink" Target="http://www.sec.gov/Archives/edgar/data/1409269/000114036123047079/ef20011960_ex10-5.htm" TargetMode="External"/><Relationship Id="rId264" Type="http://schemas.openxmlformats.org/officeDocument/2006/relationships/hyperlink" Target="http://www.sec.gov/Archives/edgar/data/1409269/000114036123047079/ef20011960_ex10-6.htm" TargetMode="External"/><Relationship Id="rId265" Type="http://schemas.openxmlformats.org/officeDocument/2006/relationships/hyperlink" Target="http://www.sec.gov/Archives/edgar/data/1409269/000114036124002904/ef20018999_ex10-1.htm" TargetMode="External"/><Relationship Id="rId266" Type="http://schemas.openxmlformats.org/officeDocument/2006/relationships/hyperlink" Target="http://www.sec.gov/Archives/edgar/data/1409269/000114036124002904/ef20018999_ex10-4.htm" TargetMode="External"/><Relationship Id="rId267" Type="http://schemas.openxmlformats.org/officeDocument/2006/relationships/hyperlink" Target="http://www.sec.gov/Archives/edgar/data/1409269/000114036124002904/ef20018999_ex10-5.htm" TargetMode="External"/><Relationship Id="rId268" Type="http://schemas.openxmlformats.org/officeDocument/2006/relationships/hyperlink" Target="http://www.sec.gov/Archives/edgar/data/1409269/000114036124002904/ef20018999_ex10-6.htm" TargetMode="External"/><Relationship Id="rId269" Type="http://schemas.openxmlformats.org/officeDocument/2006/relationships/hyperlink" Target="http://www.sec.gov/Archives/edgar/data/1409269/000114036124008008/ef20021630_ex10-1.htm" TargetMode="External"/><Relationship Id="rId270" Type="http://schemas.openxmlformats.org/officeDocument/2006/relationships/hyperlink" Target="http://www.sec.gov/Archives/edgar/data/1409269/000114036124009816/ef20022605_ex10-1.htm" TargetMode="External"/><Relationship Id="rId271" Type="http://schemas.openxmlformats.org/officeDocument/2006/relationships/hyperlink" Target="http://www.sec.gov/ix?doc=/Archives/edgar/data/0001409269/000114036124021708/ef20027539_8k.htm" TargetMode="External"/><Relationship Id="rId272" Type="http://schemas.openxmlformats.org/officeDocument/2006/relationships/hyperlink" Target="http://www.sec.gov/ix?doc=/Archives/edgar/data/0001409269/000114036124029569/ef20030942_8k.htm" TargetMode="External"/><Relationship Id="rId273" Type="http://schemas.openxmlformats.org/officeDocument/2006/relationships/hyperlink" Target="http://www.sec.gov/ix?doc=/Archives/edgar/data/0001409269/000114036124031301/ef20031664_8k.htm" TargetMode="External"/><Relationship Id="rId274" Type="http://schemas.openxmlformats.org/officeDocument/2006/relationships/hyperlink" Target="http://www.sec.gov/ix?doc=/Archives/edgar/data/0001409269/000114036124033054/ef20032310_8k.htm" TargetMode="External"/><Relationship Id="rId275" Type="http://schemas.openxmlformats.org/officeDocument/2006/relationships/hyperlink" Target="http://www.sec.gov/ix?doc=/Archives/edgar/data/0001409269/000114036124035327/ef20033406_8k.htm" TargetMode="External"/><Relationship Id="rId276" Type="http://schemas.openxmlformats.org/officeDocument/2006/relationships/hyperlink" Target="http://www.sec.gov/ix?doc=/Archives/edgar/data/0001409269/000114036124040234/e20035481_8k.htm" TargetMode="External"/><Relationship Id="rId277" Type="http://schemas.openxmlformats.org/officeDocument/2006/relationships/hyperlink" Target="http://www.sec.gov/Archives/edgar/data/1409269/000114036124042112/ef20036350_ex10-2.htm" TargetMode="External"/><Relationship Id="rId278" Type="http://schemas.openxmlformats.org/officeDocument/2006/relationships/hyperlink" Target="http://www.sec.gov/ix?doc=/Archives/edgar/data/0001409269/000114036124042369/ef20036477_8k.htm" TargetMode="External"/><Relationship Id="rId279" Type="http://schemas.openxmlformats.org/officeDocument/2006/relationships/hyperlink" Target="http://www.sec.gov/ix?doc=/Archives/edgar/data/0001409269/000114036124045115/ef20038110_8k.htm" TargetMode="External"/><Relationship Id="rId280" Type="http://schemas.openxmlformats.org/officeDocument/2006/relationships/hyperlink" Target="http://www.sec.gov/ix?doc=/Archives/edgar/data/0001409269/000114036124048307/ef20039381_8k.htm" TargetMode="External"/><Relationship Id="rId281" Type="http://schemas.openxmlformats.org/officeDocument/2006/relationships/hyperlink" Target="http://www.sec.gov/Archives/edgar/data/1409269/000114036125000373/ef20041155_ex10-1.htm" TargetMode="External"/><Relationship Id="rId282" Type="http://schemas.openxmlformats.org/officeDocument/2006/relationships/hyperlink" Target="http://www.sec.gov/Archives/edgar/data/1409269/000114036125000373/ef20041155_ex10-2.htm" TargetMode="External"/><Relationship Id="rId283" Type="http://schemas.openxmlformats.org/officeDocument/2006/relationships/hyperlink" Target="http://www.sec.gov/Archives/edgar/data/1409269/000114036125002746/ef20042697_ex10-1.htm" TargetMode="External"/><Relationship Id="rId284" Type="http://schemas.openxmlformats.org/officeDocument/2006/relationships/hyperlink" Target="http://www.sec.gov/Archives/edgar/data/1409269/000114036125002746/ef20042697_ex10-2.htm" TargetMode="External"/><Relationship Id="rId285" Type="http://schemas.openxmlformats.org/officeDocument/2006/relationships/hyperlink" Target="http://www.sec.gov/Archives/edgar/data/1409269/000114036125006870/ef20044815_ex10-1.htm" TargetMode="External"/><Relationship Id="rId286" Type="http://schemas.openxmlformats.org/officeDocument/2006/relationships/hyperlink" Target="http://www.sec.gov/Archives/edgar/data/1409269/000114036125006870/ef20044815_ex10-2.htm" TargetMode="External"/><Relationship Id="rId287" Type="http://schemas.openxmlformats.org/officeDocument/2006/relationships/hyperlink" Target="http://www.sec.gov/Archives/edgar/data/1409269/000114036125006870/ef20044815_ex10-3.htm" TargetMode="External"/><Relationship Id="rId288" Type="http://schemas.openxmlformats.org/officeDocument/2006/relationships/hyperlink" Target="http://www.sec.gov/Archives/edgar/data/1409269/000114036125006870/ef20044815_ex10-4.htm" TargetMode="External"/><Relationship Id="rId289" Type="http://schemas.openxmlformats.org/officeDocument/2006/relationships/hyperlink" Target="http://www.sec.gov/Archives/edgar/data/1409269/000114036125010864/ef20046361_ex10-1.htm" TargetMode="External"/><Relationship Id="rId290" Type="http://schemas.openxmlformats.org/officeDocument/2006/relationships/hyperlink" Target="http://www.sec.gov/Archives/edgar/data/1409269/000114036125010864/ef20046361_ex10-2.htm" TargetMode="External"/><Relationship Id="rId291" Type="http://schemas.openxmlformats.org/officeDocument/2006/relationships/hyperlink" Target="http://www.sec.gov/Archives/edgar/data/0001409269/000119312519286952/d8275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2025-03-31T06:21:37Z</dcterms:created>
  <dcterms:modified xsi:type="dcterms:W3CDTF">2025-03-31T06:21:37Z</dcterms:modified>
</cp:coreProperties>
</file>